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000" w:lineRule="exact"/>
        <w:jc w:val="center"/>
        <w:outlineLvl w:val="0"/>
        <w:rPr>
          <w:rFonts w:hint="eastAsia" w:ascii="黑体" w:eastAsia="黑体"/>
          <w:color w:val="000000"/>
          <w:sz w:val="72"/>
          <w:szCs w:val="72"/>
          <w:highlight w:val="none"/>
        </w:rPr>
      </w:pPr>
      <w:bookmarkStart w:id="0" w:name="_Toc15377425"/>
      <w:bookmarkEnd w:id="0"/>
      <w:bookmarkStart w:id="1" w:name="_Toc15396475"/>
      <w:bookmarkEnd w:id="1"/>
      <w:bookmarkStart w:id="2" w:name="_Toc15377193"/>
      <w:bookmarkEnd w:id="2"/>
      <w:bookmarkStart w:id="3" w:name="_Toc15378441"/>
      <w:bookmarkEnd w:id="3"/>
      <w:bookmarkStart w:id="4" w:name="_Toc15396597"/>
    </w:p>
    <w:p>
      <w:pPr>
        <w:adjustRightInd w:val="0"/>
        <w:snapToGrid w:val="0"/>
        <w:spacing w:line="1000" w:lineRule="exact"/>
        <w:jc w:val="center"/>
        <w:outlineLvl w:val="0"/>
        <w:rPr>
          <w:rFonts w:ascii="方正小标宋简体" w:hAnsi="宋体" w:eastAsia="方正小标宋简体"/>
          <w:color w:val="000000"/>
          <w:sz w:val="72"/>
          <w:szCs w:val="72"/>
          <w:highlight w:val="none"/>
        </w:rPr>
      </w:pPr>
      <w:r>
        <w:rPr>
          <w:rFonts w:hint="eastAsia" w:ascii="黑体" w:eastAsia="黑体"/>
          <w:color w:val="000000"/>
          <w:sz w:val="72"/>
          <w:szCs w:val="72"/>
          <w:highlight w:val="none"/>
        </w:rPr>
        <w:t>20</w:t>
      </w:r>
      <w:bookmarkEnd w:id="4"/>
      <w:r>
        <w:rPr>
          <w:rFonts w:hint="eastAsia" w:ascii="黑体" w:eastAsia="黑体"/>
          <w:color w:val="000000"/>
          <w:sz w:val="72"/>
          <w:szCs w:val="72"/>
          <w:highlight w:val="none"/>
          <w:lang w:val="en-US" w:eastAsia="zh-CN"/>
        </w:rPr>
        <w:t>24</w:t>
      </w:r>
      <w:r>
        <w:rPr>
          <w:rFonts w:hint="eastAsia" w:ascii="方正小标宋简体" w:hAnsi="宋体" w:eastAsia="方正小标宋简体"/>
          <w:color w:val="000000"/>
          <w:sz w:val="72"/>
          <w:szCs w:val="72"/>
          <w:highlight w:val="none"/>
        </w:rPr>
        <w:t>年度</w:t>
      </w:r>
    </w:p>
    <w:p>
      <w:pPr>
        <w:adjustRightInd w:val="0"/>
        <w:snapToGrid w:val="0"/>
        <w:spacing w:line="1000" w:lineRule="exact"/>
        <w:jc w:val="center"/>
        <w:outlineLvl w:val="0"/>
        <w:rPr>
          <w:rFonts w:hint="eastAsia" w:ascii="方正小标宋简体" w:hAnsi="宋体" w:eastAsia="方正小标宋简体"/>
          <w:color w:val="000000"/>
          <w:sz w:val="72"/>
          <w:szCs w:val="72"/>
          <w:highlight w:val="none"/>
        </w:rPr>
      </w:pPr>
      <w:bookmarkStart w:id="5" w:name="_Toc15378442"/>
      <w:bookmarkEnd w:id="5"/>
      <w:bookmarkStart w:id="6" w:name="_Toc15377194"/>
      <w:bookmarkEnd w:id="6"/>
      <w:bookmarkStart w:id="7" w:name="_Toc15396476"/>
      <w:bookmarkEnd w:id="7"/>
      <w:bookmarkStart w:id="8" w:name="_Toc15377426"/>
      <w:bookmarkEnd w:id="8"/>
      <w:bookmarkStart w:id="9" w:name="_Toc15396598"/>
      <w:r>
        <w:rPr>
          <w:rFonts w:hint="eastAsia" w:ascii="方正小标宋简体" w:hAnsi="宋体" w:eastAsia="方正小标宋简体"/>
          <w:color w:val="000000"/>
          <w:sz w:val="72"/>
          <w:szCs w:val="72"/>
          <w:highlight w:val="none"/>
        </w:rPr>
        <w:t>四川省</w:t>
      </w:r>
      <w:bookmarkEnd w:id="9"/>
      <w:r>
        <w:rPr>
          <w:rFonts w:hint="eastAsia" w:ascii="方正小标宋简体" w:hAnsi="宋体" w:eastAsia="方正小标宋简体"/>
          <w:color w:val="000000"/>
          <w:sz w:val="72"/>
          <w:szCs w:val="72"/>
          <w:highlight w:val="none"/>
          <w:lang w:val="en-US" w:eastAsia="zh-CN"/>
        </w:rPr>
        <w:t>蓬溪县融媒体中心部门</w:t>
      </w:r>
      <w:r>
        <w:rPr>
          <w:rFonts w:hint="eastAsia" w:ascii="方正小标宋简体" w:hAnsi="宋体" w:eastAsia="方正小标宋简体"/>
          <w:color w:val="000000"/>
          <w:sz w:val="72"/>
          <w:szCs w:val="72"/>
          <w:highlight w:val="none"/>
        </w:rPr>
        <w:t>决算</w:t>
      </w:r>
    </w:p>
    <w:p>
      <w:pPr>
        <w:widowControl/>
        <w:jc w:val="center"/>
        <w:rPr>
          <w:rFonts w:hint="eastAsia" w:ascii="黑体" w:hAnsi="黑体" w:eastAsia="黑体"/>
          <w:color w:val="auto"/>
          <w:sz w:val="48"/>
          <w:szCs w:val="48"/>
          <w:highlight w:val="none"/>
        </w:rPr>
        <w:sectPr>
          <w:pgSz w:w="11906" w:h="16838"/>
          <w:pgMar w:top="1440" w:right="1800" w:bottom="1440" w:left="1800" w:header="851" w:footer="992" w:gutter="0"/>
          <w:pgNumType w:fmt="decimal" w:start="1"/>
          <w:cols w:space="425" w:num="1"/>
          <w:docGrid w:type="lines" w:linePitch="312" w:charSpace="0"/>
        </w:sectPr>
      </w:pPr>
    </w:p>
    <w:p>
      <w:pPr>
        <w:widowControl/>
        <w:jc w:val="center"/>
        <w:rPr>
          <w:rFonts w:ascii="黑体" w:hAnsi="黑体" w:eastAsia="黑体" w:cs="Times New Roman"/>
          <w:color w:val="auto"/>
          <w:sz w:val="28"/>
          <w:szCs w:val="28"/>
          <w:highlight w:val="none"/>
        </w:rPr>
      </w:pPr>
      <w:r>
        <w:rPr>
          <w:rFonts w:hint="eastAsia" w:ascii="黑体" w:hAnsi="黑体" w:eastAsia="黑体"/>
          <w:color w:val="auto"/>
          <w:sz w:val="48"/>
          <w:szCs w:val="48"/>
          <w:highlight w:val="none"/>
        </w:rPr>
        <w:t>目录</w:t>
      </w:r>
    </w:p>
    <w:p>
      <w:pPr>
        <w:pStyle w:val="10"/>
        <w:tabs>
          <w:tab w:val="right" w:leader="dot" w:pos="8296"/>
        </w:tabs>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pPr>
        <w:rPr>
          <w:color w:val="auto"/>
          <w:highlight w:val="none"/>
        </w:rPr>
      </w:pPr>
    </w:p>
    <w:p>
      <w:pPr>
        <w:pStyle w:val="10"/>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0" w:beforeAutospacing="0" w:line="440" w:lineRule="exact"/>
        <w:jc w:val="left"/>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highlight w:val="none"/>
        </w:rPr>
        <w:t>第一部分 部门概况</w:t>
      </w:r>
      <w:r>
        <w:rPr>
          <w:rFonts w:hint="eastAsia" w:ascii="黑体" w:hAnsi="黑体" w:eastAsia="黑体" w:cs="黑体"/>
          <w:color w:val="auto"/>
          <w:sz w:val="24"/>
          <w:highlight w:val="none"/>
          <w:lang w:val="en-US" w:eastAsia="zh-CN"/>
        </w:rPr>
        <w:tab/>
      </w:r>
      <w:r>
        <w:rPr>
          <w:rFonts w:hint="eastAsia" w:ascii="黑体" w:hAnsi="黑体" w:eastAsia="黑体" w:cs="黑体"/>
          <w:color w:val="auto"/>
          <w:sz w:val="24"/>
          <w:highlight w:val="none"/>
          <w:lang w:val="en-US" w:eastAsia="zh-CN"/>
        </w:rPr>
        <w:t>3</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ab/>
      </w:r>
      <w:r>
        <w:rPr>
          <w:rFonts w:hint="eastAsia" w:ascii="宋体" w:hAnsi="宋体" w:eastAsia="宋体" w:cs="宋体"/>
          <w:color w:val="auto"/>
          <w:sz w:val="24"/>
          <w:highlight w:val="none"/>
          <w:lang w:val="en-US" w:eastAsia="zh-CN"/>
        </w:rPr>
        <w:t>3</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ab/>
      </w:r>
      <w:r>
        <w:rPr>
          <w:rFonts w:hint="eastAsia" w:ascii="宋体" w:hAnsi="宋体" w:eastAsia="宋体" w:cs="宋体"/>
          <w:color w:val="auto"/>
          <w:sz w:val="24"/>
          <w:highlight w:val="none"/>
          <w:lang w:val="en-US" w:eastAsia="zh-CN"/>
        </w:rPr>
        <w:t>3</w:t>
      </w:r>
    </w:p>
    <w:p>
      <w:pPr>
        <w:pStyle w:val="10"/>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0" w:beforeAutospacing="0" w:line="440" w:lineRule="exact"/>
        <w:jc w:val="left"/>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highlight w:val="none"/>
        </w:rPr>
        <w:t>第二部分</w:t>
      </w:r>
      <w:r>
        <w:rPr>
          <w:rFonts w:hint="eastAsia" w:ascii="黑体" w:hAnsi="黑体" w:eastAsia="黑体" w:cs="黑体"/>
          <w:color w:val="auto"/>
          <w:sz w:val="24"/>
          <w:highlight w:val="none"/>
          <w:lang w:val="en-US" w:eastAsia="zh-CN"/>
        </w:rPr>
        <w:t xml:space="preserve"> 2024年度</w:t>
      </w:r>
      <w:r>
        <w:rPr>
          <w:rFonts w:hint="eastAsia" w:ascii="黑体" w:hAnsi="黑体" w:eastAsia="黑体" w:cs="黑体"/>
          <w:color w:val="auto"/>
          <w:sz w:val="24"/>
          <w:highlight w:val="none"/>
        </w:rPr>
        <w:t>部门决算情况说明</w:t>
      </w:r>
      <w:r>
        <w:rPr>
          <w:rFonts w:hint="eastAsia" w:ascii="黑体" w:hAnsi="黑体" w:eastAsia="黑体" w:cs="黑体"/>
          <w:color w:val="auto"/>
          <w:sz w:val="24"/>
          <w:highlight w:val="none"/>
          <w:lang w:val="en-US" w:eastAsia="zh-CN"/>
        </w:rPr>
        <w:tab/>
      </w:r>
      <w:r>
        <w:rPr>
          <w:rFonts w:hint="eastAsia" w:ascii="黑体" w:hAnsi="黑体" w:eastAsia="黑体" w:cs="黑体"/>
          <w:color w:val="auto"/>
          <w:sz w:val="24"/>
          <w:highlight w:val="none"/>
          <w:lang w:val="en-US" w:eastAsia="zh-CN"/>
        </w:rPr>
        <w:t>4</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r>
      <w:r>
        <w:rPr>
          <w:rFonts w:hint="eastAsia" w:ascii="宋体" w:hAnsi="宋体" w:eastAsia="宋体" w:cs="宋体"/>
          <w:color w:val="auto"/>
          <w:sz w:val="24"/>
          <w:highlight w:val="none"/>
          <w:lang w:val="en-US" w:eastAsia="zh-CN"/>
        </w:rPr>
        <w:t>4</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r>
      <w:r>
        <w:rPr>
          <w:rFonts w:hint="eastAsia" w:ascii="宋体" w:hAnsi="宋体" w:eastAsia="宋体" w:cs="宋体"/>
          <w:color w:val="auto"/>
          <w:sz w:val="24"/>
          <w:highlight w:val="none"/>
          <w:lang w:val="en-US" w:eastAsia="zh-CN"/>
        </w:rPr>
        <w:t>4</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ascii="宋体" w:hAnsi="宋体" w:eastAsia="宋体" w:cs="宋体"/>
          <w:color w:val="auto"/>
          <w:sz w:val="24"/>
          <w:highlight w:val="none"/>
          <w:lang w:val="en-US" w:eastAsia="zh-CN"/>
        </w:rPr>
        <w:t>5</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ascii="宋体" w:hAnsi="宋体" w:eastAsia="宋体" w:cs="宋体"/>
          <w:color w:val="auto"/>
          <w:sz w:val="24"/>
          <w:highlight w:val="none"/>
          <w:lang w:val="en-US" w:eastAsia="zh-CN"/>
        </w:rPr>
        <w:t>6</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eastAsia" w:ascii="宋体" w:hAnsi="宋体" w:eastAsia="宋体" w:cs="宋体"/>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ascii="宋体" w:hAnsi="宋体" w:eastAsia="宋体" w:cs="宋体"/>
          <w:color w:val="auto"/>
          <w:sz w:val="24"/>
          <w:highlight w:val="none"/>
          <w:lang w:val="en-US" w:eastAsia="zh-CN"/>
        </w:rPr>
        <w:t>6</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r>
      <w:r>
        <w:rPr>
          <w:rFonts w:hint="eastAsia" w:ascii="宋体" w:hAnsi="宋体" w:eastAsia="宋体" w:cs="宋体"/>
          <w:color w:val="auto"/>
          <w:sz w:val="24"/>
          <w:highlight w:val="none"/>
          <w:lang w:val="en-US" w:eastAsia="zh-CN"/>
        </w:rPr>
        <w:t>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ab/>
      </w:r>
      <w:r>
        <w:rPr>
          <w:rFonts w:hint="eastAsia" w:ascii="宋体" w:hAnsi="宋体" w:eastAsia="宋体" w:cs="宋体"/>
          <w:color w:val="auto"/>
          <w:sz w:val="24"/>
          <w:highlight w:val="none"/>
          <w:lang w:val="en-US" w:eastAsia="zh-CN"/>
        </w:rPr>
        <w:t>10</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r>
      <w:r>
        <w:rPr>
          <w:rFonts w:hint="eastAsia" w:ascii="宋体" w:hAnsi="宋体"/>
          <w:color w:val="auto"/>
          <w:sz w:val="24"/>
          <w:highlight w:val="none"/>
          <w:lang w:val="en-US" w:eastAsia="zh-CN"/>
        </w:rPr>
        <w:t>12</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ind w:leftChars="0" w:firstLine="240" w:firstLineChars="1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ab/>
      </w:r>
      <w:r>
        <w:rPr>
          <w:rFonts w:hint="eastAsia" w:ascii="宋体" w:hAnsi="宋体" w:cs="宋体"/>
          <w:color w:val="auto"/>
          <w:sz w:val="24"/>
          <w:highlight w:val="none"/>
          <w:lang w:val="en-US" w:eastAsia="zh-CN"/>
        </w:rPr>
        <w:t>12</w:t>
      </w:r>
    </w:p>
    <w:p>
      <w:pPr>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beforeAutospacing="0" w:line="440" w:lineRule="exact"/>
        <w:ind w:left="0" w:leftChars="0" w:firstLine="660" w:firstLineChars="275"/>
        <w:jc w:val="left"/>
        <w:textAlignment w:val="auto"/>
        <w:rPr>
          <w:rFonts w:hint="default" w:ascii="宋体" w:hAnsi="宋体" w:eastAsia="宋体" w:cs="宋体"/>
          <w:color w:val="auto"/>
          <w:sz w:val="24"/>
          <w:highlight w:val="none"/>
          <w:lang w:val="en-US" w:eastAsia="zh-CN"/>
        </w:rPr>
      </w:pPr>
      <w:r>
        <w:rPr>
          <w:rStyle w:val="16"/>
          <w:rFonts w:hint="eastAsia" w:ascii="宋体" w:hAnsi="宋体" w:eastAsia="宋体" w:cs="宋体"/>
          <w:color w:val="auto"/>
          <w:sz w:val="24"/>
          <w:highlight w:val="none"/>
          <w:u w:val="none"/>
          <w:lang w:eastAsia="zh-CN"/>
        </w:rPr>
        <w:t>十</w:t>
      </w:r>
      <w:r>
        <w:rPr>
          <w:rStyle w:val="16"/>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12</w:t>
      </w:r>
    </w:p>
    <w:p>
      <w:pPr>
        <w:pStyle w:val="10"/>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0" w:beforeAutospacing="0" w:line="440" w:lineRule="exact"/>
        <w:jc w:val="left"/>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highlight w:val="none"/>
        </w:rPr>
        <w:t>第三部分 名词解释</w:t>
      </w:r>
      <w:r>
        <w:rPr>
          <w:rFonts w:hint="eastAsia" w:ascii="黑体" w:hAnsi="黑体" w:eastAsia="黑体" w:cs="黑体"/>
          <w:color w:val="auto"/>
          <w:sz w:val="24"/>
          <w:highlight w:val="none"/>
          <w:lang w:val="en-US" w:eastAsia="zh-CN"/>
        </w:rPr>
        <w:tab/>
      </w:r>
      <w:r>
        <w:rPr>
          <w:rFonts w:hint="eastAsia" w:ascii="黑体" w:hAnsi="黑体" w:eastAsia="黑体" w:cs="黑体"/>
          <w:color w:val="auto"/>
          <w:sz w:val="24"/>
          <w:highlight w:val="none"/>
          <w:lang w:val="en-US" w:eastAsia="zh-CN"/>
        </w:rPr>
        <w:t>13</w:t>
      </w:r>
    </w:p>
    <w:p>
      <w:pPr>
        <w:pStyle w:val="10"/>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0" w:beforeAutospacing="0" w:line="440" w:lineRule="exact"/>
        <w:jc w:val="left"/>
        <w:textAlignment w:val="auto"/>
        <w:rPr>
          <w:rFonts w:hint="default" w:eastAsia="黑体" w:cs="Times New Roman"/>
          <w:color w:val="auto"/>
          <w:sz w:val="24"/>
          <w:szCs w:val="24"/>
          <w:highlight w:val="none"/>
          <w:lang w:val="en-US" w:eastAsia="zh-CN"/>
        </w:rPr>
      </w:pPr>
      <w:r>
        <w:rPr>
          <w:rFonts w:hint="eastAsia" w:ascii="黑体" w:hAnsi="黑体" w:eastAsia="黑体" w:cs="黑体"/>
          <w:color w:val="auto"/>
          <w:sz w:val="24"/>
          <w:highlight w:val="none"/>
        </w:rPr>
        <w:t>第四部分 附件</w:t>
      </w:r>
      <w:r>
        <w:rPr>
          <w:rFonts w:hint="eastAsia" w:ascii="黑体" w:hAnsi="黑体" w:eastAsia="黑体" w:cs="黑体"/>
          <w:color w:val="auto"/>
          <w:sz w:val="24"/>
          <w:highlight w:val="none"/>
          <w:lang w:val="en-US" w:eastAsia="zh-CN"/>
        </w:rPr>
        <w:tab/>
      </w:r>
      <w:r>
        <w:rPr>
          <w:rFonts w:hint="eastAsia" w:ascii="黑体" w:hAnsi="黑体" w:eastAsia="黑体" w:cs="黑体"/>
          <w:color w:val="auto"/>
          <w:sz w:val="24"/>
          <w:highlight w:val="none"/>
          <w:lang w:val="en-US" w:eastAsia="zh-CN"/>
        </w:rPr>
        <w:t>16</w:t>
      </w:r>
    </w:p>
    <w:p>
      <w:pPr>
        <w:pStyle w:val="10"/>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0" w:beforeAutospacing="0" w:line="440" w:lineRule="exact"/>
        <w:jc w:val="left"/>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highlight w:val="none"/>
        </w:rPr>
        <w:t>第五部分 附表</w:t>
      </w:r>
      <w:r>
        <w:rPr>
          <w:rFonts w:hint="eastAsia" w:ascii="黑体" w:hAnsi="黑体" w:eastAsia="黑体" w:cs="黑体"/>
          <w:color w:val="auto"/>
          <w:sz w:val="24"/>
          <w:highlight w:val="none"/>
          <w:lang w:val="en-US" w:eastAsia="zh-CN"/>
        </w:rPr>
        <w:tab/>
      </w:r>
      <w:r>
        <w:rPr>
          <w:rFonts w:hint="eastAsia" w:ascii="黑体" w:hAnsi="黑体" w:eastAsia="黑体" w:cs="黑体"/>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color w:val="auto"/>
          <w:sz w:val="24"/>
          <w:highlight w:val="none"/>
          <w:lang w:val="en-US" w:eastAsia="zh-CN"/>
        </w:rPr>
        <w:tab/>
      </w:r>
      <w:r>
        <w:rPr>
          <w:rFonts w:hint="eastAsia"/>
          <w:color w:val="auto"/>
          <w:sz w:val="24"/>
          <w:highlight w:val="none"/>
          <w:lang w:val="en-US" w:eastAsia="zh-CN"/>
        </w:rPr>
        <w:t>29</w:t>
      </w:r>
    </w:p>
    <w:p>
      <w:pPr>
        <w:pStyle w:val="12"/>
        <w:keepNext w:val="0"/>
        <w:keepLines w:val="0"/>
        <w:pageBreakBefore w:val="0"/>
        <w:tabs>
          <w:tab w:val="right" w:leader="dot" w:pos="7980"/>
          <w:tab w:val="right" w:leader="dot" w:pos="8296"/>
        </w:tabs>
        <w:kinsoku/>
        <w:wordWrap/>
        <w:overflowPunct/>
        <w:topLinePunct w:val="0"/>
        <w:autoSpaceDE/>
        <w:autoSpaceDN/>
        <w:bidi w:val="0"/>
        <w:adjustRightInd w:val="0"/>
        <w:snapToGrid w:val="0"/>
        <w:spacing w:beforeAutospacing="0" w:line="440" w:lineRule="exact"/>
        <w:jc w:val="left"/>
        <w:textAlignment w:val="auto"/>
        <w:rPr>
          <w:rFonts w:ascii="仿宋" w:hAnsi="仿宋" w:eastAsia="仿宋"/>
          <w:bCs/>
          <w:color w:val="auto"/>
          <w:kern w:val="44"/>
          <w:sz w:val="24"/>
          <w:highlight w:val="none"/>
        </w:rPr>
      </w:pPr>
      <w:r>
        <w:rPr>
          <w:rFonts w:hint="eastAsia"/>
          <w:color w:val="auto"/>
          <w:sz w:val="24"/>
          <w:highlight w:val="none"/>
        </w:rPr>
        <w:t>十三、财政拨款“三公”经费支出决算表</w:t>
      </w:r>
      <w:bookmarkStart w:id="10" w:name="_Toc15377196"/>
      <w:bookmarkStart w:id="11" w:name="_Toc15396599"/>
      <w:r>
        <w:rPr>
          <w:rFonts w:hint="eastAsia" w:ascii="宋体" w:hAnsi="宋体" w:cs="宋体"/>
          <w:color w:val="auto"/>
          <w:sz w:val="24"/>
          <w:highlight w:val="none"/>
          <w:lang w:val="en-US" w:eastAsia="zh-CN"/>
        </w:rPr>
        <w:tab/>
      </w:r>
      <w:r>
        <w:rPr>
          <w:rFonts w:hint="eastAsia" w:ascii="宋体" w:hAnsi="宋体" w:cs="宋体"/>
          <w:color w:val="auto"/>
          <w:sz w:val="24"/>
          <w:highlight w:val="none"/>
          <w:lang w:val="en-US" w:eastAsia="zh-CN"/>
        </w:rPr>
        <w:t>29</w:t>
      </w:r>
      <w:r>
        <w:rPr>
          <w:rFonts w:ascii="仿宋" w:hAnsi="仿宋" w:eastAsia="仿宋"/>
          <w:b/>
          <w:color w:val="auto"/>
          <w:sz w:val="24"/>
          <w:highlight w:val="none"/>
        </w:rPr>
        <w:br w:type="page"/>
      </w:r>
    </w:p>
    <w:p>
      <w:pPr>
        <w:pStyle w:val="3"/>
        <w:jc w:val="center"/>
        <w:rPr>
          <w:rStyle w:val="17"/>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17"/>
          <w:rFonts w:hint="eastAsia" w:ascii="黑体" w:hAnsi="黑体" w:eastAsia="黑体"/>
          <w:b w:val="0"/>
          <w:bCs w:val="0"/>
          <w:color w:val="auto"/>
          <w:highlight w:val="none"/>
        </w:rPr>
        <w:t>部门概况</w:t>
      </w:r>
      <w:bookmarkEnd w:id="10"/>
      <w:bookmarkEnd w:id="11"/>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spacing w:line="570" w:lineRule="exact"/>
        <w:ind w:firstLine="640" w:firstLineChars="200"/>
        <w:rPr>
          <w:rFonts w:hint="eastAsia"/>
          <w:lang w:eastAsia="zh-CN"/>
        </w:rPr>
      </w:pPr>
      <w:r>
        <w:rPr>
          <w:rFonts w:hint="eastAsia" w:ascii="仿宋" w:hAnsi="仿宋" w:eastAsia="仿宋" w:cs="仿宋"/>
          <w:bCs/>
          <w:szCs w:val="32"/>
        </w:rPr>
        <w:t>贯彻执行党和国家新闻宣传工作的路线、方针、政策及法律法规，依法办台、办网;围绕县委、县政府中心工作，组织开展各类重大宣传活动、新闻报道工作;搭建网络互动交流平台，关注社会热点信息，及时收集整理、分析研判舆情动态，走好网上群众路线，弘扬社会正气;积极参与智慧政务建设，整合党政部门信息资源，搭建网上党建、党务政务公开、政务服务、电子商务等业务平台，开展集合型综合信息服务；承办广播电视节目优质安全播出、传输、报刊安全出版和新媒体发布等工作;参与制定本县报刊、广播、电视、新媒体事业发展规划并组织实施，承办本单位重大项目建设、技术开发以及科研成果的应用推广；加强政治思想建设、职业道德建设、业务培训和人才队伍建设，研究和推进内部管理体制改革:配合上级媒体和新闻单位来县采访及其他工作，维护县内舆论安全;组织和开发报刊、广播、电视、新媒体资源，增强综合发展能力，加强资产运作，实现国有资产保值增值;承办县委、县政府交办的其他事项</w:t>
      </w:r>
    </w:p>
    <w:p>
      <w:pPr>
        <w:pStyle w:val="4"/>
        <w:rPr>
          <w:rStyle w:val="18"/>
          <w:b w:val="0"/>
          <w:bCs w:val="0"/>
          <w:color w:val="auto"/>
          <w:highlight w:val="none"/>
        </w:rPr>
      </w:pPr>
      <w:bookmarkStart w:id="12" w:name="_Toc15396601"/>
      <w:bookmarkStart w:id="13"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18"/>
          <w:rFonts w:hint="eastAsia" w:ascii="黑体" w:hAnsi="黑体" w:eastAsia="黑体"/>
          <w:b w:val="0"/>
          <w:bCs w:val="0"/>
          <w:color w:val="auto"/>
          <w:highlight w:val="none"/>
        </w:rPr>
        <w:t>构设置</w:t>
      </w:r>
      <w:bookmarkEnd w:id="12"/>
      <w:bookmarkEnd w:id="13"/>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县融媒体中心</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left="0" w:leftChars="0" w:right="440" w:firstLine="0" w:firstLineChars="0"/>
        <w:jc w:val="center"/>
        <w:rPr>
          <w:rStyle w:val="17"/>
          <w:rFonts w:ascii="黑体" w:hAnsi="黑体" w:eastAsia="黑体"/>
          <w:b w:val="0"/>
          <w:bCs/>
          <w:color w:val="auto"/>
          <w:highlight w:val="none"/>
        </w:rPr>
      </w:pPr>
      <w:bookmarkStart w:id="14" w:name="_Toc15396602"/>
      <w:bookmarkStart w:id="15" w:name="_Toc15377204"/>
      <w:r>
        <w:rPr>
          <w:rFonts w:hint="eastAsia" w:ascii="黑体" w:hAnsi="黑体"/>
          <w:b w:val="0"/>
          <w:bCs/>
          <w:color w:val="auto"/>
          <w:highlight w:val="none"/>
          <w:lang w:val="en-US" w:eastAsia="zh-CN"/>
        </w:rPr>
        <w:t xml:space="preserve"> </w:t>
      </w: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w:t>
      </w:r>
      <w:r>
        <w:rPr>
          <w:rFonts w:hint="eastAsia" w:ascii="黑体" w:hAnsi="黑体"/>
          <w:b w:val="0"/>
          <w:bCs/>
          <w:color w:val="auto"/>
          <w:highlight w:val="none"/>
          <w:lang w:val="en-US" w:eastAsia="zh-CN"/>
        </w:rPr>
        <w:t>4</w:t>
      </w:r>
      <w:r>
        <w:rPr>
          <w:rFonts w:hint="eastAsia" w:ascii="黑体" w:hAnsi="黑体" w:eastAsia="黑体"/>
          <w:b w:val="0"/>
          <w:bCs/>
          <w:color w:val="auto"/>
          <w:highlight w:val="none"/>
          <w:lang w:val="en-US" w:eastAsia="zh-CN"/>
        </w:rPr>
        <w:t>年度</w:t>
      </w:r>
      <w:r>
        <w:rPr>
          <w:rStyle w:val="17"/>
          <w:rFonts w:hint="eastAsia" w:ascii="黑体" w:hAnsi="黑体" w:eastAsia="黑体"/>
          <w:b w:val="0"/>
          <w:bCs/>
          <w:color w:val="auto"/>
          <w:highlight w:val="none"/>
        </w:rPr>
        <w:t>部门决算情况说明</w:t>
      </w:r>
      <w:bookmarkEnd w:id="14"/>
      <w:bookmarkEnd w:id="15"/>
    </w:p>
    <w:p>
      <w:pPr>
        <w:pStyle w:val="19"/>
        <w:numPr>
          <w:ilvl w:val="0"/>
          <w:numId w:val="2"/>
        </w:numPr>
        <w:spacing w:line="600" w:lineRule="exact"/>
        <w:ind w:firstLineChars="0"/>
        <w:outlineLvl w:val="1"/>
        <w:rPr>
          <w:rStyle w:val="18"/>
          <w:rFonts w:ascii="黑体" w:hAnsi="黑体" w:eastAsia="黑体"/>
          <w:b w:val="0"/>
          <w:color w:val="auto"/>
          <w:sz w:val="32"/>
          <w:szCs w:val="32"/>
          <w:highlight w:val="none"/>
        </w:rPr>
      </w:pPr>
      <w:bookmarkStart w:id="16" w:name="_Toc15396603"/>
      <w:bookmarkStart w:id="17" w:name="_Toc15377205"/>
      <w:r>
        <w:rPr>
          <w:rFonts w:hint="eastAsia" w:ascii="黑体" w:hAnsi="黑体" w:eastAsia="黑体"/>
          <w:color w:val="auto"/>
          <w:sz w:val="32"/>
          <w:szCs w:val="32"/>
          <w:highlight w:val="none"/>
        </w:rPr>
        <w:t>收</w:t>
      </w:r>
      <w:r>
        <w:rPr>
          <w:rStyle w:val="18"/>
          <w:rFonts w:hint="eastAsia" w:ascii="黑体" w:hAnsi="黑体" w:eastAsia="黑体"/>
          <w:b w:val="0"/>
          <w:color w:val="auto"/>
          <w:sz w:val="32"/>
          <w:szCs w:val="32"/>
          <w:highlight w:val="none"/>
        </w:rPr>
        <w:t>入支出决算总体情况说明</w:t>
      </w:r>
      <w:bookmarkEnd w:id="16"/>
      <w:bookmarkEnd w:id="17"/>
    </w:p>
    <w:p>
      <w:pPr>
        <w:spacing w:line="600" w:lineRule="exact"/>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741.97</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相比，收、支总计各减少</w:t>
      </w:r>
      <w:r>
        <w:rPr>
          <w:rFonts w:hint="eastAsia" w:ascii="仿宋" w:hAnsi="仿宋" w:eastAsia="仿宋"/>
          <w:color w:val="auto"/>
          <w:sz w:val="32"/>
          <w:szCs w:val="32"/>
          <w:highlight w:val="none"/>
          <w:lang w:val="en-US" w:eastAsia="zh-CN"/>
        </w:rPr>
        <w:t>7.47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厉行节约，严格控制支出</w:t>
      </w:r>
      <w:r>
        <w:rPr>
          <w:rFonts w:hint="eastAsia" w:ascii="仿宋" w:hAnsi="仿宋" w:eastAsia="仿宋"/>
          <w:color w:val="auto"/>
          <w:sz w:val="32"/>
          <w:szCs w:val="32"/>
          <w:highlight w:val="none"/>
          <w:lang w:eastAsia="zh-CN"/>
        </w:rPr>
        <w:t>。</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889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19"/>
        <w:numPr>
          <w:ilvl w:val="0"/>
          <w:numId w:val="2"/>
        </w:numPr>
        <w:spacing w:line="600" w:lineRule="exact"/>
        <w:ind w:firstLineChars="0"/>
        <w:outlineLvl w:val="1"/>
        <w:rPr>
          <w:rStyle w:val="18"/>
          <w:rFonts w:ascii="黑体" w:hAnsi="黑体" w:eastAsia="黑体"/>
          <w:b w:val="0"/>
          <w:color w:val="auto"/>
          <w:sz w:val="32"/>
          <w:szCs w:val="32"/>
          <w:highlight w:val="none"/>
        </w:rPr>
      </w:pPr>
      <w:bookmarkStart w:id="18" w:name="_Toc15396604"/>
      <w:bookmarkStart w:id="19" w:name="_Toc15377206"/>
      <w:r>
        <w:rPr>
          <w:rFonts w:hint="eastAsia" w:ascii="黑体" w:hAnsi="黑体" w:eastAsia="黑体"/>
          <w:color w:val="auto"/>
          <w:sz w:val="32"/>
          <w:szCs w:val="32"/>
          <w:highlight w:val="none"/>
        </w:rPr>
        <w:t>收</w:t>
      </w:r>
      <w:r>
        <w:rPr>
          <w:rStyle w:val="18"/>
          <w:rFonts w:hint="eastAsia" w:ascii="黑体" w:hAnsi="黑体" w:eastAsia="黑体"/>
          <w:b w:val="0"/>
          <w:color w:val="auto"/>
          <w:sz w:val="32"/>
          <w:szCs w:val="32"/>
          <w:highlight w:val="none"/>
        </w:rPr>
        <w:t>入决算情况说明</w:t>
      </w:r>
      <w:bookmarkEnd w:id="18"/>
      <w:bookmarkEnd w:id="19"/>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741.97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741.97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411480</wp:posOffset>
            </wp:positionH>
            <wp:positionV relativeFrom="paragraph">
              <wp:posOffset>-2700655</wp:posOffset>
            </wp:positionV>
            <wp:extent cx="5256530" cy="2988310"/>
            <wp:effectExtent l="5080" t="4445" r="8890" b="1714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2240" w:firstLineChars="7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19"/>
        <w:numPr>
          <w:ilvl w:val="0"/>
          <w:numId w:val="2"/>
        </w:numPr>
        <w:spacing w:line="600" w:lineRule="exact"/>
        <w:ind w:firstLineChars="0"/>
        <w:outlineLvl w:val="1"/>
        <w:rPr>
          <w:rStyle w:val="18"/>
          <w:rFonts w:ascii="黑体" w:hAnsi="黑体" w:eastAsia="黑体"/>
          <w:b w:val="0"/>
          <w:color w:val="auto"/>
          <w:sz w:val="32"/>
          <w:szCs w:val="32"/>
          <w:highlight w:val="none"/>
        </w:rPr>
      </w:pPr>
      <w:bookmarkStart w:id="20" w:name="_Toc15396605"/>
      <w:bookmarkStart w:id="21" w:name="_Toc15377207"/>
      <w:r>
        <w:rPr>
          <w:rFonts w:hint="eastAsia" w:ascii="黑体" w:hAnsi="黑体" w:eastAsia="黑体"/>
          <w:color w:val="auto"/>
          <w:sz w:val="32"/>
          <w:szCs w:val="32"/>
          <w:highlight w:val="none"/>
        </w:rPr>
        <w:t>支</w:t>
      </w:r>
      <w:r>
        <w:rPr>
          <w:rStyle w:val="18"/>
          <w:rFonts w:hint="eastAsia" w:ascii="黑体" w:hAnsi="黑体" w:eastAsia="黑体"/>
          <w:b w:val="0"/>
          <w:color w:val="auto"/>
          <w:sz w:val="32"/>
          <w:szCs w:val="32"/>
          <w:highlight w:val="none"/>
        </w:rPr>
        <w:t>出决算情况说明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741.97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551.97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74.39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25.61</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271780</wp:posOffset>
            </wp:positionH>
            <wp:positionV relativeFrom="paragraph">
              <wp:posOffset>151765</wp:posOffset>
            </wp:positionV>
            <wp:extent cx="5059680" cy="3171190"/>
            <wp:effectExtent l="5080" t="4445" r="15240" b="12065"/>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18"/>
          <w:rFonts w:ascii="黑体" w:hAnsi="黑体" w:eastAsia="黑体"/>
          <w:b w:val="0"/>
          <w:color w:val="auto"/>
          <w:highlight w:val="none"/>
        </w:rPr>
      </w:pPr>
      <w:bookmarkStart w:id="22" w:name="_Toc15377208"/>
      <w:bookmarkStart w:id="23" w:name="_Toc15396606"/>
      <w:r>
        <w:rPr>
          <w:rFonts w:hint="eastAsia" w:ascii="黑体" w:hAnsi="黑体" w:eastAsia="黑体"/>
          <w:color w:val="auto"/>
          <w:sz w:val="32"/>
          <w:szCs w:val="32"/>
          <w:highlight w:val="none"/>
        </w:rPr>
        <w:t>四、财</w:t>
      </w:r>
      <w:r>
        <w:rPr>
          <w:rStyle w:val="18"/>
          <w:rFonts w:hint="eastAsia" w:ascii="黑体" w:hAnsi="黑体" w:eastAsia="黑体"/>
          <w:b w:val="0"/>
          <w:color w:val="auto"/>
          <w:highlight w:val="none"/>
        </w:rPr>
        <w:t>政拨款收入支出决算总体情况说明</w:t>
      </w:r>
      <w:bookmarkEnd w:id="22"/>
      <w:bookmarkEnd w:id="23"/>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741.97</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相比，财政拨款收、支总计各减少</w:t>
      </w:r>
      <w:r>
        <w:rPr>
          <w:rFonts w:hint="eastAsia" w:ascii="仿宋" w:hAnsi="仿宋" w:eastAsia="仿宋"/>
          <w:color w:val="auto"/>
          <w:sz w:val="32"/>
          <w:szCs w:val="32"/>
          <w:highlight w:val="none"/>
          <w:lang w:val="en-US" w:eastAsia="zh-CN"/>
        </w:rPr>
        <w:t>7.47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厉行节约，严格控制支出</w:t>
      </w:r>
      <w:r>
        <w:rPr>
          <w:rFonts w:hint="eastAsia" w:ascii="仿宋" w:hAnsi="仿宋" w:eastAsia="仿宋"/>
          <w:color w:val="auto"/>
          <w:sz w:val="32"/>
          <w:szCs w:val="32"/>
          <w:highlight w:val="none"/>
          <w:lang w:eastAsia="zh-CN"/>
        </w:rPr>
        <w:t>。</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889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18"/>
          <w:rFonts w:ascii="黑体" w:hAnsi="黑体" w:eastAsia="黑体"/>
          <w:b w:val="0"/>
          <w:color w:val="auto"/>
          <w:highlight w:val="none"/>
        </w:rPr>
      </w:pPr>
      <w:bookmarkStart w:id="24" w:name="_Toc15396607"/>
      <w:bookmarkStart w:id="25"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般公共预算财政拨款支出决算情况说明</w:t>
      </w:r>
      <w:bookmarkEnd w:id="24"/>
      <w:bookmarkEnd w:id="25"/>
    </w:p>
    <w:p>
      <w:pPr>
        <w:spacing w:line="600" w:lineRule="exact"/>
        <w:ind w:firstLine="643" w:firstLineChars="200"/>
        <w:outlineLvl w:val="2"/>
        <w:rPr>
          <w:rFonts w:ascii="仿宋" w:hAnsi="仿宋" w:eastAsia="仿宋"/>
          <w:b/>
          <w:color w:val="auto"/>
          <w:sz w:val="32"/>
          <w:szCs w:val="32"/>
          <w:highlight w:val="none"/>
        </w:rPr>
      </w:pPr>
      <w:bookmarkStart w:id="26" w:name="_Toc15377210"/>
      <w:r>
        <w:rPr>
          <w:rFonts w:hint="eastAsia" w:ascii="仿宋" w:hAnsi="仿宋" w:eastAsia="仿宋"/>
          <w:b/>
          <w:color w:val="auto"/>
          <w:sz w:val="32"/>
          <w:szCs w:val="32"/>
          <w:highlight w:val="none"/>
        </w:rPr>
        <w:t>（一）一般公共预算财政拨款支出决算总体情况</w:t>
      </w:r>
      <w:bookmarkEnd w:id="26"/>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741.97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7.47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厉行节约，严格控制支出</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8890"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27" w:name="_Toc15377211"/>
      <w:r>
        <w:rPr>
          <w:rFonts w:hint="eastAsia" w:ascii="仿宋" w:hAnsi="仿宋" w:eastAsia="仿宋"/>
          <w:b/>
          <w:color w:val="auto"/>
          <w:sz w:val="32"/>
          <w:szCs w:val="32"/>
          <w:highlight w:val="none"/>
        </w:rPr>
        <w:t>（二）一般公共预算财政拨款支出决算结构情况</w:t>
      </w:r>
      <w:bookmarkEnd w:id="27"/>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741.97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618.55</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83.37</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57.49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19.76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46.16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75580" cy="3082925"/>
            <wp:effectExtent l="4445" t="4445" r="15875" b="1143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28" w:name="_Toc15377212"/>
      <w:r>
        <w:rPr>
          <w:rFonts w:hint="eastAsia" w:ascii="仿宋" w:hAnsi="仿宋" w:eastAsia="仿宋"/>
          <w:b/>
          <w:color w:val="auto"/>
          <w:sz w:val="32"/>
          <w:szCs w:val="32"/>
          <w:highlight w:val="none"/>
        </w:rPr>
        <w:t>（三）一般公共预算财政拨款支出决算具体情况</w:t>
      </w:r>
      <w:bookmarkEnd w:id="28"/>
    </w:p>
    <w:p>
      <w:pPr>
        <w:spacing w:line="600" w:lineRule="exact"/>
        <w:ind w:firstLine="643" w:firstLineChars="200"/>
        <w:outlineLvl w:val="2"/>
        <w:rPr>
          <w:rFonts w:ascii="仿宋" w:hAnsi="仿宋" w:eastAsia="仿宋"/>
          <w:color w:val="auto"/>
          <w:sz w:val="32"/>
          <w:szCs w:val="32"/>
          <w:highlight w:val="none"/>
        </w:rPr>
      </w:pPr>
      <w:bookmarkStart w:id="29" w:name="_Toc15377444"/>
      <w:bookmarkStart w:id="30" w:name="_Toc15378460"/>
      <w:bookmarkStart w:id="31" w:name="_Toc15377213"/>
      <w:r>
        <w:rPr>
          <w:rFonts w:hint="eastAsia" w:ascii="仿宋" w:hAnsi="仿宋" w:eastAsia="仿宋"/>
          <w:b/>
          <w:color w:val="auto"/>
          <w:sz w:val="32"/>
          <w:szCs w:val="32"/>
          <w:highlight w:val="none"/>
          <w:lang w:eastAsia="zh-CN"/>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741.97万元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29"/>
      <w:bookmarkEnd w:id="30"/>
      <w:bookmarkEnd w:id="31"/>
    </w:p>
    <w:p>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1</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文化旅游体育与传媒（类）</w:t>
      </w:r>
      <w:r>
        <w:rPr>
          <w:rStyle w:val="15"/>
          <w:rFonts w:hint="eastAsia" w:ascii="仿宋" w:hAnsi="仿宋" w:eastAsia="仿宋"/>
          <w:bCs/>
          <w:color w:val="auto"/>
          <w:sz w:val="32"/>
          <w:szCs w:val="32"/>
          <w:highlight w:val="none"/>
          <w:lang w:val="en-US" w:eastAsia="zh-CN"/>
        </w:rPr>
        <w:t>广播电视</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广播电视事务</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618.55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与</w:t>
      </w:r>
      <w:r>
        <w:rPr>
          <w:rStyle w:val="15"/>
          <w:rFonts w:hint="eastAsia" w:ascii="仿宋" w:hAnsi="仿宋" w:eastAsia="仿宋"/>
          <w:b w:val="0"/>
          <w:bCs/>
          <w:color w:val="auto"/>
          <w:sz w:val="32"/>
          <w:szCs w:val="32"/>
          <w:highlight w:val="none"/>
        </w:rPr>
        <w:t>预算数</w:t>
      </w:r>
      <w:r>
        <w:rPr>
          <w:rStyle w:val="15"/>
          <w:rFonts w:hint="eastAsia" w:ascii="仿宋" w:hAnsi="仿宋" w:eastAsia="仿宋"/>
          <w:b w:val="0"/>
          <w:bCs/>
          <w:color w:val="auto"/>
          <w:sz w:val="32"/>
          <w:szCs w:val="32"/>
          <w:highlight w:val="none"/>
          <w:lang w:val="en-US" w:eastAsia="zh-CN"/>
        </w:rPr>
        <w:t>持平</w:t>
      </w:r>
      <w:r>
        <w:rPr>
          <w:rStyle w:val="15"/>
          <w:rFonts w:hint="eastAsia" w:ascii="仿宋" w:hAnsi="仿宋" w:eastAsia="仿宋"/>
          <w:b w:val="0"/>
          <w:bCs/>
          <w:color w:val="auto"/>
          <w:sz w:val="32"/>
          <w:szCs w:val="32"/>
          <w:highlight w:val="none"/>
        </w:rPr>
        <w:t>。</w:t>
      </w:r>
    </w:p>
    <w:p>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2</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val="en-US" w:eastAsia="zh-CN"/>
        </w:rPr>
        <w:t>行政事业单位养老支出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机关事业单位基本养老保险缴费支出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51.85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与</w:t>
      </w:r>
      <w:r>
        <w:rPr>
          <w:rStyle w:val="15"/>
          <w:rFonts w:hint="eastAsia" w:ascii="仿宋" w:hAnsi="仿宋" w:eastAsia="仿宋"/>
          <w:b w:val="0"/>
          <w:bCs/>
          <w:color w:val="auto"/>
          <w:sz w:val="32"/>
          <w:szCs w:val="32"/>
          <w:highlight w:val="none"/>
        </w:rPr>
        <w:t>预算数</w:t>
      </w:r>
      <w:r>
        <w:rPr>
          <w:rStyle w:val="15"/>
          <w:rFonts w:hint="eastAsia" w:ascii="仿宋" w:hAnsi="仿宋" w:eastAsia="仿宋"/>
          <w:b w:val="0"/>
          <w:bCs/>
          <w:color w:val="auto"/>
          <w:sz w:val="32"/>
          <w:szCs w:val="32"/>
          <w:highlight w:val="none"/>
          <w:lang w:val="en-US" w:eastAsia="zh-CN"/>
        </w:rPr>
        <w:t>持平</w:t>
      </w:r>
      <w:r>
        <w:rPr>
          <w:rStyle w:val="15"/>
          <w:rFonts w:hint="eastAsia" w:ascii="仿宋" w:hAnsi="仿宋" w:eastAsia="仿宋"/>
          <w:b w:val="0"/>
          <w:bCs/>
          <w:color w:val="auto"/>
          <w:sz w:val="32"/>
          <w:szCs w:val="32"/>
          <w:highlight w:val="none"/>
        </w:rPr>
        <w:t>。</w:t>
      </w:r>
    </w:p>
    <w:p>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val="en-US" w:eastAsia="zh-CN"/>
        </w:rPr>
        <w:t>抚恤</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死亡抚恤</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3.68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与</w:t>
      </w:r>
      <w:r>
        <w:rPr>
          <w:rStyle w:val="15"/>
          <w:rFonts w:hint="eastAsia" w:ascii="仿宋" w:hAnsi="仿宋" w:eastAsia="仿宋"/>
          <w:b w:val="0"/>
          <w:bCs/>
          <w:color w:val="auto"/>
          <w:sz w:val="32"/>
          <w:szCs w:val="32"/>
          <w:highlight w:val="none"/>
        </w:rPr>
        <w:t>预算数</w:t>
      </w:r>
      <w:r>
        <w:rPr>
          <w:rStyle w:val="15"/>
          <w:rFonts w:hint="eastAsia" w:ascii="仿宋" w:hAnsi="仿宋" w:eastAsia="仿宋"/>
          <w:b w:val="0"/>
          <w:bCs/>
          <w:color w:val="auto"/>
          <w:sz w:val="32"/>
          <w:szCs w:val="32"/>
          <w:highlight w:val="none"/>
          <w:lang w:val="en-US" w:eastAsia="zh-CN"/>
        </w:rPr>
        <w:t>持平</w:t>
      </w:r>
      <w:r>
        <w:rPr>
          <w:rStyle w:val="15"/>
          <w:rFonts w:hint="eastAsia" w:ascii="仿宋" w:hAnsi="仿宋" w:eastAsia="仿宋"/>
          <w:b w:val="0"/>
          <w:bCs/>
          <w:color w:val="auto"/>
          <w:sz w:val="32"/>
          <w:szCs w:val="32"/>
          <w:highlight w:val="none"/>
        </w:rPr>
        <w:t>。</w:t>
      </w:r>
    </w:p>
    <w:p>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val="en-US" w:eastAsia="zh-CN"/>
        </w:rPr>
        <w:t>其他社会保障和就业支出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其他社会保障和就业支出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1.97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与</w:t>
      </w:r>
      <w:r>
        <w:rPr>
          <w:rStyle w:val="15"/>
          <w:rFonts w:hint="eastAsia" w:ascii="仿宋" w:hAnsi="仿宋" w:eastAsia="仿宋"/>
          <w:b w:val="0"/>
          <w:bCs/>
          <w:color w:val="auto"/>
          <w:sz w:val="32"/>
          <w:szCs w:val="32"/>
          <w:highlight w:val="none"/>
        </w:rPr>
        <w:t>预算数</w:t>
      </w:r>
      <w:r>
        <w:rPr>
          <w:rStyle w:val="15"/>
          <w:rFonts w:hint="eastAsia" w:ascii="仿宋" w:hAnsi="仿宋" w:eastAsia="仿宋"/>
          <w:b w:val="0"/>
          <w:bCs/>
          <w:color w:val="auto"/>
          <w:sz w:val="32"/>
          <w:szCs w:val="32"/>
          <w:highlight w:val="none"/>
          <w:lang w:val="en-US" w:eastAsia="zh-CN"/>
        </w:rPr>
        <w:t>持平</w:t>
      </w:r>
      <w:r>
        <w:rPr>
          <w:rStyle w:val="15"/>
          <w:rFonts w:hint="eastAsia" w:ascii="仿宋" w:hAnsi="仿宋" w:eastAsia="仿宋"/>
          <w:b w:val="0"/>
          <w:bCs/>
          <w:color w:val="auto"/>
          <w:sz w:val="32"/>
          <w:szCs w:val="32"/>
          <w:highlight w:val="none"/>
        </w:rPr>
        <w:t>。</w:t>
      </w:r>
    </w:p>
    <w:p>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5</w:t>
      </w:r>
      <w:r>
        <w:rPr>
          <w:rStyle w:val="1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val="en-US"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事业单位医疗</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18.73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与</w:t>
      </w:r>
      <w:r>
        <w:rPr>
          <w:rStyle w:val="15"/>
          <w:rFonts w:hint="eastAsia" w:ascii="仿宋" w:hAnsi="仿宋" w:eastAsia="仿宋"/>
          <w:b w:val="0"/>
          <w:bCs/>
          <w:color w:val="auto"/>
          <w:sz w:val="32"/>
          <w:szCs w:val="32"/>
          <w:highlight w:val="none"/>
        </w:rPr>
        <w:t>预算数</w:t>
      </w:r>
      <w:r>
        <w:rPr>
          <w:rStyle w:val="15"/>
          <w:rFonts w:hint="eastAsia" w:ascii="仿宋" w:hAnsi="仿宋" w:eastAsia="仿宋"/>
          <w:b w:val="0"/>
          <w:bCs/>
          <w:color w:val="auto"/>
          <w:sz w:val="32"/>
          <w:szCs w:val="32"/>
          <w:highlight w:val="none"/>
          <w:lang w:val="en-US" w:eastAsia="zh-CN"/>
        </w:rPr>
        <w:t>持平</w:t>
      </w:r>
      <w:r>
        <w:rPr>
          <w:rStyle w:val="15"/>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val="en-US"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其他行政事业单位医疗支出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1.03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w:t>
      </w:r>
      <w:r>
        <w:rPr>
          <w:rStyle w:val="15"/>
          <w:rFonts w:hint="eastAsia" w:ascii="仿宋" w:hAnsi="仿宋" w:eastAsia="仿宋"/>
          <w:b w:val="0"/>
          <w:bCs/>
          <w:color w:val="auto"/>
          <w:sz w:val="32"/>
          <w:szCs w:val="32"/>
          <w:highlight w:val="none"/>
          <w:lang w:val="en-US" w:eastAsia="zh-CN"/>
        </w:rPr>
        <w:t>与</w:t>
      </w:r>
      <w:r>
        <w:rPr>
          <w:rStyle w:val="15"/>
          <w:rFonts w:hint="eastAsia" w:ascii="仿宋" w:hAnsi="仿宋" w:eastAsia="仿宋"/>
          <w:b w:val="0"/>
          <w:bCs/>
          <w:color w:val="auto"/>
          <w:sz w:val="32"/>
          <w:szCs w:val="32"/>
          <w:highlight w:val="none"/>
        </w:rPr>
        <w:t>预算数</w:t>
      </w:r>
      <w:r>
        <w:rPr>
          <w:rStyle w:val="15"/>
          <w:rFonts w:hint="eastAsia" w:ascii="仿宋" w:hAnsi="仿宋" w:eastAsia="仿宋"/>
          <w:b w:val="0"/>
          <w:bCs/>
          <w:color w:val="auto"/>
          <w:sz w:val="32"/>
          <w:szCs w:val="32"/>
          <w:highlight w:val="none"/>
          <w:lang w:val="en-US" w:eastAsia="zh-CN"/>
        </w:rPr>
        <w:t>持平</w:t>
      </w:r>
      <w:r>
        <w:rPr>
          <w:rStyle w:val="15"/>
          <w:rFonts w:hint="eastAsia" w:ascii="仿宋" w:hAnsi="仿宋" w:eastAsia="仿宋"/>
          <w:b w:val="0"/>
          <w:bCs/>
          <w:color w:val="auto"/>
          <w:sz w:val="32"/>
          <w:szCs w:val="32"/>
          <w:highlight w:val="none"/>
        </w:rPr>
        <w:t>。</w:t>
      </w:r>
    </w:p>
    <w:p>
      <w:pPr>
        <w:pStyle w:val="2"/>
        <w:ind w:firstLine="643" w:firstLineChars="200"/>
        <w:rPr>
          <w:rFonts w:ascii="仿宋" w:hAnsi="仿宋" w:eastAsia="仿宋"/>
          <w:b/>
          <w:color w:val="auto"/>
          <w:sz w:val="32"/>
          <w:szCs w:val="32"/>
          <w:highlight w:val="none"/>
        </w:rPr>
      </w:pPr>
      <w:r>
        <w:rPr>
          <w:rFonts w:hint="eastAsia" w:ascii="仿宋_GB2312" w:hAnsi="仿宋"/>
          <w:b/>
          <w:bCs/>
          <w:color w:val="000000"/>
          <w:sz w:val="32"/>
          <w:szCs w:val="32"/>
          <w:lang w:val="en-US" w:eastAsia="zh-CN"/>
        </w:rPr>
        <w:t>7.</w:t>
      </w:r>
      <w:r>
        <w:rPr>
          <w:rFonts w:hint="eastAsia" w:ascii="仿宋_GB2312" w:hAnsi="仿宋"/>
          <w:b/>
          <w:bCs/>
          <w:color w:val="000000"/>
          <w:sz w:val="32"/>
          <w:szCs w:val="32"/>
        </w:rPr>
        <w:t>住房保障（类）住房</w:t>
      </w:r>
      <w:r>
        <w:rPr>
          <w:rFonts w:hint="eastAsia" w:ascii="仿宋_GB2312" w:hAnsi="仿宋"/>
          <w:b/>
          <w:bCs/>
          <w:color w:val="000000"/>
          <w:sz w:val="32"/>
          <w:szCs w:val="32"/>
          <w:lang w:val="en-US" w:eastAsia="zh-CN"/>
        </w:rPr>
        <w:t>改革支出</w:t>
      </w:r>
      <w:r>
        <w:rPr>
          <w:rFonts w:hint="eastAsia" w:ascii="仿宋_GB2312" w:hAnsi="仿宋"/>
          <w:b/>
          <w:bCs/>
          <w:color w:val="000000"/>
          <w:sz w:val="32"/>
          <w:szCs w:val="32"/>
        </w:rPr>
        <w:t>（款）</w:t>
      </w:r>
      <w:r>
        <w:rPr>
          <w:rFonts w:hint="eastAsia" w:ascii="仿宋_GB2312" w:hAnsi="仿宋"/>
          <w:b/>
          <w:bCs/>
          <w:color w:val="000000"/>
          <w:sz w:val="32"/>
          <w:szCs w:val="32"/>
          <w:lang w:val="en-US" w:eastAsia="zh-CN"/>
        </w:rPr>
        <w:t>住房公积金</w:t>
      </w:r>
      <w:r>
        <w:rPr>
          <w:rFonts w:hint="eastAsia" w:ascii="仿宋_GB2312" w:hAnsi="仿宋"/>
          <w:b/>
          <w:bCs/>
          <w:color w:val="000000"/>
          <w:sz w:val="32"/>
          <w:szCs w:val="32"/>
        </w:rPr>
        <w:t>（项）：</w:t>
      </w:r>
      <w:r>
        <w:rPr>
          <w:rFonts w:hint="eastAsia" w:ascii="仿宋_GB2312" w:hAnsi="仿宋"/>
          <w:b w:val="0"/>
          <w:bCs w:val="0"/>
          <w:color w:val="000000"/>
          <w:sz w:val="32"/>
          <w:szCs w:val="32"/>
        </w:rPr>
        <w:t>支出决算数为</w:t>
      </w:r>
      <w:r>
        <w:rPr>
          <w:rFonts w:hint="eastAsia" w:ascii="仿宋_GB2312" w:hAnsi="仿宋"/>
          <w:b w:val="0"/>
          <w:bCs w:val="0"/>
          <w:color w:val="000000"/>
          <w:sz w:val="32"/>
          <w:szCs w:val="32"/>
          <w:lang w:val="en-US" w:eastAsia="zh-CN"/>
        </w:rPr>
        <w:t>46.16</w:t>
      </w:r>
      <w:r>
        <w:rPr>
          <w:rFonts w:hint="eastAsia" w:ascii="仿宋_GB2312" w:hAnsi="仿宋"/>
          <w:b w:val="0"/>
          <w:bCs w:val="0"/>
          <w:color w:val="000000"/>
          <w:sz w:val="32"/>
          <w:szCs w:val="32"/>
        </w:rPr>
        <w:t>万元，完成预</w:t>
      </w:r>
      <w:r>
        <w:rPr>
          <w:rFonts w:hint="eastAsia" w:ascii="仿宋_GB2312" w:hAnsi="仿宋"/>
          <w:b w:val="0"/>
          <w:bCs w:val="0"/>
          <w:color w:val="000000"/>
          <w:sz w:val="32"/>
          <w:szCs w:val="32"/>
          <w:lang w:val="en-US" w:eastAsia="zh-CN"/>
        </w:rPr>
        <w:t>算100%，</w:t>
      </w:r>
      <w:r>
        <w:rPr>
          <w:rStyle w:val="22"/>
          <w:rFonts w:hint="eastAsia" w:ascii="仿宋_GB2312" w:hAnsi="仿宋"/>
          <w:b w:val="0"/>
          <w:bCs w:val="0"/>
          <w:color w:val="000000"/>
          <w:sz w:val="32"/>
          <w:szCs w:val="32"/>
          <w:highlight w:val="none"/>
        </w:rPr>
        <w:t>决算数</w:t>
      </w:r>
      <w:r>
        <w:rPr>
          <w:rStyle w:val="22"/>
          <w:rFonts w:hint="eastAsia" w:ascii="仿宋_GB2312" w:hAnsi="仿宋"/>
          <w:b w:val="0"/>
          <w:bCs w:val="0"/>
          <w:color w:val="000000"/>
          <w:sz w:val="32"/>
          <w:szCs w:val="32"/>
          <w:highlight w:val="none"/>
          <w:lang w:val="en-US" w:eastAsia="zh-CN"/>
        </w:rPr>
        <w:t>与</w:t>
      </w:r>
      <w:r>
        <w:rPr>
          <w:rStyle w:val="22"/>
          <w:rFonts w:hint="eastAsia" w:ascii="仿宋_GB2312" w:hAnsi="仿宋"/>
          <w:b w:val="0"/>
          <w:bCs w:val="0"/>
          <w:color w:val="000000"/>
          <w:sz w:val="32"/>
          <w:szCs w:val="32"/>
          <w:highlight w:val="none"/>
        </w:rPr>
        <w:t>预算数</w:t>
      </w:r>
      <w:r>
        <w:rPr>
          <w:rStyle w:val="22"/>
          <w:rFonts w:hint="eastAsia" w:ascii="仿宋_GB2312" w:hAnsi="仿宋"/>
          <w:b w:val="0"/>
          <w:bCs w:val="0"/>
          <w:color w:val="000000"/>
          <w:sz w:val="32"/>
          <w:szCs w:val="32"/>
          <w:highlight w:val="none"/>
          <w:lang w:val="en-US" w:eastAsia="zh-CN"/>
        </w:rPr>
        <w:t>持平</w:t>
      </w:r>
      <w:r>
        <w:rPr>
          <w:rStyle w:val="22"/>
          <w:rFonts w:hint="eastAsia" w:ascii="仿宋_GB2312" w:hAnsi="仿宋"/>
          <w:b w:val="0"/>
          <w:bCs w:val="0"/>
          <w:color w:val="000000"/>
          <w:sz w:val="32"/>
          <w:szCs w:val="32"/>
          <w:highlight w:val="none"/>
        </w:rPr>
        <w:t>。</w:t>
      </w:r>
    </w:p>
    <w:p>
      <w:pPr>
        <w:tabs>
          <w:tab w:val="right" w:pos="8306"/>
        </w:tabs>
        <w:spacing w:line="600" w:lineRule="exact"/>
        <w:ind w:firstLine="640"/>
        <w:outlineLvl w:val="1"/>
        <w:rPr>
          <w:rStyle w:val="18"/>
          <w:color w:val="auto"/>
          <w:highlight w:val="none"/>
        </w:rPr>
      </w:pPr>
      <w:bookmarkStart w:id="32" w:name="_Toc15377214"/>
      <w:bookmarkStart w:id="33"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32"/>
      <w:bookmarkEnd w:id="33"/>
      <w:r>
        <w:rPr>
          <w:rStyle w:val="1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551.97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496.43</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55.54</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8"/>
          <w:rFonts w:ascii="黑体" w:hAnsi="黑体" w:eastAsia="黑体"/>
          <w:b w:val="0"/>
          <w:color w:val="auto"/>
          <w:highlight w:val="none"/>
        </w:rPr>
      </w:pPr>
      <w:bookmarkStart w:id="34" w:name="_Toc15396609"/>
      <w:bookmarkStart w:id="35" w:name="_Toc15377215"/>
      <w:r>
        <w:rPr>
          <w:rFonts w:hint="eastAsia" w:ascii="黑体" w:eastAsia="黑体"/>
          <w:color w:val="auto"/>
          <w:sz w:val="32"/>
          <w:szCs w:val="32"/>
          <w:highlight w:val="none"/>
        </w:rPr>
        <w:t>七、</w:t>
      </w:r>
      <w:r>
        <w:rPr>
          <w:rStyle w:val="18"/>
          <w:rFonts w:hint="eastAsia" w:ascii="黑体" w:hAnsi="黑体" w:eastAsia="黑体"/>
          <w:b w:val="0"/>
          <w:color w:val="auto"/>
          <w:highlight w:val="none"/>
        </w:rPr>
        <w:t>财政拨款</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三公”经费支出决算情况说明</w:t>
      </w:r>
      <w:bookmarkEnd w:id="34"/>
      <w:bookmarkEnd w:id="35"/>
    </w:p>
    <w:p>
      <w:pPr>
        <w:spacing w:line="600" w:lineRule="exact"/>
        <w:ind w:firstLine="640"/>
        <w:outlineLvl w:val="2"/>
        <w:rPr>
          <w:rFonts w:ascii="仿宋" w:hAnsi="仿宋" w:eastAsia="仿宋"/>
          <w:b/>
          <w:color w:val="auto"/>
          <w:sz w:val="32"/>
          <w:szCs w:val="32"/>
          <w:highlight w:val="none"/>
        </w:rPr>
      </w:pPr>
      <w:bookmarkStart w:id="36" w:name="_Toc15377216"/>
      <w:r>
        <w:rPr>
          <w:rFonts w:hint="eastAsia" w:ascii="仿宋" w:hAnsi="仿宋" w:eastAsia="仿宋"/>
          <w:b/>
          <w:color w:val="auto"/>
          <w:sz w:val="32"/>
          <w:szCs w:val="32"/>
          <w:highlight w:val="none"/>
        </w:rPr>
        <w:t>（一）“三公”经费财政拨款支出决算总体情况说明</w:t>
      </w:r>
      <w:bookmarkEnd w:id="36"/>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15.56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15.56万元，增长100%。</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37" w:name="_Toc15377217"/>
      <w:r>
        <w:rPr>
          <w:rFonts w:hint="eastAsia" w:ascii="仿宋" w:hAnsi="仿宋" w:eastAsia="仿宋"/>
          <w:b/>
          <w:color w:val="auto"/>
          <w:sz w:val="32"/>
          <w:szCs w:val="32"/>
          <w:highlight w:val="none"/>
        </w:rPr>
        <w:t>（二）“三公”经费财政拨款支出决算具体情况说明</w:t>
      </w:r>
      <w:bookmarkEnd w:id="37"/>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96.40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889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w:t>
      </w:r>
      <w:r>
        <w:rPr>
          <w:rFonts w:hint="eastAsia" w:ascii="仿宋_GB2312"/>
          <w:color w:val="auto"/>
          <w:sz w:val="32"/>
          <w:szCs w:val="32"/>
          <w:highlight w:val="none"/>
          <w:lang w:val="en-US" w:eastAsia="zh-CN"/>
        </w:rPr>
        <w:t>3</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color w:val="auto"/>
          <w:sz w:val="32"/>
          <w:szCs w:val="32"/>
          <w:highlight w:val="none"/>
          <w:lang w:val="en-US" w:eastAsia="zh-CN"/>
        </w:rPr>
        <w:t>15</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w:t>
      </w:r>
      <w:r>
        <w:rPr>
          <w:rFonts w:hint="eastAsia" w:ascii="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color w:val="auto"/>
          <w:sz w:val="32"/>
          <w:szCs w:val="32"/>
          <w:highlight w:val="none"/>
          <w:lang w:val="en-US" w:eastAsia="zh-CN"/>
        </w:rPr>
        <w:t>15</w:t>
      </w:r>
      <w:r>
        <w:rPr>
          <w:rFonts w:hint="eastAsia" w:ascii="仿宋_GB2312" w:eastAsia="仿宋_GB2312"/>
          <w:color w:val="auto"/>
          <w:sz w:val="32"/>
          <w:szCs w:val="32"/>
          <w:highlight w:val="none"/>
        </w:rPr>
        <w:t>万元，增长</w:t>
      </w:r>
      <w:r>
        <w:rPr>
          <w:rFonts w:hint="eastAsia" w:ascii="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color w:val="auto"/>
          <w:sz w:val="32"/>
          <w:szCs w:val="32"/>
          <w:highlight w:val="none"/>
          <w:lang w:val="en-US" w:eastAsia="zh-CN"/>
        </w:rPr>
        <w:t>采访用车运行维护费增加</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color w:val="auto"/>
          <w:sz w:val="32"/>
          <w:szCs w:val="32"/>
          <w:highlight w:val="none"/>
          <w:lang w:val="en-US" w:eastAsia="zh-CN"/>
        </w:rPr>
        <w:t>15</w:t>
      </w:r>
      <w:r>
        <w:rPr>
          <w:rFonts w:hint="eastAsia" w:ascii="仿宋_GB2312" w:eastAsia="仿宋_GB2312"/>
          <w:color w:val="auto"/>
          <w:sz w:val="32"/>
          <w:szCs w:val="32"/>
          <w:highlight w:val="none"/>
        </w:rPr>
        <w:t>万元。主要用于作</w:t>
      </w:r>
      <w:r>
        <w:rPr>
          <w:rFonts w:hint="eastAsia" w:ascii="仿宋_GB2312"/>
          <w:color w:val="auto"/>
          <w:sz w:val="32"/>
          <w:szCs w:val="32"/>
          <w:highlight w:val="none"/>
          <w:lang w:val="en-US" w:eastAsia="zh-CN"/>
        </w:rPr>
        <w:t>采访用车</w:t>
      </w:r>
      <w:r>
        <w:rPr>
          <w:rFonts w:hint="eastAsia" w:ascii="仿宋_GB2312" w:eastAsia="仿宋_GB2312"/>
          <w:color w:val="auto"/>
          <w:sz w:val="32"/>
          <w:szCs w:val="32"/>
          <w:highlight w:val="none"/>
        </w:rPr>
        <w:t>所需的燃料费、维修费、过路过桥费、保险费等支出。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color w:val="auto"/>
          <w:sz w:val="32"/>
          <w:szCs w:val="32"/>
          <w:highlight w:val="none"/>
          <w:lang w:val="en-US" w:eastAsia="zh-CN"/>
        </w:rPr>
        <w:t>0.56</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37.33</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color w:val="auto"/>
          <w:sz w:val="32"/>
          <w:szCs w:val="32"/>
          <w:highlight w:val="none"/>
          <w:lang w:val="en-US" w:eastAsia="zh-CN"/>
        </w:rPr>
        <w:t>0.56</w:t>
      </w:r>
      <w:r>
        <w:rPr>
          <w:rFonts w:hint="eastAsia" w:ascii="仿宋_GB2312" w:eastAsia="仿宋_GB2312"/>
          <w:color w:val="auto"/>
          <w:sz w:val="32"/>
          <w:szCs w:val="32"/>
          <w:highlight w:val="none"/>
        </w:rPr>
        <w:t>万元，增长</w:t>
      </w:r>
      <w:r>
        <w:rPr>
          <w:rFonts w:hint="eastAsia" w:ascii="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color w:val="auto"/>
          <w:sz w:val="32"/>
          <w:szCs w:val="32"/>
          <w:highlight w:val="none"/>
          <w:lang w:val="en-US" w:eastAsia="zh-CN"/>
        </w:rPr>
        <w:t>本年公务接待增加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shd w:val="clear" w:color="auto" w:fill="auto"/>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0.56</w:t>
      </w:r>
      <w:r>
        <w:rPr>
          <w:rFonts w:hint="eastAsia" w:ascii="仿宋_GB2312" w:eastAsia="仿宋_GB2312"/>
          <w:color w:val="auto"/>
          <w:sz w:val="32"/>
          <w:szCs w:val="32"/>
          <w:highlight w:val="none"/>
        </w:rPr>
        <w:t>万元，主要用于执行公务、开</w:t>
      </w:r>
      <w:r>
        <w:rPr>
          <w:rFonts w:hint="eastAsia" w:ascii="仿宋_GB2312" w:eastAsia="仿宋_GB2312"/>
          <w:color w:val="auto"/>
          <w:sz w:val="32"/>
          <w:szCs w:val="32"/>
          <w:highlight w:val="none"/>
          <w:shd w:val="clear" w:color="auto" w:fill="auto"/>
        </w:rPr>
        <w:t>展业务活动开支的交通费、住宿费、用餐费等。国内公务接待</w:t>
      </w:r>
      <w:r>
        <w:rPr>
          <w:rFonts w:hint="eastAsia" w:ascii="仿宋_GB2312"/>
          <w:color w:val="auto"/>
          <w:sz w:val="32"/>
          <w:szCs w:val="32"/>
          <w:highlight w:val="none"/>
          <w:shd w:val="clear" w:color="auto" w:fill="auto"/>
          <w:lang w:val="en-US" w:eastAsia="zh-CN"/>
        </w:rPr>
        <w:t>5</w:t>
      </w:r>
      <w:r>
        <w:rPr>
          <w:rFonts w:hint="eastAsia" w:ascii="仿宋_GB2312" w:eastAsia="仿宋_GB2312"/>
          <w:color w:val="auto"/>
          <w:sz w:val="32"/>
          <w:szCs w:val="32"/>
          <w:highlight w:val="none"/>
          <w:shd w:val="clear" w:color="auto" w:fill="auto"/>
        </w:rPr>
        <w:t>批次，</w:t>
      </w:r>
      <w:r>
        <w:rPr>
          <w:rFonts w:hint="eastAsia" w:ascii="仿宋_GB2312"/>
          <w:color w:val="auto"/>
          <w:sz w:val="32"/>
          <w:szCs w:val="32"/>
          <w:highlight w:val="none"/>
          <w:shd w:val="clear" w:color="auto" w:fill="auto"/>
          <w:lang w:val="en-US" w:eastAsia="zh-CN"/>
        </w:rPr>
        <w:t>86</w:t>
      </w:r>
      <w:r>
        <w:rPr>
          <w:rFonts w:hint="eastAsia" w:ascii="仿宋_GB2312" w:eastAsia="仿宋_GB2312"/>
          <w:color w:val="auto"/>
          <w:sz w:val="32"/>
          <w:szCs w:val="32"/>
          <w:highlight w:val="none"/>
          <w:shd w:val="clear" w:color="auto" w:fill="auto"/>
        </w:rPr>
        <w:t>人次（不包括陪同人员），共计支出</w:t>
      </w:r>
      <w:r>
        <w:rPr>
          <w:rFonts w:hint="eastAsia" w:ascii="仿宋_GB2312"/>
          <w:color w:val="auto"/>
          <w:sz w:val="32"/>
          <w:szCs w:val="32"/>
          <w:highlight w:val="none"/>
          <w:shd w:val="clear" w:color="auto" w:fill="auto"/>
          <w:lang w:val="en-US" w:eastAsia="zh-CN"/>
        </w:rPr>
        <w:t>0.56</w:t>
      </w:r>
      <w:r>
        <w:rPr>
          <w:rFonts w:hint="eastAsia" w:ascii="仿宋_GB2312" w:eastAsia="仿宋_GB2312"/>
          <w:color w:val="auto"/>
          <w:sz w:val="32"/>
          <w:szCs w:val="32"/>
          <w:highlight w:val="none"/>
          <w:shd w:val="clear" w:color="auto" w:fill="auto"/>
        </w:rPr>
        <w:t>万元，具体内容包括：</w:t>
      </w:r>
      <w:r>
        <w:rPr>
          <w:rFonts w:hint="eastAsia" w:ascii="仿宋_GB2312"/>
          <w:color w:val="auto"/>
          <w:sz w:val="32"/>
          <w:szCs w:val="32"/>
          <w:highlight w:val="none"/>
          <w:shd w:val="clear" w:color="auto" w:fill="auto"/>
          <w:lang w:val="en-US" w:eastAsia="zh-CN"/>
        </w:rPr>
        <w:t>开展业务活动用餐</w:t>
      </w:r>
      <w:r>
        <w:rPr>
          <w:rFonts w:hint="eastAsia" w:ascii="仿宋_GB2312" w:eastAsia="仿宋_GB2312"/>
          <w:color w:val="auto"/>
          <w:sz w:val="32"/>
          <w:szCs w:val="32"/>
          <w:highlight w:val="none"/>
          <w:shd w:val="clear" w:color="auto" w:fill="auto"/>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Fonts w:ascii="黑体" w:eastAsia="黑体"/>
          <w:color w:val="auto"/>
          <w:sz w:val="32"/>
          <w:szCs w:val="32"/>
          <w:highlight w:val="none"/>
        </w:rPr>
      </w:pPr>
      <w:bookmarkStart w:id="38" w:name="_Toc15377218"/>
      <w:bookmarkStart w:id="39" w:name="_Toc15396610"/>
    </w:p>
    <w:p>
      <w:pPr>
        <w:spacing w:line="600" w:lineRule="exact"/>
        <w:ind w:firstLine="640"/>
        <w:outlineLvl w:val="1"/>
        <w:rPr>
          <w:rStyle w:val="18"/>
          <w:rFonts w:ascii="黑体" w:hAnsi="黑体" w:eastAsia="黑体"/>
          <w:color w:val="auto"/>
          <w:highlight w:val="none"/>
        </w:rPr>
      </w:pPr>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38"/>
      <w:bookmarkEnd w:id="39"/>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18"/>
          <w:rFonts w:ascii="黑体" w:hAnsi="黑体" w:eastAsia="黑体"/>
          <w:b w:val="0"/>
          <w:color w:val="auto"/>
          <w:highlight w:val="none"/>
        </w:rPr>
      </w:pPr>
      <w:bookmarkStart w:id="40" w:name="_Toc15377219"/>
      <w:bookmarkStart w:id="41" w:name="_Toc15396611"/>
      <w:r>
        <w:rPr>
          <w:rStyle w:val="18"/>
          <w:rFonts w:hint="eastAsia" w:ascii="黑体" w:hAnsi="黑体" w:eastAsia="黑体"/>
          <w:b w:val="0"/>
          <w:color w:val="auto"/>
          <w:highlight w:val="none"/>
        </w:rPr>
        <w:t>国有资本经营预算支出决算情况说明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18"/>
          <w:rFonts w:hint="eastAsia" w:ascii="黑体" w:hAnsi="黑体" w:eastAsia="黑体"/>
          <w:b w:val="0"/>
          <w:color w:val="auto"/>
          <w:highlight w:val="none"/>
        </w:rPr>
      </w:pPr>
      <w:bookmarkStart w:id="42" w:name="_Toc15396612"/>
      <w:bookmarkStart w:id="43" w:name="_Toc15377221"/>
      <w:r>
        <w:rPr>
          <w:rStyle w:val="18"/>
          <w:rFonts w:hint="eastAsia" w:ascii="黑体" w:hAnsi="黑体" w:eastAsia="黑体"/>
          <w:b w:val="0"/>
          <w:color w:val="auto"/>
          <w:highlight w:val="none"/>
        </w:rPr>
        <w:t>其他重要事项的情况说明</w:t>
      </w:r>
      <w:bookmarkEnd w:id="42"/>
      <w:bookmarkEnd w:id="43"/>
    </w:p>
    <w:p>
      <w:pPr>
        <w:spacing w:line="600" w:lineRule="exact"/>
        <w:ind w:firstLine="643" w:firstLineChars="200"/>
        <w:outlineLvl w:val="2"/>
        <w:rPr>
          <w:rFonts w:ascii="仿宋" w:hAnsi="仿宋" w:eastAsia="仿宋"/>
          <w:color w:val="auto"/>
          <w:sz w:val="32"/>
          <w:szCs w:val="32"/>
          <w:highlight w:val="none"/>
        </w:rPr>
      </w:pPr>
      <w:bookmarkStart w:id="44" w:name="_Toc15377222"/>
      <w:r>
        <w:rPr>
          <w:rFonts w:hint="eastAsia" w:ascii="仿宋" w:hAnsi="仿宋" w:eastAsia="仿宋"/>
          <w:b/>
          <w:color w:val="auto"/>
          <w:sz w:val="32"/>
          <w:szCs w:val="32"/>
          <w:highlight w:val="none"/>
        </w:rPr>
        <w:t>（一）机关运行经费支出情况</w:t>
      </w:r>
      <w:bookmarkEnd w:id="44"/>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w:t>
      </w: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color w:val="auto"/>
          <w:sz w:val="32"/>
          <w:szCs w:val="32"/>
          <w:highlight w:val="none"/>
          <w:lang w:val="en-US" w:eastAsia="zh-CN"/>
        </w:rPr>
        <w:t>融媒体中心</w:t>
      </w:r>
      <w:r>
        <w:rPr>
          <w:rFonts w:hint="eastAsia" w:ascii="仿宋_GB2312" w:eastAsia="仿宋_GB2312"/>
          <w:color w:val="auto"/>
          <w:sz w:val="32"/>
          <w:szCs w:val="32"/>
          <w:highlight w:val="none"/>
        </w:rPr>
        <w:t>机关运行经费支出</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5" w:name="_Toc15377223"/>
      <w:r>
        <w:rPr>
          <w:rFonts w:hint="eastAsia" w:ascii="仿宋" w:hAnsi="仿宋" w:eastAsia="仿宋"/>
          <w:b/>
          <w:color w:val="auto"/>
          <w:sz w:val="32"/>
          <w:szCs w:val="32"/>
          <w:highlight w:val="none"/>
        </w:rPr>
        <w:t>（二）政府采购支出情况</w:t>
      </w:r>
      <w:bookmarkEnd w:id="45"/>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color w:val="auto"/>
          <w:sz w:val="32"/>
          <w:szCs w:val="32"/>
          <w:highlight w:val="none"/>
          <w:lang w:val="en-US" w:eastAsia="zh-CN"/>
        </w:rPr>
        <w:t>融媒体中心</w:t>
      </w:r>
      <w:r>
        <w:rPr>
          <w:rFonts w:hint="eastAsia" w:ascii="仿宋_GB2312" w:eastAsia="仿宋_GB2312"/>
          <w:color w:val="auto"/>
          <w:sz w:val="32"/>
          <w:szCs w:val="32"/>
          <w:highlight w:val="none"/>
        </w:rPr>
        <w:t>政府采购支出总额</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6" w:name="_Toc15377224"/>
      <w:r>
        <w:rPr>
          <w:rFonts w:hint="eastAsia" w:ascii="仿宋" w:hAnsi="仿宋" w:eastAsia="仿宋"/>
          <w:b/>
          <w:color w:val="auto"/>
          <w:sz w:val="32"/>
          <w:szCs w:val="32"/>
          <w:highlight w:val="none"/>
        </w:rPr>
        <w:t>（三）国有资产占有使用情况</w:t>
      </w:r>
      <w:bookmarkEnd w:id="46"/>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color w:val="auto"/>
          <w:sz w:val="32"/>
          <w:szCs w:val="32"/>
          <w:highlight w:val="none"/>
          <w:lang w:val="en-US" w:eastAsia="zh-CN"/>
        </w:rPr>
        <w:t>融媒体中心</w:t>
      </w:r>
      <w:r>
        <w:rPr>
          <w:rFonts w:hint="eastAsia" w:ascii="仿宋_GB2312" w:eastAsia="仿宋_GB2312"/>
          <w:color w:val="auto"/>
          <w:sz w:val="32"/>
          <w:szCs w:val="32"/>
          <w:highlight w:val="none"/>
        </w:rPr>
        <w:t>共有车辆</w:t>
      </w:r>
      <w:r>
        <w:rPr>
          <w:rFonts w:hint="eastAsia" w:ascii="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（不含车辆）</w:t>
      </w:r>
      <w:r>
        <w:rPr>
          <w:rFonts w:hint="eastAsia" w:ascii="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321" w:firstLineChars="1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cs="仿宋_GB2312"/>
          <w:color w:val="auto"/>
          <w:sz w:val="32"/>
          <w:szCs w:val="32"/>
          <w:highlight w:val="none"/>
          <w:lang w:val="en-US" w:eastAsia="zh-CN"/>
        </w:rPr>
        <w:t>融媒体中心运行经费</w:t>
      </w:r>
      <w:r>
        <w:rPr>
          <w:rFonts w:hint="eastAsia" w:ascii="仿宋_GB2312" w:hAnsi="仿宋_GB2312" w:eastAsia="仿宋_GB2312" w:cs="仿宋_GB2312"/>
          <w:color w:val="auto"/>
          <w:sz w:val="32"/>
          <w:szCs w:val="32"/>
          <w:highlight w:val="none"/>
        </w:rPr>
        <w:t>项目</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w:t>
      </w:r>
      <w:r>
        <w:rPr>
          <w:rFonts w:hint="eastAsia" w:ascii="仿宋_GB2312" w:hAnsi="仿宋_GB2312" w:cs="仿宋_GB2312"/>
          <w:color w:val="auto"/>
          <w:sz w:val="32"/>
          <w:szCs w:val="32"/>
          <w:highlight w:val="none"/>
          <w:lang w:val="en-US" w:eastAsia="zh-CN"/>
        </w:rPr>
        <w:t>券</w:t>
      </w:r>
      <w:r>
        <w:rPr>
          <w:rFonts w:hint="eastAsia" w:ascii="仿宋_GB2312" w:hAnsi="仿宋_GB2312" w:eastAsia="仿宋_GB2312" w:cs="仿宋_GB2312"/>
          <w:color w:val="auto"/>
          <w:sz w:val="32"/>
          <w:szCs w:val="32"/>
          <w:highlight w:val="none"/>
          <w:lang w:eastAsia="zh-CN"/>
        </w:rPr>
        <w:t>资金等</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hAnsi="仿宋_GB2312" w:cs="仿宋_GB2312"/>
          <w:color w:val="auto"/>
          <w:sz w:val="32"/>
          <w:szCs w:val="32"/>
          <w:highlight w:val="none"/>
          <w:lang w:val="en-US" w:eastAsia="zh-CN"/>
        </w:rPr>
        <w:t>蓬溪县融媒体中心</w:t>
      </w:r>
      <w:r>
        <w:rPr>
          <w:rFonts w:hint="eastAsia" w:ascii="仿宋_GB2312" w:hAnsi="仿宋_GB2312" w:eastAsia="仿宋_GB2312" w:cs="仿宋_GB2312"/>
          <w:color w:val="auto"/>
          <w:sz w:val="32"/>
          <w:szCs w:val="32"/>
          <w:highlight w:val="none"/>
          <w:lang w:eastAsia="zh-CN"/>
        </w:rPr>
        <w:t>部门整体</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含部门预算项目</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hAnsi="仿宋_GB2312" w:cs="仿宋_GB2312"/>
          <w:color w:val="auto"/>
          <w:sz w:val="32"/>
          <w:szCs w:val="32"/>
          <w:highlight w:val="none"/>
          <w:lang w:val="en-US" w:eastAsia="zh-CN"/>
        </w:rPr>
        <w:t>蓬溪县融媒体中心</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w:t>
      </w:r>
      <w:r>
        <w:rPr>
          <w:rFonts w:hint="eastAsia" w:ascii="仿宋_GB2312" w:hAnsi="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lang w:val="en-US" w:eastAsia="zh-CN"/>
        </w:rPr>
        <w:t>分，绩效自评综述：</w:t>
      </w:r>
      <w:r>
        <w:rPr>
          <w:rFonts w:hint="eastAsia" w:ascii="仿宋_GB2312" w:hAnsi="仿宋_GB2312" w:cs="仿宋_GB2312"/>
          <w:color w:val="auto"/>
          <w:sz w:val="32"/>
          <w:szCs w:val="32"/>
          <w:highlight w:val="none"/>
          <w:lang w:val="en-US" w:eastAsia="zh-CN"/>
        </w:rPr>
        <w:t>严格按照县级部门预算编制通知和有关要求，按时完成基础工作，按时提交部门预算草案，严格按照绩效预算目标申报表、目标体系、目标值等进行合理设置，确保质量控制、范围规模符合要求</w:t>
      </w:r>
      <w:r>
        <w:rPr>
          <w:rFonts w:hint="eastAsia"/>
          <w:lang w:val="en-US" w:eastAsia="zh-CN"/>
        </w:rPr>
        <w:t>，本部门预算执行已达到预期绩效目标</w:t>
      </w:r>
      <w:r>
        <w:rPr>
          <w:rFonts w:hint="eastAsia" w:ascii="仿宋_GB2312" w:hAnsi="仿宋_GB2312" w:eastAsia="仿宋_GB2312" w:cs="仿宋_GB2312"/>
          <w:color w:val="auto"/>
          <w:sz w:val="32"/>
          <w:szCs w:val="32"/>
          <w:highlight w:val="none"/>
          <w:lang w:val="en-US" w:eastAsia="zh-CN"/>
        </w:rPr>
        <w:t>；绩效自评报告详见附件。</w:t>
      </w:r>
    </w:p>
    <w:p>
      <w:pPr>
        <w:widowControl/>
        <w:ind w:firstLine="643" w:firstLineChars="200"/>
        <w:jc w:val="left"/>
        <w:rPr>
          <w:rFonts w:ascii="仿宋_GB2312" w:eastAsia="仿宋_GB2312"/>
          <w:b/>
          <w:color w:val="auto"/>
          <w:sz w:val="32"/>
          <w:szCs w:val="32"/>
          <w:highlight w:val="none"/>
        </w:rPr>
      </w:pPr>
    </w:p>
    <w:p>
      <w:pPr>
        <w:numPr>
          <w:ilvl w:val="0"/>
          <w:numId w:val="4"/>
        </w:numPr>
        <w:spacing w:line="600" w:lineRule="exact"/>
        <w:ind w:firstLine="660" w:firstLineChars="150"/>
        <w:jc w:val="center"/>
        <w:outlineLvl w:val="0"/>
        <w:rPr>
          <w:rStyle w:val="17"/>
          <w:rFonts w:ascii="黑体" w:hAnsi="黑体" w:eastAsia="黑体"/>
          <w:b w:val="0"/>
          <w:color w:val="auto"/>
          <w:highlight w:val="none"/>
        </w:rPr>
      </w:pPr>
      <w:bookmarkStart w:id="47" w:name="_Toc15377225"/>
      <w:bookmarkStart w:id="48" w:name="_Toc15396613"/>
      <w:r>
        <w:rPr>
          <w:rFonts w:hint="eastAsia" w:ascii="黑体" w:hAnsi="黑体" w:eastAsia="黑体"/>
          <w:color w:val="auto"/>
          <w:sz w:val="44"/>
          <w:szCs w:val="44"/>
          <w:highlight w:val="none"/>
        </w:rPr>
        <w:t>名</w:t>
      </w:r>
      <w:r>
        <w:rPr>
          <w:rStyle w:val="17"/>
          <w:rFonts w:hint="eastAsia" w:ascii="黑体" w:hAnsi="黑体" w:eastAsia="黑体"/>
          <w:b w:val="0"/>
          <w:color w:val="auto"/>
          <w:highlight w:val="none"/>
        </w:rPr>
        <w:t>词解释</w:t>
      </w:r>
      <w:bookmarkEnd w:id="47"/>
      <w:bookmarkEnd w:id="48"/>
    </w:p>
    <w:p>
      <w:pPr>
        <w:spacing w:line="600" w:lineRule="exact"/>
        <w:jc w:val="left"/>
        <w:rPr>
          <w:rFonts w:ascii="宋体"/>
          <w:b/>
          <w:color w:val="auto"/>
          <w:sz w:val="44"/>
          <w:szCs w:val="44"/>
          <w:highlight w:val="none"/>
        </w:rPr>
      </w:pP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hint="eastAsia" w:ascii="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w:t>
      </w:r>
      <w:r>
        <w:rPr>
          <w:rFonts w:hint="eastAsia" w:ascii="仿宋_GB2312"/>
          <w:color w:val="auto"/>
          <w:sz w:val="32"/>
          <w:szCs w:val="32"/>
          <w:highlight w:val="none"/>
          <w:lang w:val="en-US" w:eastAsia="zh-CN"/>
        </w:rPr>
        <w:t>广播电视</w:t>
      </w:r>
      <w:r>
        <w:rPr>
          <w:rFonts w:hint="eastAsia" w:ascii="仿宋_GB2312" w:eastAsia="仿宋_GB2312"/>
          <w:color w:val="auto"/>
          <w:sz w:val="32"/>
          <w:szCs w:val="32"/>
          <w:highlight w:val="none"/>
        </w:rPr>
        <w:t>（款）</w:t>
      </w:r>
      <w:r>
        <w:rPr>
          <w:rFonts w:hint="eastAsia" w:ascii="仿宋_GB2312"/>
          <w:color w:val="auto"/>
          <w:sz w:val="32"/>
          <w:szCs w:val="32"/>
          <w:highlight w:val="none"/>
          <w:lang w:val="en-US" w:eastAsia="zh-CN"/>
        </w:rPr>
        <w:t>广播电视事务</w:t>
      </w:r>
      <w:r>
        <w:rPr>
          <w:rFonts w:hint="eastAsia" w:ascii="仿宋_GB2312" w:eastAsia="仿宋_GB2312"/>
          <w:color w:val="auto"/>
          <w:sz w:val="32"/>
          <w:szCs w:val="32"/>
          <w:highlight w:val="none"/>
        </w:rPr>
        <w:t>（项）：指</w:t>
      </w:r>
      <w:r>
        <w:rPr>
          <w:spacing w:val="-1"/>
        </w:rPr>
        <w:t>反映广播电视台等的支出</w:t>
      </w:r>
      <w:r>
        <w:rPr>
          <w:rFonts w:hint="eastAsia" w:ascii="仿宋_GB2312" w:eastAsia="仿宋_GB2312"/>
          <w:color w:val="auto"/>
          <w:sz w:val="32"/>
          <w:szCs w:val="32"/>
          <w:highlight w:val="none"/>
        </w:rPr>
        <w:t>。</w:t>
      </w:r>
    </w:p>
    <w:p>
      <w:pPr>
        <w:pStyle w:val="23"/>
        <w:spacing w:before="44" w:line="247" w:lineRule="auto"/>
        <w:ind w:left="75" w:right="29" w:firstLine="499" w:firstLineChars="156"/>
        <w:rPr>
          <w:rFonts w:hint="eastAsia" w:ascii="仿宋" w:hAnsi="仿宋" w:eastAsia="仿宋" w:cs="仿宋"/>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机关事业单位基本养老保险缴费支出</w:t>
      </w:r>
      <w:r>
        <w:rPr>
          <w:rFonts w:hint="eastAsia" w:ascii="仿宋_GB2312" w:eastAsia="仿宋_GB2312"/>
          <w:color w:val="auto"/>
          <w:sz w:val="32"/>
          <w:szCs w:val="32"/>
          <w:highlight w:val="none"/>
        </w:rPr>
        <w:t>（项）：</w:t>
      </w:r>
      <w:r>
        <w:rPr>
          <w:rFonts w:hint="eastAsia" w:ascii="仿宋" w:hAnsi="仿宋" w:eastAsia="仿宋" w:cs="仿宋"/>
          <w:color w:val="auto"/>
          <w:sz w:val="32"/>
          <w:szCs w:val="32"/>
          <w:highlight w:val="none"/>
        </w:rPr>
        <w:t>指</w:t>
      </w:r>
      <w:r>
        <w:rPr>
          <w:rFonts w:hint="eastAsia" w:ascii="仿宋" w:hAnsi="仿宋" w:eastAsia="仿宋" w:cs="仿宋"/>
          <w:spacing w:val="-1"/>
          <w:sz w:val="32"/>
          <w:szCs w:val="32"/>
        </w:rPr>
        <w:t>机关事业单位实施养老保险制度由单位缴纳的基本养老保险费支出。</w:t>
      </w:r>
    </w:p>
    <w:p>
      <w:pPr>
        <w:pStyle w:val="23"/>
        <w:spacing w:before="53" w:line="261" w:lineRule="auto"/>
        <w:ind w:left="75" w:right="8" w:firstLine="499" w:firstLineChars="156"/>
        <w:rPr>
          <w:rFonts w:hint="eastAsia" w:ascii="仿宋" w:hAnsi="仿宋" w:eastAsia="仿宋" w:cs="仿宋"/>
          <w:spacing w:val="-1"/>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抚恤</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死亡抚恤</w:t>
      </w:r>
      <w:r>
        <w:rPr>
          <w:rFonts w:hint="eastAsia" w:ascii="仿宋_GB2312" w:eastAsia="仿宋_GB2312"/>
          <w:color w:val="auto"/>
          <w:sz w:val="32"/>
          <w:szCs w:val="32"/>
          <w:highlight w:val="none"/>
        </w:rPr>
        <w:t>（项）：</w:t>
      </w:r>
      <w:r>
        <w:rPr>
          <w:rFonts w:hint="eastAsia" w:ascii="仿宋" w:hAnsi="仿宋" w:eastAsia="仿宋" w:cs="仿宋"/>
          <w:color w:val="auto"/>
          <w:sz w:val="32"/>
          <w:szCs w:val="32"/>
          <w:highlight w:val="none"/>
        </w:rPr>
        <w:t>指</w:t>
      </w:r>
      <w:r>
        <w:rPr>
          <w:rFonts w:hint="eastAsia" w:ascii="仿宋" w:hAnsi="仿宋" w:eastAsia="仿宋" w:cs="仿宋"/>
          <w:spacing w:val="-1"/>
          <w:sz w:val="32"/>
          <w:szCs w:val="32"/>
          <w:lang w:val="en-US" w:eastAsia="zh-CN"/>
        </w:rPr>
        <w:t>按规定用于烈士和牺牲、病故人员家属的一次性和定期抚恤金、丧葬补助费以及烈士褒扬金</w:t>
      </w:r>
      <w:r>
        <w:rPr>
          <w:rFonts w:hint="eastAsia" w:ascii="仿宋" w:hAnsi="仿宋" w:eastAsia="仿宋" w:cs="仿宋"/>
          <w:spacing w:val="-1"/>
          <w:sz w:val="32"/>
          <w:szCs w:val="32"/>
        </w:rPr>
        <w:t>。</w:t>
      </w:r>
    </w:p>
    <w:p>
      <w:pPr>
        <w:pStyle w:val="23"/>
        <w:spacing w:before="53" w:line="261" w:lineRule="auto"/>
        <w:ind w:left="75" w:right="8" w:firstLine="499" w:firstLineChars="156"/>
        <w:rPr>
          <w:rFonts w:hint="eastAsia" w:eastAsia="仿宋"/>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其他社会保障和就业支出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其他社会保障和就业支出</w:t>
      </w:r>
      <w:r>
        <w:rPr>
          <w:rFonts w:hint="eastAsia" w:ascii="仿宋_GB2312" w:eastAsia="仿宋_GB2312"/>
          <w:color w:val="auto"/>
          <w:sz w:val="32"/>
          <w:szCs w:val="32"/>
          <w:highlight w:val="none"/>
        </w:rPr>
        <w:t>（项）：</w:t>
      </w:r>
      <w:r>
        <w:rPr>
          <w:rFonts w:hint="eastAsia" w:ascii="仿宋" w:hAnsi="仿宋" w:eastAsia="仿宋" w:cs="仿宋"/>
          <w:color w:val="auto"/>
          <w:sz w:val="32"/>
          <w:szCs w:val="32"/>
          <w:highlight w:val="none"/>
        </w:rPr>
        <w:t>指</w:t>
      </w:r>
      <w:r>
        <w:rPr>
          <w:rFonts w:hint="eastAsia" w:ascii="仿宋" w:hAnsi="仿宋" w:eastAsia="仿宋" w:cs="仿宋"/>
          <w:color w:val="auto"/>
          <w:sz w:val="32"/>
          <w:szCs w:val="32"/>
          <w:highlight w:val="none"/>
          <w:lang w:val="en-US" w:eastAsia="zh-CN"/>
        </w:rPr>
        <w:t>其他用于社会保障和就业方面的支出</w:t>
      </w:r>
      <w:r>
        <w:rPr>
          <w:rFonts w:hint="eastAsia" w:eastAsia="仿宋"/>
          <w:lang w:eastAsia="zh-CN"/>
        </w:rPr>
        <w:t>。</w:t>
      </w:r>
    </w:p>
    <w:p>
      <w:pPr>
        <w:pStyle w:val="23"/>
        <w:spacing w:before="74" w:line="245" w:lineRule="auto"/>
        <w:ind w:left="65" w:right="27" w:firstLine="505" w:firstLineChars="158"/>
        <w:rPr>
          <w:rFonts w:hint="eastAsia" w:ascii="仿宋" w:hAnsi="仿宋" w:eastAsia="仿宋" w:cs="仿宋"/>
          <w:spacing w:val="-1"/>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事业单位医疗</w:t>
      </w:r>
      <w:r>
        <w:rPr>
          <w:rFonts w:hint="eastAsia" w:ascii="仿宋_GB2312" w:eastAsia="仿宋_GB2312"/>
          <w:color w:val="auto"/>
          <w:sz w:val="32"/>
          <w:szCs w:val="32"/>
          <w:highlight w:val="none"/>
        </w:rPr>
        <w:t>（项）：指</w:t>
      </w:r>
      <w:r>
        <w:rPr>
          <w:rFonts w:hint="eastAsia" w:ascii="仿宋" w:hAnsi="仿宋" w:eastAsia="仿宋" w:cs="仿宋"/>
          <w:spacing w:val="-1"/>
          <w:sz w:val="32"/>
          <w:szCs w:val="32"/>
        </w:rPr>
        <w:t>反映财政部门安排的事业单位基本医疗保险缴费经费，未参加医疗保险的事业单位的公费医疗经费，按国家规定享受离休人员待遇的医疗经费。</w:t>
      </w:r>
    </w:p>
    <w:p>
      <w:pPr>
        <w:pStyle w:val="23"/>
        <w:spacing w:before="74" w:line="245" w:lineRule="auto"/>
        <w:ind w:left="65" w:right="27" w:firstLine="505" w:firstLineChars="158"/>
        <w:rPr>
          <w:rFonts w:hint="eastAsia" w:ascii="仿宋" w:hAnsi="仿宋" w:eastAsia="仿宋" w:cs="仿宋"/>
          <w:spacing w:val="-1"/>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其他行政事业单位医疗支出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其他用于行政事业单位医疗方面的支出。</w:t>
      </w:r>
    </w:p>
    <w:p>
      <w:pPr>
        <w:ind w:firstLine="640" w:firstLineChars="200"/>
        <w:rPr>
          <w:rFonts w:ascii="仿宋_GB2312" w:eastAsia="仿宋_GB2312"/>
          <w:color w:val="auto"/>
          <w:sz w:val="32"/>
          <w:szCs w:val="32"/>
          <w:highlight w:val="none"/>
        </w:rPr>
      </w:pPr>
      <w:r>
        <w:rPr>
          <w:rFonts w:hint="eastAsia" w:ascii="仿宋_GB2312"/>
          <w:color w:val="auto"/>
          <w:sz w:val="32"/>
          <w:szCs w:val="32"/>
          <w:highlight w:val="none"/>
          <w:lang w:val="en-US" w:eastAsia="zh-CN"/>
        </w:rPr>
        <w:t>1</w:t>
      </w:r>
      <w:r>
        <w:rPr>
          <w:rFonts w:ascii="仿宋_GB2312" w:eastAsia="仿宋_GB2312"/>
          <w:color w:val="auto"/>
          <w:sz w:val="32"/>
          <w:szCs w:val="32"/>
          <w:highlight w:val="none"/>
        </w:rPr>
        <w:t>5.</w:t>
      </w:r>
      <w:r>
        <w:rPr>
          <w:rFonts w:hint="eastAsia" w:ascii="仿宋_GB2312" w:eastAsia="仿宋_GB2312"/>
          <w:color w:val="auto"/>
          <w:sz w:val="32"/>
          <w:szCs w:val="32"/>
          <w:highlight w:val="none"/>
        </w:rPr>
        <w:t>住房保障（类）</w:t>
      </w:r>
      <w:r>
        <w:rPr>
          <w:rFonts w:hint="eastAsia" w:ascii="仿宋_GB2312"/>
          <w:color w:val="auto"/>
          <w:sz w:val="32"/>
          <w:szCs w:val="32"/>
          <w:highlight w:val="none"/>
          <w:lang w:val="en-US" w:eastAsia="zh-CN"/>
        </w:rPr>
        <w:t>住房改革支出</w:t>
      </w:r>
      <w:r>
        <w:rPr>
          <w:rFonts w:hint="eastAsia" w:ascii="仿宋_GB2312" w:eastAsia="仿宋_GB2312"/>
          <w:color w:val="auto"/>
          <w:sz w:val="32"/>
          <w:szCs w:val="32"/>
          <w:highlight w:val="none"/>
        </w:rPr>
        <w:t>（款）</w:t>
      </w:r>
      <w:r>
        <w:rPr>
          <w:rFonts w:hint="eastAsia" w:ascii="仿宋_GB2312"/>
          <w:color w:val="auto"/>
          <w:sz w:val="32"/>
          <w:szCs w:val="32"/>
          <w:highlight w:val="none"/>
          <w:lang w:val="en-US" w:eastAsia="zh-CN"/>
        </w:rPr>
        <w:t>住房公积金</w:t>
      </w:r>
      <w:r>
        <w:rPr>
          <w:rFonts w:hint="eastAsia" w:ascii="仿宋_GB2312" w:eastAsia="仿宋_GB2312"/>
          <w:color w:val="auto"/>
          <w:sz w:val="32"/>
          <w:szCs w:val="32"/>
          <w:highlight w:val="none"/>
        </w:rPr>
        <w:t>（项）：指</w:t>
      </w:r>
      <w:r>
        <w:rPr>
          <w:spacing w:val="-1"/>
        </w:rPr>
        <w:t>反映行政事业单位按人力资源和社会保障部、财政部规定的</w:t>
      </w:r>
      <w:r>
        <w:t>基本工资和津贴补贴以及</w:t>
      </w:r>
      <w:r>
        <w:rPr>
          <w:rFonts w:hint="eastAsia"/>
          <w:lang w:val="en-US" w:eastAsia="zh-CN"/>
        </w:rPr>
        <w:t>按</w:t>
      </w:r>
      <w:r>
        <w:t>规定比例为职工缴纳的</w:t>
      </w:r>
      <w:r>
        <w:rPr>
          <w:spacing w:val="-1"/>
        </w:rPr>
        <w:t>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pacing w:line="560" w:lineRule="exact"/>
        <w:ind w:firstLine="640" w:firstLineChars="200"/>
        <w:rPr>
          <w:rFonts w:hint="eastAsia" w:ascii="仿宋_GB2312" w:eastAsia="仿宋_GB2312"/>
          <w:color w:val="auto"/>
          <w:sz w:val="32"/>
          <w:szCs w:val="32"/>
          <w:highlight w:val="none"/>
        </w:rPr>
      </w:pPr>
    </w:p>
    <w:p>
      <w:pPr>
        <w:spacing w:line="600" w:lineRule="exact"/>
        <w:jc w:val="center"/>
        <w:outlineLvl w:val="0"/>
        <w:rPr>
          <w:rStyle w:val="17"/>
          <w:rFonts w:hint="eastAsia" w:ascii="黑体" w:hAnsi="黑体" w:eastAsia="黑体"/>
          <w:b w:val="0"/>
          <w:color w:val="auto"/>
          <w:highlight w:val="none"/>
          <w:lang w:eastAsia="zh-CN"/>
        </w:rPr>
      </w:pPr>
      <w:bookmarkStart w:id="49" w:name="_Toc15396614"/>
      <w:bookmarkStart w:id="50" w:name="_Toc15377226"/>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四部分 附件</w:t>
      </w:r>
      <w:bookmarkEnd w:id="49"/>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eastAsia="zh-CN"/>
        </w:rPr>
      </w:pPr>
      <w:r>
        <w:rPr>
          <w:rFonts w:hint="eastAsia" w:ascii="Times New Roman" w:hAnsi="Times New Roman" w:eastAsia="方正小标宋简体" w:cs="Times New Roman"/>
          <w:b w:val="0"/>
          <w:bCs/>
          <w:sz w:val="44"/>
          <w:szCs w:val="44"/>
          <w:highlight w:val="none"/>
          <w:shd w:val="clear" w:color="auto" w:fill="FFFFFF"/>
          <w:lang w:val="en-US" w:eastAsia="zh-CN"/>
        </w:rPr>
        <w:t>蓬溪县融媒体中心</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报</w:t>
      </w:r>
      <w:r>
        <w:rPr>
          <w:rFonts w:hint="eastAsia" w:ascii="Times New Roman" w:hAnsi="Times New Roman" w:eastAsia="方正小标宋简体" w:cs="Times New Roman"/>
          <w:b w:val="0"/>
          <w:bCs/>
          <w:sz w:val="44"/>
          <w:szCs w:val="44"/>
          <w:highlight w:val="none"/>
          <w:shd w:val="clear" w:color="auto" w:fill="FFFFFF"/>
          <w:lang w:val="en-US" w:eastAsia="zh-CN"/>
        </w:rPr>
        <w:t xml:space="preserve"> </w:t>
      </w:r>
      <w:r>
        <w:rPr>
          <w:rFonts w:hint="default" w:ascii="Times New Roman" w:hAnsi="Times New Roman" w:eastAsia="方正小标宋简体" w:cs="Times New Roman"/>
          <w:b w:val="0"/>
          <w:bCs/>
          <w:sz w:val="44"/>
          <w:szCs w:val="44"/>
          <w:highlight w:val="none"/>
          <w:shd w:val="clear" w:color="auto" w:fill="FFFFFF"/>
        </w:rPr>
        <w:t>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部门基本情况</w:t>
      </w:r>
    </w:p>
    <w:p>
      <w:pPr>
        <w:pageBreakBefore w:val="0"/>
        <w:kinsoku/>
        <w:wordWrap/>
        <w:overflowPunct/>
        <w:topLinePunct w:val="0"/>
        <w:autoSpaceDE/>
        <w:autoSpaceDN/>
        <w:bidi w:val="0"/>
        <w:spacing w:line="570" w:lineRule="exact"/>
        <w:ind w:firstLine="643" w:firstLineChars="200"/>
        <w:textAlignment w:val="auto"/>
        <w:rPr>
          <w:rFonts w:hint="eastAsia" w:ascii="Times New Roman" w:hAnsi="Times New Roman" w:eastAsia="CESI仿宋-GB2312" w:cs="Times New Roman"/>
          <w:kern w:val="0"/>
          <w:sz w:val="32"/>
          <w:szCs w:val="32"/>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r>
        <w:rPr>
          <w:rFonts w:hint="eastAsia" w:eastAsia="CESI仿宋-GB2312"/>
          <w:kern w:val="0"/>
          <w:szCs w:val="32"/>
        </w:rPr>
        <w:t>蓬溪县融媒体中心为县委直属一类公益事业单位，归口县委宣传部领导和管理。</w:t>
      </w:r>
      <w:r>
        <w:rPr>
          <w:rFonts w:hint="eastAsia" w:ascii="Times New Roman" w:hAnsi="Times New Roman" w:eastAsia="CESI仿宋-GB2312" w:cs="Times New Roman"/>
          <w:kern w:val="0"/>
          <w:sz w:val="32"/>
          <w:szCs w:val="32"/>
          <w:lang w:val="en-US" w:eastAsia="zh-CN" w:bidi="ar-SA"/>
        </w:rPr>
        <w:t>中心内设6个机构，分别为：办公室、总编室、财务室、新闻中心、专题栏目部、技术保障部。</w:t>
      </w:r>
    </w:p>
    <w:p>
      <w:pPr>
        <w:pageBreakBefore w:val="0"/>
        <w:kinsoku/>
        <w:wordWrap/>
        <w:overflowPunct/>
        <w:topLinePunct w:val="0"/>
        <w:autoSpaceDE/>
        <w:autoSpaceDN/>
        <w:bidi w:val="0"/>
        <w:spacing w:line="570" w:lineRule="exact"/>
        <w:ind w:firstLine="643"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bCs/>
          <w:sz w:val="32"/>
          <w:szCs w:val="32"/>
        </w:rPr>
        <w:t>贯彻执行党和国家新闻宣传工作的路线、方针、政策及法律法规，依法办台、办网;围绕县委、县政府中心工作，组织开展各类重大宣传活动、新闻报道工作;搭建网络互动交流平台，关注社会热点信息，及时收集整理、分析研判舆情动态，走好网上群众路线，弘扬社会正气;积极参与智慧政务建设，整合党政部门信息资源，搭建网上党建、党务政务公开、政务服务、电子商务等业务平台，开展集合型综合信息服务；承办广播电视节目优质安全播出、传输、报刊安全出版和新媒体发布等工作;参与制定本县报刊、广播、电视、新媒体事业发展规划并组织实施，承办本单位重大项目建设、技术开发以及科研成果的应用推广；加强政治思想建设、职业道德建设、业务培训和人才队伍建设，研究和推进内部管理体制改革:配合上级媒体和新闻单位来县采访及其他工作，维护县内舆论安全;组织和开发报刊、广播、电视、新媒体资源，增强综合发展能力，加强资产运作，实现国有资产保值增值;承办县委、县政府交办的其他事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 w:hAnsi="仿宋" w:eastAsia="仿宋" w:cs="仿宋"/>
          <w:sz w:val="33"/>
          <w:szCs w:val="33"/>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sz w:val="33"/>
          <w:szCs w:val="33"/>
        </w:rPr>
        <w:t>截至202</w:t>
      </w:r>
      <w:r>
        <w:rPr>
          <w:rFonts w:hint="eastAsia" w:ascii="仿宋" w:hAnsi="仿宋" w:eastAsia="仿宋" w:cs="仿宋"/>
          <w:sz w:val="33"/>
          <w:szCs w:val="33"/>
          <w:lang w:val="en-US" w:eastAsia="zh-CN"/>
        </w:rPr>
        <w:t>4</w:t>
      </w:r>
      <w:r>
        <w:rPr>
          <w:rFonts w:hint="eastAsia" w:ascii="仿宋" w:hAnsi="仿宋" w:eastAsia="仿宋" w:cs="仿宋"/>
          <w:sz w:val="33"/>
          <w:szCs w:val="33"/>
        </w:rPr>
        <w:t>年末，</w:t>
      </w:r>
      <w:r>
        <w:rPr>
          <w:rFonts w:hint="eastAsia" w:ascii="仿宋" w:hAnsi="仿宋" w:eastAsia="仿宋" w:cs="仿宋"/>
          <w:sz w:val="33"/>
          <w:szCs w:val="33"/>
          <w:lang w:val="en-US" w:eastAsia="zh-CN"/>
        </w:rPr>
        <w:t>融媒体中心事业</w:t>
      </w:r>
      <w:r>
        <w:rPr>
          <w:rFonts w:hint="eastAsia" w:ascii="仿宋" w:hAnsi="仿宋" w:eastAsia="仿宋" w:cs="仿宋"/>
          <w:sz w:val="33"/>
          <w:szCs w:val="33"/>
        </w:rPr>
        <w:t>编制人数</w:t>
      </w:r>
      <w:r>
        <w:rPr>
          <w:rFonts w:hint="eastAsia" w:ascii="仿宋" w:hAnsi="仿宋" w:eastAsia="仿宋" w:cs="仿宋"/>
          <w:sz w:val="33"/>
          <w:szCs w:val="33"/>
          <w:lang w:val="en-US" w:eastAsia="zh-CN"/>
        </w:rPr>
        <w:t>33人，在职33人。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contextualSpacing/>
        <w:jc w:val="both"/>
        <w:textAlignment w:val="auto"/>
        <w:outlineLvl w:val="9"/>
        <w:rPr>
          <w:rFonts w:hint="eastAsia" w:ascii="Times New Roman" w:hAnsi="Times New Roman" w:eastAsia="仿宋_GB2312" w:cs="Times New Roman"/>
          <w:b/>
          <w:bCs/>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cs="Times New Roman"/>
          <w:sz w:val="33"/>
          <w:szCs w:val="33"/>
          <w:lang w:val="en-US" w:eastAsia="zh-CN"/>
        </w:rPr>
        <w:t>融媒体中心部门</w:t>
      </w:r>
      <w:r>
        <w:rPr>
          <w:rFonts w:hint="eastAsia" w:ascii="Times New Roman" w:hAnsi="Times New Roman" w:cs="Times New Roman"/>
          <w:sz w:val="33"/>
          <w:szCs w:val="33"/>
          <w:lang w:val="en-US" w:eastAsia="zh-CN"/>
        </w:rPr>
        <w:t>202</w:t>
      </w:r>
      <w:r>
        <w:rPr>
          <w:rFonts w:hint="eastAsia" w:cs="Times New Roman"/>
          <w:sz w:val="33"/>
          <w:szCs w:val="33"/>
          <w:lang w:val="en-US" w:eastAsia="zh-CN"/>
        </w:rPr>
        <w:t>4</w:t>
      </w:r>
      <w:r>
        <w:rPr>
          <w:rFonts w:hint="eastAsia" w:ascii="Times New Roman" w:hAnsi="Times New Roman" w:cs="Times New Roman"/>
          <w:sz w:val="33"/>
          <w:szCs w:val="33"/>
          <w:lang w:val="en-US" w:eastAsia="zh-CN"/>
        </w:rPr>
        <w:t>年年初预算收入</w:t>
      </w:r>
      <w:r>
        <w:rPr>
          <w:rFonts w:hint="eastAsia" w:cs="Times New Roman"/>
          <w:sz w:val="33"/>
          <w:szCs w:val="33"/>
          <w:lang w:val="en-US" w:eastAsia="zh-CN"/>
        </w:rPr>
        <w:t>数为741.97万元，</w:t>
      </w:r>
      <w:r>
        <w:rPr>
          <w:rFonts w:hint="eastAsia"/>
          <w:color w:val="000000" w:themeColor="text1"/>
          <w14:textFill>
            <w14:solidFill>
              <w14:schemeClr w14:val="tx1"/>
            </w14:solidFill>
          </w14:textFill>
        </w:rPr>
        <w:t>其中</w:t>
      </w:r>
      <w:r>
        <w:rPr>
          <w:rFonts w:hint="eastAsia"/>
          <w:color w:val="000000" w:themeColor="text1"/>
          <w:lang w:val="en-US" w:eastAsia="zh-CN"/>
          <w14:textFill>
            <w14:solidFill>
              <w14:schemeClr w14:val="tx1"/>
            </w14:solidFill>
          </w14:textFill>
        </w:rPr>
        <w:t>一般公共预算财政</w:t>
      </w:r>
      <w:r>
        <w:rPr>
          <w:rFonts w:hint="eastAsia"/>
          <w:color w:val="000000" w:themeColor="text1"/>
          <w14:textFill>
            <w14:solidFill>
              <w14:schemeClr w14:val="tx1"/>
            </w14:solidFill>
          </w14:textFill>
        </w:rPr>
        <w:t>拨款</w:t>
      </w:r>
      <w:r>
        <w:rPr>
          <w:rFonts w:hint="eastAsia"/>
          <w:color w:val="000000" w:themeColor="text1"/>
          <w:lang w:val="en-US" w:eastAsia="zh-CN"/>
          <w14:textFill>
            <w14:solidFill>
              <w14:schemeClr w14:val="tx1"/>
            </w14:solidFill>
          </w14:textFill>
        </w:rPr>
        <w:t>741.97</w:t>
      </w:r>
      <w:r>
        <w:rPr>
          <w:rFonts w:hint="eastAsia"/>
          <w:color w:val="000000" w:themeColor="text1"/>
          <w14:textFill>
            <w14:solidFill>
              <w14:schemeClr w14:val="tx1"/>
            </w14:solidFill>
          </w14:textFill>
        </w:rPr>
        <w:t>万元，年初结转结余</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，中期调整</w:t>
      </w:r>
      <w:r>
        <w:rPr>
          <w:rFonts w:hint="eastAsia"/>
          <w:color w:val="000000" w:themeColor="text1"/>
          <w:lang w:val="en-US" w:eastAsia="zh-CN"/>
          <w14:textFill>
            <w14:solidFill>
              <w14:schemeClr w14:val="tx1"/>
            </w14:solidFill>
          </w14:textFill>
        </w:rPr>
        <w:t>财政拨款0</w:t>
      </w:r>
      <w:r>
        <w:rPr>
          <w:rFonts w:hint="eastAsia"/>
          <w:color w:val="000000" w:themeColor="text1"/>
          <w14:textFill>
            <w14:solidFill>
              <w14:schemeClr w14:val="tx1"/>
            </w14:solidFill>
          </w14:textFill>
        </w:rPr>
        <w:t>万元，</w:t>
      </w:r>
      <w:r>
        <w:rPr>
          <w:rFonts w:hint="eastAsia"/>
          <w:color w:val="000000" w:themeColor="text1"/>
          <w:lang w:val="en-US" w:eastAsia="zh-CN"/>
          <w14:textFill>
            <w14:solidFill>
              <w14:schemeClr w14:val="tx1"/>
            </w14:solidFill>
          </w14:textFill>
        </w:rPr>
        <w:t>政府性基金收入0万元，年初结转和结余0万元。</w:t>
      </w:r>
      <w:r>
        <w:rPr>
          <w:rFonts w:hint="eastAsia"/>
          <w:color w:val="000000" w:themeColor="text1"/>
          <w14:textFill>
            <w14:solidFill>
              <w14:schemeClr w14:val="tx1"/>
            </w14:solidFill>
          </w14:textFill>
        </w:rPr>
        <w:t>其他收入</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万元，</w:t>
      </w:r>
      <w:r>
        <w:rPr>
          <w:color w:val="000000" w:themeColor="text1"/>
          <w14:textFill>
            <w14:solidFill>
              <w14:schemeClr w14:val="tx1"/>
            </w14:solidFill>
          </w14:textFill>
        </w:rPr>
        <w:t>调整后预算收入总额</w:t>
      </w:r>
      <w:r>
        <w:rPr>
          <w:rFonts w:hint="eastAsia"/>
          <w:color w:val="000000" w:themeColor="text1"/>
          <w:lang w:val="en-US" w:eastAsia="zh-CN"/>
          <w14:textFill>
            <w14:solidFill>
              <w14:schemeClr w14:val="tx1"/>
            </w14:solidFill>
          </w14:textFill>
        </w:rPr>
        <w:t>741.97万元。2024年</w:t>
      </w:r>
      <w:r>
        <w:rPr>
          <w:rFonts w:hint="eastAsia" w:cs="Times New Roman"/>
          <w:sz w:val="33"/>
          <w:szCs w:val="33"/>
          <w:lang w:val="en-US" w:eastAsia="zh-CN"/>
        </w:rPr>
        <w:t>决算报表收入741.97万元，</w:t>
      </w:r>
      <w:r>
        <w:rPr>
          <w:rFonts w:hint="eastAsia"/>
          <w:color w:val="000000" w:themeColor="text1"/>
          <w14:textFill>
            <w14:solidFill>
              <w14:schemeClr w14:val="tx1"/>
            </w14:solidFill>
          </w14:textFill>
        </w:rPr>
        <w:t>其中</w:t>
      </w:r>
      <w:r>
        <w:rPr>
          <w:rFonts w:hint="eastAsia"/>
          <w:color w:val="000000" w:themeColor="text1"/>
          <w:lang w:val="en-US" w:eastAsia="zh-CN"/>
          <w14:textFill>
            <w14:solidFill>
              <w14:schemeClr w14:val="tx1"/>
            </w14:solidFill>
          </w14:textFill>
        </w:rPr>
        <w:t>一般公共预算财政</w:t>
      </w:r>
      <w:r>
        <w:rPr>
          <w:rFonts w:hint="eastAsia"/>
          <w:color w:val="000000" w:themeColor="text1"/>
          <w14:textFill>
            <w14:solidFill>
              <w14:schemeClr w14:val="tx1"/>
            </w14:solidFill>
          </w14:textFill>
        </w:rPr>
        <w:t>拨款</w:t>
      </w:r>
      <w:r>
        <w:rPr>
          <w:rFonts w:hint="eastAsia"/>
          <w:color w:val="000000" w:themeColor="text1"/>
          <w:lang w:val="en-US" w:eastAsia="zh-CN"/>
          <w14:textFill>
            <w14:solidFill>
              <w14:schemeClr w14:val="tx1"/>
            </w14:solidFill>
          </w14:textFill>
        </w:rPr>
        <w:t>741.97</w:t>
      </w:r>
      <w:r>
        <w:rPr>
          <w:rFonts w:hint="eastAsia"/>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both"/>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cs="Times New Roman"/>
          <w:sz w:val="32"/>
          <w:szCs w:val="32"/>
          <w:lang w:val="en-US" w:eastAsia="zh-CN"/>
        </w:rPr>
        <w:t>融媒体中心</w:t>
      </w:r>
      <w:r>
        <w:rPr>
          <w:rFonts w:hint="eastAsia" w:ascii="Times New Roman" w:hAnsi="Times New Roman" w:eastAsia="仿宋_GB2312" w:cs="Times New Roman"/>
          <w:sz w:val="32"/>
          <w:szCs w:val="32"/>
          <w:lang w:val="en-US" w:eastAsia="zh-CN"/>
        </w:rPr>
        <w:t>部门202</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en-US" w:eastAsia="zh-CN"/>
        </w:rPr>
        <w:t>年</w:t>
      </w:r>
      <w:r>
        <w:rPr>
          <w:rFonts w:hint="eastAsia" w:ascii="Times New Roman" w:hAnsi="Times New Roman" w:cs="Times New Roman"/>
          <w:sz w:val="33"/>
          <w:szCs w:val="33"/>
          <w:lang w:val="en-US" w:eastAsia="zh-CN"/>
        </w:rPr>
        <w:t>年初预算支出</w:t>
      </w:r>
      <w:r>
        <w:rPr>
          <w:rFonts w:hint="eastAsia" w:cs="Times New Roman"/>
          <w:sz w:val="33"/>
          <w:szCs w:val="33"/>
          <w:lang w:val="en-US" w:eastAsia="zh-CN"/>
        </w:rPr>
        <w:t>数为741.97万元，</w:t>
      </w:r>
      <w:r>
        <w:rPr>
          <w:color w:val="000000" w:themeColor="text1"/>
          <w14:textFill>
            <w14:solidFill>
              <w14:schemeClr w14:val="tx1"/>
            </w14:solidFill>
          </w14:textFill>
        </w:rPr>
        <w:t>其中：基本支出预算总额为</w:t>
      </w:r>
      <w:r>
        <w:rPr>
          <w:rFonts w:hint="eastAsia"/>
          <w:color w:val="000000" w:themeColor="text1"/>
          <w:lang w:val="en-US" w:eastAsia="zh-CN"/>
          <w14:textFill>
            <w14:solidFill>
              <w14:schemeClr w14:val="tx1"/>
            </w14:solidFill>
          </w14:textFill>
        </w:rPr>
        <w:t>551.97</w:t>
      </w:r>
      <w:r>
        <w:rPr>
          <w:color w:val="000000" w:themeColor="text1"/>
          <w14:textFill>
            <w14:solidFill>
              <w14:schemeClr w14:val="tx1"/>
            </w14:solidFill>
          </w14:textFill>
        </w:rPr>
        <w:t>万元，</w:t>
      </w:r>
      <w:r>
        <w:rPr>
          <w:rFonts w:hint="eastAsia"/>
          <w:color w:val="000000" w:themeColor="text1"/>
          <w:lang w:val="en-US" w:eastAsia="zh-CN"/>
          <w14:textFill>
            <w14:solidFill>
              <w14:schemeClr w14:val="tx1"/>
            </w14:solidFill>
          </w14:textFill>
        </w:rPr>
        <w:t>占支出总额的74.39</w:t>
      </w:r>
      <w:r>
        <w:rPr>
          <w:color w:val="000000" w:themeColor="text1"/>
          <w14:textFill>
            <w14:solidFill>
              <w14:schemeClr w14:val="tx1"/>
            </w14:solidFill>
          </w14:textFill>
        </w:rPr>
        <w:t>%；项目支出预算总额为</w:t>
      </w:r>
      <w:r>
        <w:rPr>
          <w:rFonts w:hint="eastAsia"/>
          <w:color w:val="000000" w:themeColor="text1"/>
          <w:lang w:val="en-US" w:eastAsia="zh-CN"/>
          <w14:textFill>
            <w14:solidFill>
              <w14:schemeClr w14:val="tx1"/>
            </w14:solidFill>
          </w14:textFill>
        </w:rPr>
        <w:t>190</w:t>
      </w:r>
      <w:r>
        <w:rPr>
          <w:color w:val="000000" w:themeColor="text1"/>
          <w14:textFill>
            <w14:solidFill>
              <w14:schemeClr w14:val="tx1"/>
            </w14:solidFill>
          </w14:textFill>
        </w:rPr>
        <w:t>万元，</w:t>
      </w:r>
      <w:r>
        <w:rPr>
          <w:rFonts w:hint="eastAsia"/>
          <w:color w:val="000000" w:themeColor="text1"/>
          <w:lang w:val="en-US" w:eastAsia="zh-CN"/>
          <w14:textFill>
            <w14:solidFill>
              <w14:schemeClr w14:val="tx1"/>
            </w14:solidFill>
          </w14:textFill>
        </w:rPr>
        <w:t>占支出总额的25.61</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2024年决算报表支出</w:t>
      </w:r>
      <w:r>
        <w:rPr>
          <w:rFonts w:hint="eastAsia" w:cs="Times New Roman"/>
          <w:sz w:val="33"/>
          <w:szCs w:val="33"/>
          <w:lang w:val="en-US" w:eastAsia="zh-CN"/>
        </w:rPr>
        <w:t>数为741.97万元，</w:t>
      </w:r>
      <w:r>
        <w:rPr>
          <w:color w:val="000000" w:themeColor="text1"/>
          <w14:textFill>
            <w14:solidFill>
              <w14:schemeClr w14:val="tx1"/>
            </w14:solidFill>
          </w14:textFill>
        </w:rPr>
        <w:t>其中：基本支出预算总额为</w:t>
      </w:r>
      <w:r>
        <w:rPr>
          <w:rFonts w:hint="eastAsia"/>
          <w:color w:val="000000" w:themeColor="text1"/>
          <w:lang w:val="en-US" w:eastAsia="zh-CN"/>
          <w14:textFill>
            <w14:solidFill>
              <w14:schemeClr w14:val="tx1"/>
            </w14:solidFill>
          </w14:textFill>
        </w:rPr>
        <w:t>551.97</w:t>
      </w:r>
      <w:r>
        <w:rPr>
          <w:color w:val="000000" w:themeColor="text1"/>
          <w14:textFill>
            <w14:solidFill>
              <w14:schemeClr w14:val="tx1"/>
            </w14:solidFill>
          </w14:textFill>
        </w:rPr>
        <w:t>万元，</w:t>
      </w:r>
      <w:r>
        <w:rPr>
          <w:rFonts w:hint="eastAsia"/>
          <w:color w:val="000000" w:themeColor="text1"/>
          <w:lang w:val="en-US" w:eastAsia="zh-CN"/>
          <w14:textFill>
            <w14:solidFill>
              <w14:schemeClr w14:val="tx1"/>
            </w14:solidFill>
          </w14:textFill>
        </w:rPr>
        <w:t>占支出总额的74.39</w:t>
      </w:r>
      <w:r>
        <w:rPr>
          <w:color w:val="000000" w:themeColor="text1"/>
          <w14:textFill>
            <w14:solidFill>
              <w14:schemeClr w14:val="tx1"/>
            </w14:solidFill>
          </w14:textFill>
        </w:rPr>
        <w:t>%；项目支出预算总额为</w:t>
      </w:r>
      <w:r>
        <w:rPr>
          <w:rFonts w:hint="eastAsia"/>
          <w:color w:val="000000" w:themeColor="text1"/>
          <w:lang w:val="en-US" w:eastAsia="zh-CN"/>
          <w14:textFill>
            <w14:solidFill>
              <w14:schemeClr w14:val="tx1"/>
            </w14:solidFill>
          </w14:textFill>
        </w:rPr>
        <w:t>190</w:t>
      </w:r>
      <w:r>
        <w:rPr>
          <w:color w:val="000000" w:themeColor="text1"/>
          <w14:textFill>
            <w14:solidFill>
              <w14:schemeClr w14:val="tx1"/>
            </w14:solidFill>
          </w14:textFill>
        </w:rPr>
        <w:t>万元，</w:t>
      </w:r>
      <w:r>
        <w:rPr>
          <w:rFonts w:hint="eastAsia"/>
          <w:color w:val="000000" w:themeColor="text1"/>
          <w:lang w:val="en-US" w:eastAsia="zh-CN"/>
          <w14:textFill>
            <w14:solidFill>
              <w14:schemeClr w14:val="tx1"/>
            </w14:solidFill>
          </w14:textFill>
        </w:rPr>
        <w:t>占支出总额的25.61</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cs="Times New Roman"/>
          <w:sz w:val="32"/>
          <w:szCs w:val="32"/>
          <w:lang w:val="en-US" w:eastAsia="zh-CN"/>
        </w:rPr>
        <w:t>融媒体中心</w:t>
      </w:r>
      <w:r>
        <w:rPr>
          <w:rFonts w:hint="eastAsia" w:ascii="Times New Roman" w:hAnsi="Times New Roman" w:eastAsia="仿宋_GB2312" w:cs="Times New Roman"/>
          <w:sz w:val="32"/>
          <w:szCs w:val="32"/>
          <w:lang w:val="en-US" w:eastAsia="zh-CN"/>
        </w:rPr>
        <w:t>部门202</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en-US" w:eastAsia="zh-CN"/>
        </w:rPr>
        <w:t>年决算报表</w:t>
      </w:r>
      <w:r>
        <w:rPr>
          <w:rFonts w:hint="default" w:ascii="Times New Roman" w:hAnsi="Times New Roman" w:eastAsia="仿宋_GB2312" w:cs="Times New Roman"/>
          <w:sz w:val="32"/>
          <w:szCs w:val="32"/>
          <w:lang w:val="en-US" w:eastAsia="zh-CN"/>
        </w:rPr>
        <w:t>结转结余</w:t>
      </w:r>
      <w:r>
        <w:rPr>
          <w:rFonts w:hint="eastAsia" w:ascii="Times New Roman" w:hAnsi="Times New Roman" w:cs="Times New Roman"/>
          <w:sz w:val="32"/>
          <w:szCs w:val="32"/>
          <w:lang w:val="en-US" w:eastAsia="zh-CN"/>
        </w:rPr>
        <w:t>为0</w:t>
      </w:r>
      <w:r>
        <w:rPr>
          <w:rFonts w:hint="default"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kern w:val="0"/>
          <w:szCs w:val="32"/>
          <w:highlight w:val="none"/>
          <w:shd w:val="clear" w:color="auto" w:fill="FFFFFF"/>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仿宋" w:hAnsi="仿宋" w:eastAsia="仿宋" w:cs="仿宋"/>
          <w:color w:val="000000"/>
          <w:kern w:val="0"/>
          <w:szCs w:val="32"/>
          <w:highlight w:val="none"/>
          <w:shd w:val="clear" w:color="auto" w:fill="FFFFFF"/>
          <w:lang w:val="en-US" w:eastAsia="zh-CN"/>
        </w:rPr>
        <w:t>为充分反映我中心2024年度部门职能履行成效，本次绩效自评根据要求，结合部门职能职责和2024年度重点工作任务，选取了“举办宣传活动次数、公众号发布消息数量、宣贯政策知晓率、主流媒体报道次数”4个绩效指标作为核心职能目标，各职能目标具体完成情况如下：</w:t>
      </w:r>
    </w:p>
    <w:p>
      <w:pPr>
        <w:pStyle w:val="25"/>
        <w:keepNext/>
        <w:keepLines/>
        <w:pageBreakBefore w:val="0"/>
        <w:widowControl w:val="0"/>
        <w:numPr>
          <w:ilvl w:val="0"/>
          <w:numId w:val="0"/>
        </w:numPr>
        <w:kinsoku/>
        <w:wordWrap/>
        <w:overflowPunct/>
        <w:topLinePunct w:val="0"/>
        <w:autoSpaceDE/>
        <w:autoSpaceDN/>
        <w:bidi w:val="0"/>
        <w:adjustRightInd/>
        <w:snapToGrid/>
        <w:spacing w:line="376" w:lineRule="exact"/>
        <w:ind w:firstLine="640" w:firstLineChars="200"/>
        <w:textAlignment w:val="auto"/>
        <w:rPr>
          <w:rFonts w:hint="eastAsia" w:ascii="仿宋" w:hAnsi="仿宋" w:eastAsia="仿宋" w:cs="仿宋"/>
          <w:b w:val="0"/>
          <w:bCs/>
          <w:color w:val="000000"/>
          <w:kern w:val="0"/>
          <w:sz w:val="32"/>
          <w:szCs w:val="40"/>
          <w:highlight w:val="none"/>
          <w:shd w:val="clear" w:color="auto" w:fill="FFFFFF"/>
          <w:lang w:val="en-US" w:eastAsia="zh-CN"/>
        </w:rPr>
      </w:pPr>
      <w:r>
        <w:rPr>
          <w:rFonts w:hint="eastAsia" w:ascii="仿宋" w:hAnsi="仿宋" w:eastAsia="仿宋" w:cs="仿宋"/>
          <w:b w:val="0"/>
          <w:bCs/>
          <w:color w:val="000000"/>
          <w:kern w:val="0"/>
          <w:sz w:val="32"/>
          <w:szCs w:val="40"/>
          <w:highlight w:val="none"/>
          <w:shd w:val="clear" w:color="auto" w:fill="FFFFFF"/>
          <w:lang w:val="en-US" w:eastAsia="zh-CN"/>
        </w:rPr>
        <w:t>（1）新媒体发布</w:t>
      </w:r>
    </w:p>
    <w:p>
      <w:pPr>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lang w:val="en-US" w:eastAsia="zh-CN"/>
        </w:rPr>
      </w:pPr>
      <w:r>
        <w:rPr>
          <w:rFonts w:hint="eastAsia"/>
          <w:lang w:val="en-US" w:eastAsia="zh-CN"/>
        </w:rPr>
        <w:t>我中心2024年在“书乡蓬溪”两微一端刊发稿件8200余条（次），保障了新媒体发布数量，得满分。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kern w:val="0"/>
          <w:szCs w:val="32"/>
          <w:highlight w:val="none"/>
          <w:shd w:val="clear" w:color="auto" w:fill="FFFFFF"/>
          <w:lang w:val="en-US" w:eastAsia="zh-CN"/>
        </w:rPr>
      </w:pPr>
      <w:r>
        <w:rPr>
          <w:rFonts w:hint="eastAsia" w:ascii="仿宋" w:hAnsi="仿宋" w:eastAsia="仿宋" w:cs="仿宋"/>
          <w:color w:val="000000"/>
          <w:kern w:val="0"/>
          <w:szCs w:val="32"/>
          <w:highlight w:val="none"/>
          <w:shd w:val="clear" w:color="auto" w:fill="FFFFFF"/>
          <w:lang w:val="en-US" w:eastAsia="zh-CN"/>
        </w:rPr>
        <w:t>根据评分标准，该项指标不扣分，得3分。</w:t>
      </w:r>
    </w:p>
    <w:p>
      <w:pPr>
        <w:pStyle w:val="25"/>
        <w:keepNext/>
        <w:keepLines/>
        <w:pageBreakBefore w:val="0"/>
        <w:widowControl w:val="0"/>
        <w:numPr>
          <w:ilvl w:val="0"/>
          <w:numId w:val="0"/>
        </w:numPr>
        <w:kinsoku/>
        <w:wordWrap/>
        <w:overflowPunct/>
        <w:topLinePunct w:val="0"/>
        <w:autoSpaceDE/>
        <w:autoSpaceDN/>
        <w:bidi w:val="0"/>
        <w:adjustRightInd/>
        <w:snapToGrid/>
        <w:spacing w:line="376" w:lineRule="exact"/>
        <w:ind w:leftChars="0" w:firstLine="640" w:firstLineChars="200"/>
        <w:textAlignment w:val="auto"/>
        <w:rPr>
          <w:rFonts w:hint="eastAsia" w:ascii="仿宋" w:hAnsi="仿宋" w:eastAsia="仿宋" w:cs="仿宋"/>
          <w:b w:val="0"/>
          <w:bCs/>
          <w:color w:val="000000"/>
          <w:kern w:val="0"/>
          <w:sz w:val="32"/>
          <w:szCs w:val="32"/>
          <w:highlight w:val="none"/>
          <w:shd w:val="clear" w:color="auto" w:fill="FFFFFF"/>
          <w:lang w:val="en-US" w:eastAsia="zh-CN"/>
        </w:rPr>
      </w:pPr>
      <w:r>
        <w:rPr>
          <w:rFonts w:hint="eastAsia" w:ascii="仿宋" w:hAnsi="仿宋" w:eastAsia="仿宋" w:cs="仿宋"/>
          <w:b w:val="0"/>
          <w:bCs/>
          <w:color w:val="000000"/>
          <w:kern w:val="0"/>
          <w:sz w:val="32"/>
          <w:szCs w:val="32"/>
          <w:highlight w:val="none"/>
          <w:shd w:val="clear" w:color="auto" w:fill="FFFFFF"/>
          <w:lang w:val="en-US" w:eastAsia="zh-CN"/>
        </w:rPr>
        <w:t>（2）广播电视安全播出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cs="仿宋_GB2312"/>
          <w:color w:val="auto"/>
          <w:sz w:val="32"/>
          <w:szCs w:val="32"/>
          <w:highlight w:val="none"/>
          <w:lang w:val="en-US" w:eastAsia="zh-CN"/>
        </w:rPr>
      </w:pPr>
      <w:r>
        <w:rPr>
          <w:rFonts w:hint="eastAsia"/>
          <w:lang w:val="en-US" w:eastAsia="zh-CN"/>
        </w:rPr>
        <w:t xml:space="preserve">  我中心</w:t>
      </w:r>
      <w:r>
        <w:rPr>
          <w:rFonts w:hint="eastAsia" w:ascii="仿宋_GB2312" w:hAnsi="仿宋_GB2312" w:eastAsia="仿宋_GB2312" w:cs="仿宋_GB2312"/>
          <w:color w:val="auto"/>
          <w:sz w:val="32"/>
          <w:szCs w:val="32"/>
          <w:highlight w:val="none"/>
          <w:lang w:val="en-US" w:eastAsia="zh-CN"/>
        </w:rPr>
        <w:t>严格执行领导班子成员到岗带班和值班人员24小时值班值守制度，全年</w:t>
      </w:r>
      <w:r>
        <w:rPr>
          <w:rFonts w:hint="eastAsia" w:ascii="仿宋_GB2312" w:hAnsi="仿宋_GB2312" w:cs="仿宋_GB2312"/>
          <w:color w:val="auto"/>
          <w:sz w:val="32"/>
          <w:szCs w:val="32"/>
          <w:highlight w:val="none"/>
          <w:lang w:val="en-US" w:eastAsia="zh-CN"/>
        </w:rPr>
        <w:t>实现</w:t>
      </w:r>
      <w:r>
        <w:rPr>
          <w:rFonts w:hint="eastAsia" w:ascii="仿宋_GB2312" w:hAnsi="仿宋_GB2312" w:eastAsia="仿宋_GB2312" w:cs="仿宋_GB2312"/>
          <w:color w:val="auto"/>
          <w:sz w:val="32"/>
          <w:szCs w:val="32"/>
          <w:highlight w:val="none"/>
          <w:lang w:val="en-US" w:eastAsia="zh-CN"/>
        </w:rPr>
        <w:t>安全播出零事故发生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该项指标不扣分，得3分。</w:t>
      </w:r>
    </w:p>
    <w:p>
      <w:pPr>
        <w:pStyle w:val="26"/>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（3）广播电视覆盖率</w:t>
      </w:r>
    </w:p>
    <w:p>
      <w:pPr>
        <w:pStyle w:val="26"/>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我中心2024年广播电视覆盖率达到了100%，该项指标不扣分，得2分。</w:t>
      </w:r>
    </w:p>
    <w:p>
      <w:pPr>
        <w:pStyle w:val="26"/>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（4）网上党建、政务公开率</w:t>
      </w:r>
    </w:p>
    <w:p>
      <w:pPr>
        <w:pStyle w:val="26"/>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我中心高度重视党建、政务信息公开，做到网上公开率达100%，该项指标不扣分，得2分。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p>
    <w:p>
      <w:pPr>
        <w:pStyle w:val="25"/>
        <w:keepNext/>
        <w:keepLines/>
        <w:pageBreakBefore w:val="0"/>
        <w:widowControl w:val="0"/>
        <w:kinsoku/>
        <w:wordWrap/>
        <w:overflowPunct/>
        <w:topLinePunct w:val="0"/>
        <w:autoSpaceDE/>
        <w:autoSpaceDN/>
        <w:bidi w:val="0"/>
        <w:adjustRightInd/>
        <w:snapToGrid/>
        <w:spacing w:line="376"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（1）预算编制质量</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kern w:val="2"/>
          <w:sz w:val="32"/>
          <w:szCs w:val="24"/>
          <w:highlight w:val="none"/>
          <w:lang w:val="en-US" w:eastAsia="zh-CN" w:bidi="ar-SA"/>
        </w:rPr>
        <w:t>2024</w:t>
      </w:r>
      <w:r>
        <w:rPr>
          <w:rFonts w:hint="default" w:ascii="Times New Roman" w:hAnsi="Times New Roman" w:cs="Times New Roman"/>
          <w:highlight w:val="none"/>
          <w:lang w:val="en-US" w:eastAsia="zh-CN"/>
        </w:rPr>
        <w:t>年</w:t>
      </w:r>
      <w:r>
        <w:rPr>
          <w:rFonts w:hint="eastAsia" w:cs="Times New Roman"/>
          <w:highlight w:val="none"/>
          <w:lang w:val="en-US" w:eastAsia="zh-CN"/>
        </w:rPr>
        <w:t>我中心</w:t>
      </w:r>
      <w:r>
        <w:rPr>
          <w:rFonts w:hint="default" w:ascii="Times New Roman" w:hAnsi="Times New Roman" w:cs="Times New Roman"/>
          <w:highlight w:val="none"/>
          <w:lang w:val="en-US" w:eastAsia="zh-CN"/>
        </w:rPr>
        <w:t>严格按照相关要求编制年初部门预算，根据</w:t>
      </w:r>
      <w:r>
        <w:rPr>
          <w:rFonts w:hint="default" w:ascii="Times New Roman" w:hAnsi="Times New Roman" w:eastAsia="仿宋_GB2312" w:cs="Times New Roman"/>
          <w:kern w:val="2"/>
          <w:sz w:val="32"/>
          <w:szCs w:val="24"/>
          <w:highlight w:val="none"/>
          <w:lang w:val="en-US" w:eastAsia="zh-CN" w:bidi="ar-SA"/>
        </w:rPr>
        <w:t>2024</w:t>
      </w:r>
      <w:r>
        <w:rPr>
          <w:rFonts w:hint="default" w:ascii="Times New Roman" w:hAnsi="Times New Roman" w:cs="Times New Roman"/>
          <w:highlight w:val="none"/>
          <w:lang w:val="en-US" w:eastAsia="zh-CN"/>
        </w:rPr>
        <w:t>年度预算执行情况，部门预算偏离程度如下：</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财政拨款预算偏离度=|预算执行数-调整预算数|÷调整预算数</w:t>
      </w:r>
      <w:r>
        <w:rPr>
          <w:rFonts w:hint="default" w:ascii="Times New Roman" w:hAnsi="Times New Roman" w:cs="Times New Roman"/>
          <w:color w:val="auto"/>
          <w:highlight w:val="none"/>
          <w:lang w:val="en-US" w:eastAsia="zh-CN"/>
        </w:rPr>
        <w:t>=</w:t>
      </w:r>
      <w:r>
        <w:rPr>
          <w:rFonts w:hint="default" w:ascii="Times New Roman" w:hAnsi="Times New Roman" w:cs="Times New Roman"/>
          <w:highlight w:val="none"/>
          <w:lang w:val="en-US" w:eastAsia="zh-CN"/>
        </w:rPr>
        <w:t>|</w:t>
      </w:r>
      <w:r>
        <w:rPr>
          <w:rFonts w:hint="eastAsia" w:cs="Times New Roman"/>
          <w:highlight w:val="none"/>
          <w:lang w:val="en-US" w:eastAsia="zh-CN"/>
        </w:rPr>
        <w:t>741.97</w:t>
      </w:r>
      <w:r>
        <w:rPr>
          <w:rFonts w:hint="default" w:ascii="Times New Roman" w:hAnsi="Times New Roman" w:cs="Times New Roman"/>
          <w:highlight w:val="none"/>
          <w:lang w:val="en-US" w:eastAsia="zh-CN"/>
        </w:rPr>
        <w:t>-</w:t>
      </w:r>
      <w:r>
        <w:rPr>
          <w:rFonts w:hint="eastAsia" w:cs="Times New Roman"/>
          <w:highlight w:val="none"/>
          <w:lang w:val="en-US" w:eastAsia="zh-CN"/>
        </w:rPr>
        <w:t>741.97</w:t>
      </w:r>
      <w:r>
        <w:rPr>
          <w:rFonts w:hint="default" w:ascii="Times New Roman" w:hAnsi="Times New Roman" w:cs="Times New Roman"/>
          <w:highlight w:val="none"/>
          <w:lang w:val="en-US" w:eastAsia="zh-CN"/>
        </w:rPr>
        <w:t>|÷</w:t>
      </w:r>
      <w:r>
        <w:rPr>
          <w:rFonts w:hint="eastAsia" w:cs="Times New Roman"/>
          <w:highlight w:val="none"/>
          <w:lang w:val="en-US" w:eastAsia="zh-CN"/>
        </w:rPr>
        <w:t>741.97</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0</w:t>
      </w:r>
      <w:r>
        <w:rPr>
          <w:rFonts w:hint="default" w:ascii="Times New Roman" w:hAnsi="Times New Roman" w:cs="Times New Roman"/>
          <w:highlight w:val="none"/>
          <w:lang w:val="en-US" w:eastAsia="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综上，该项指标得分=（1-财政拨款预算偏离度）×100%×8</w:t>
      </w:r>
      <w:r>
        <w:rPr>
          <w:rFonts w:hint="eastAsia" w:cs="Times New Roman"/>
          <w:highlight w:val="none"/>
          <w:lang w:val="en-US" w:eastAsia="zh-CN"/>
        </w:rPr>
        <w:t>=8</w:t>
      </w:r>
      <w:r>
        <w:rPr>
          <w:rFonts w:hint="default" w:ascii="Times New Roman" w:hAnsi="Times New Roman" w:cs="Times New Roman"/>
          <w:highlight w:val="none"/>
          <w:lang w:val="en-US" w:eastAsia="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highlight w:val="none"/>
          <w:lang w:val="en-US" w:eastAsia="zh-CN"/>
        </w:rPr>
        <w:t>根据评分标准，该项指标扣</w:t>
      </w:r>
      <w:r>
        <w:rPr>
          <w:rFonts w:hint="eastAsia" w:cs="Times New Roman"/>
          <w:highlight w:val="none"/>
          <w:lang w:val="en-US" w:eastAsia="zh-CN"/>
        </w:rPr>
        <w:t>0</w:t>
      </w:r>
      <w:r>
        <w:rPr>
          <w:rFonts w:hint="default" w:ascii="Times New Roman" w:hAnsi="Times New Roman" w:cs="Times New Roman"/>
          <w:highlight w:val="none"/>
          <w:lang w:val="en-US" w:eastAsia="zh-CN"/>
        </w:rPr>
        <w:t>分，得</w:t>
      </w:r>
      <w:r>
        <w:rPr>
          <w:rFonts w:hint="eastAsia" w:cs="Times New Roman"/>
          <w:highlight w:val="none"/>
          <w:lang w:val="en-US" w:eastAsia="zh-CN"/>
        </w:rPr>
        <w:t>8</w:t>
      </w:r>
      <w:r>
        <w:rPr>
          <w:rFonts w:hint="default" w:ascii="Times New Roman" w:hAnsi="Times New Roman" w:cs="Times New Roman"/>
          <w:highlight w:val="none"/>
          <w:lang w:val="en-US" w:eastAsia="zh-CN"/>
        </w:rPr>
        <w:t>分。</w:t>
      </w:r>
    </w:p>
    <w:p>
      <w:pPr>
        <w:pStyle w:val="26"/>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（2）支出执行进度</w:t>
      </w:r>
    </w:p>
    <w:p>
      <w:pPr>
        <w:pStyle w:val="26"/>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我中心2024年融媒体中心运行经费部门项目全年预算为190万元，预算执行率100%。预算进度执行情况良好。</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根据评分标准，该项指标</w:t>
      </w:r>
      <w:r>
        <w:rPr>
          <w:rFonts w:hint="default" w:ascii="Times New Roman" w:hAnsi="Times New Roman" w:cs="Times New Roman"/>
          <w:kern w:val="2"/>
          <w:sz w:val="32"/>
          <w:szCs w:val="24"/>
          <w:highlight w:val="none"/>
          <w:lang w:val="en-US" w:eastAsia="zh-CN" w:bidi="ar-SA"/>
        </w:rPr>
        <w:t>扣</w:t>
      </w:r>
      <w:r>
        <w:rPr>
          <w:rFonts w:hint="eastAsia" w:cs="Times New Roman"/>
          <w:kern w:val="2"/>
          <w:sz w:val="32"/>
          <w:szCs w:val="24"/>
          <w:highlight w:val="none"/>
          <w:lang w:val="en-US" w:eastAsia="zh-CN" w:bidi="ar-SA"/>
        </w:rPr>
        <w:t>0</w:t>
      </w:r>
      <w:r>
        <w:rPr>
          <w:rFonts w:hint="default" w:ascii="Times New Roman" w:hAnsi="Times New Roman" w:cs="Times New Roman"/>
          <w:kern w:val="2"/>
          <w:sz w:val="32"/>
          <w:szCs w:val="24"/>
          <w:highlight w:val="none"/>
          <w:lang w:val="en-US" w:eastAsia="zh-CN" w:bidi="ar-SA"/>
        </w:rPr>
        <w:t>分，得</w:t>
      </w:r>
      <w:r>
        <w:rPr>
          <w:rFonts w:hint="eastAsia" w:cs="Times New Roman"/>
          <w:highlight w:val="none"/>
          <w:lang w:val="en-US" w:eastAsia="zh-CN"/>
        </w:rPr>
        <w:t>9</w:t>
      </w:r>
      <w:r>
        <w:rPr>
          <w:rFonts w:hint="default" w:ascii="Times New Roman" w:hAnsi="Times New Roman" w:cs="Times New Roman"/>
          <w:kern w:val="2"/>
          <w:sz w:val="32"/>
          <w:szCs w:val="24"/>
          <w:highlight w:val="none"/>
          <w:lang w:val="en-US" w:eastAsia="zh-CN" w:bidi="ar-SA"/>
        </w:rPr>
        <w:t>分。</w:t>
      </w:r>
    </w:p>
    <w:p>
      <w:pPr>
        <w:pStyle w:val="26"/>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lang w:val="en-US" w:eastAsia="zh-CN"/>
        </w:rPr>
      </w:pPr>
      <w:r>
        <w:rPr>
          <w:rFonts w:hint="eastAsia" w:ascii="仿宋" w:hAnsi="仿宋" w:eastAsia="仿宋" w:cs="仿宋"/>
          <w:kern w:val="2"/>
          <w:sz w:val="32"/>
          <w:szCs w:val="24"/>
          <w:lang w:val="en-US" w:eastAsia="zh-CN" w:bidi="ar-SA"/>
        </w:rPr>
        <w:t>（3）</w:t>
      </w:r>
      <w:r>
        <w:rPr>
          <w:rFonts w:hint="eastAsia" w:ascii="仿宋" w:hAnsi="仿宋" w:eastAsia="仿宋" w:cs="仿宋"/>
          <w:lang w:val="en-US" w:eastAsia="zh-CN"/>
        </w:rPr>
        <w:t xml:space="preserve">预算年终结余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2024年</w:t>
      </w:r>
      <w:r>
        <w:rPr>
          <w:rFonts w:hint="eastAsia" w:cs="Times New Roman"/>
          <w:highlight w:val="none"/>
          <w:lang w:val="en-US" w:eastAsia="zh-CN"/>
        </w:rPr>
        <w:t>我中心支出</w:t>
      </w:r>
      <w:r>
        <w:rPr>
          <w:rFonts w:hint="default" w:ascii="Times New Roman" w:hAnsi="Times New Roman" w:cs="Times New Roman"/>
          <w:highlight w:val="none"/>
          <w:lang w:val="en-US" w:eastAsia="zh-CN"/>
        </w:rPr>
        <w:t>全年预算数为</w:t>
      </w:r>
      <w:r>
        <w:rPr>
          <w:rFonts w:hint="eastAsia" w:cs="Times New Roman"/>
          <w:highlight w:val="none"/>
          <w:lang w:val="en-US" w:eastAsia="zh-CN"/>
        </w:rPr>
        <w:t>741.97</w:t>
      </w:r>
      <w:r>
        <w:rPr>
          <w:rFonts w:hint="default" w:ascii="Times New Roman" w:hAnsi="Times New Roman" w:cs="Times New Roman"/>
          <w:highlight w:val="none"/>
          <w:lang w:val="en-US" w:eastAsia="zh-CN"/>
        </w:rPr>
        <w:t>万元，预算执行数为</w:t>
      </w:r>
      <w:r>
        <w:rPr>
          <w:rFonts w:hint="eastAsia" w:cs="Times New Roman"/>
          <w:highlight w:val="none"/>
          <w:lang w:val="en-US" w:eastAsia="zh-CN"/>
        </w:rPr>
        <w:t>741.97</w:t>
      </w:r>
      <w:r>
        <w:rPr>
          <w:rFonts w:hint="default" w:ascii="Times New Roman" w:hAnsi="Times New Roman" w:cs="Times New Roman"/>
          <w:highlight w:val="none"/>
          <w:lang w:val="en-US" w:eastAsia="zh-CN"/>
        </w:rPr>
        <w:t>万元。结转结</w:t>
      </w:r>
      <w:r>
        <w:rPr>
          <w:rFonts w:hint="eastAsia" w:ascii="Times New Roman" w:hAnsi="Times New Roman" w:cs="Times New Roman"/>
          <w:highlight w:val="none"/>
          <w:lang w:val="en-US" w:eastAsia="zh-CN"/>
        </w:rPr>
        <w:t>余</w:t>
      </w:r>
      <w:r>
        <w:rPr>
          <w:rFonts w:hint="default" w:ascii="Times New Roman" w:hAnsi="Times New Roman" w:cs="Times New Roman"/>
          <w:highlight w:val="none"/>
          <w:lang w:val="en-US" w:eastAsia="zh-CN"/>
        </w:rPr>
        <w:t>金额为</w:t>
      </w:r>
      <w:r>
        <w:rPr>
          <w:rFonts w:hint="eastAsia" w:cs="Times New Roman"/>
          <w:highlight w:val="none"/>
          <w:lang w:val="en-US" w:eastAsia="zh-CN"/>
        </w:rPr>
        <w:t>0</w:t>
      </w:r>
      <w:r>
        <w:rPr>
          <w:rFonts w:hint="default" w:ascii="Times New Roman" w:hAnsi="Times New Roman" w:cs="Times New Roman"/>
          <w:highlight w:val="none"/>
          <w:lang w:val="en-US" w:eastAsia="zh-CN"/>
        </w:rPr>
        <w:t>元</w:t>
      </w:r>
      <w:r>
        <w:rPr>
          <w:rFonts w:hint="eastAsia" w:cs="Times New Roman"/>
          <w:highlight w:val="none"/>
          <w:lang w:val="en-US" w:eastAsia="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highlight w:val="none"/>
          <w:lang w:val="en-US" w:eastAsia="zh-CN"/>
        </w:rPr>
        <w:t>根据评分标准，该项指标</w:t>
      </w:r>
      <w:r>
        <w:rPr>
          <w:rFonts w:hint="default" w:ascii="Times New Roman" w:hAnsi="Times New Roman" w:cs="Times New Roman"/>
          <w:kern w:val="2"/>
          <w:sz w:val="32"/>
          <w:szCs w:val="24"/>
          <w:highlight w:val="none"/>
          <w:lang w:val="en-US" w:eastAsia="zh-CN" w:bidi="ar-SA"/>
        </w:rPr>
        <w:t>扣</w:t>
      </w:r>
      <w:r>
        <w:rPr>
          <w:rFonts w:hint="eastAsia" w:cs="Times New Roman"/>
          <w:kern w:val="2"/>
          <w:sz w:val="32"/>
          <w:szCs w:val="24"/>
          <w:highlight w:val="none"/>
          <w:lang w:val="en-US" w:eastAsia="zh-CN" w:bidi="ar-SA"/>
        </w:rPr>
        <w:t>0</w:t>
      </w:r>
      <w:r>
        <w:rPr>
          <w:rFonts w:hint="default" w:ascii="Times New Roman" w:hAnsi="Times New Roman" w:cs="Times New Roman"/>
          <w:kern w:val="2"/>
          <w:sz w:val="32"/>
          <w:szCs w:val="24"/>
          <w:highlight w:val="none"/>
          <w:lang w:val="en-US" w:eastAsia="zh-CN" w:bidi="ar-SA"/>
        </w:rPr>
        <w:t>分，得</w:t>
      </w:r>
      <w:r>
        <w:rPr>
          <w:rFonts w:hint="eastAsia" w:cs="Times New Roman"/>
          <w:kern w:val="2"/>
          <w:sz w:val="32"/>
          <w:szCs w:val="24"/>
          <w:highlight w:val="none"/>
          <w:lang w:val="en-US" w:eastAsia="zh-CN" w:bidi="ar-SA"/>
        </w:rPr>
        <w:t>8</w:t>
      </w:r>
      <w:r>
        <w:rPr>
          <w:rFonts w:hint="default" w:ascii="Times New Roman" w:hAnsi="Times New Roman" w:cs="Times New Roman"/>
          <w:kern w:val="2"/>
          <w:sz w:val="32"/>
          <w:szCs w:val="24"/>
          <w:highlight w:val="none"/>
          <w:lang w:val="en-US" w:eastAsia="zh-CN" w:bidi="ar-SA"/>
        </w:rPr>
        <w:t>分。</w:t>
      </w:r>
    </w:p>
    <w:p>
      <w:pPr>
        <w:pStyle w:val="26"/>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（4）严控一般性支出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b/>
          <w:bCs/>
          <w:highlight w:val="none"/>
          <w:lang w:val="en-US" w:eastAsia="zh-CN"/>
        </w:rPr>
      </w:pPr>
      <w:r>
        <w:rPr>
          <w:rFonts w:hint="eastAsia" w:cs="Times New Roman"/>
          <w:highlight w:val="none"/>
          <w:lang w:val="en-US" w:eastAsia="zh-CN"/>
        </w:rPr>
        <w:t>我中心</w:t>
      </w:r>
      <w:r>
        <w:rPr>
          <w:rFonts w:hint="default" w:ascii="Times New Roman" w:hAnsi="Times New Roman" w:cs="Times New Roman"/>
          <w:highlight w:val="none"/>
          <w:lang w:val="en-US" w:eastAsia="zh-CN"/>
        </w:rPr>
        <w:t>2024年度“三公”经费、会议、培训、差旅、办节办展、办公设备购置、信息网络及软件购置更新、课题经费等8项一般性支出情况详见下表</w:t>
      </w:r>
      <w:r>
        <w:rPr>
          <w:rFonts w:hint="eastAsia" w:cs="Times New Roman"/>
          <w:highlight w:val="none"/>
          <w:lang w:val="en-US" w:eastAsia="zh-CN"/>
        </w:rPr>
        <w:t>4</w:t>
      </w:r>
      <w:r>
        <w:rPr>
          <w:rFonts w:hint="default" w:ascii="Times New Roman" w:hAnsi="Times New Roman" w:cs="Times New Roman"/>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表</w:t>
      </w:r>
      <w:r>
        <w:rPr>
          <w:rFonts w:hint="eastAsia" w:cs="Times New Roman"/>
          <w:b/>
          <w:bCs/>
          <w:highlight w:val="none"/>
          <w:lang w:val="en-US" w:eastAsia="zh-CN"/>
        </w:rPr>
        <w:t>4</w:t>
      </w:r>
      <w:r>
        <w:rPr>
          <w:rFonts w:hint="default" w:ascii="Times New Roman" w:hAnsi="Times New Roman" w:cs="Times New Roman"/>
          <w:b/>
          <w:bCs/>
          <w:highlight w:val="none"/>
          <w:lang w:val="en-US" w:eastAsia="zh-CN"/>
        </w:rPr>
        <w:t xml:space="preserve">-1 </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zh-CN"/>
        </w:rPr>
        <w:t>2024年度一般性支出情况表</w:t>
      </w:r>
    </w:p>
    <w:p>
      <w:pPr>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单位：万元</w:t>
      </w:r>
    </w:p>
    <w:tbl>
      <w:tblPr>
        <w:tblStyle w:val="13"/>
        <w:tblW w:w="49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2038"/>
        <w:gridCol w:w="1236"/>
        <w:gridCol w:w="1650"/>
        <w:gridCol w:w="1444"/>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序号</w:t>
            </w:r>
          </w:p>
        </w:tc>
        <w:tc>
          <w:tcPr>
            <w:tcW w:w="1218" w:type="pct"/>
            <w:tcBorders>
              <w:top w:val="single" w:color="000000" w:sz="4" w:space="0"/>
              <w:left w:val="single" w:color="000000" w:sz="4" w:space="0"/>
              <w:bottom w:val="single" w:color="000000" w:sz="4" w:space="0"/>
              <w:right w:val="single" w:color="000000" w:sz="4" w:space="0"/>
            </w:tcBorders>
            <w:shd w:val="clear" w:color="auto"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项目名称</w:t>
            </w:r>
          </w:p>
        </w:tc>
        <w:tc>
          <w:tcPr>
            <w:tcW w:w="739" w:type="pct"/>
            <w:tcBorders>
              <w:top w:val="single" w:color="000000" w:sz="4" w:space="0"/>
              <w:left w:val="single" w:color="000000" w:sz="4" w:space="0"/>
              <w:bottom w:val="single" w:color="000000" w:sz="4" w:space="0"/>
              <w:right w:val="single" w:color="000000" w:sz="4" w:space="0"/>
            </w:tcBorders>
            <w:shd w:val="clear" w:color="auto"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cs="Times New Roman"/>
                <w:i w:val="0"/>
                <w:iCs w:val="0"/>
                <w:color w:val="000000"/>
                <w:kern w:val="0"/>
                <w:sz w:val="24"/>
                <w:szCs w:val="24"/>
                <w:highlight w:val="none"/>
                <w:u w:val="none"/>
                <w:lang w:val="en-US" w:eastAsia="zh-CN" w:bidi="ar"/>
              </w:rPr>
              <w:t>2023</w:t>
            </w:r>
            <w:r>
              <w:rPr>
                <w:rFonts w:hint="default" w:ascii="Times New Roman" w:hAnsi="Times New Roman" w:eastAsia="仿宋_GB2312" w:cs="Times New Roman"/>
                <w:i w:val="0"/>
                <w:iCs w:val="0"/>
                <w:color w:val="000000"/>
                <w:kern w:val="0"/>
                <w:sz w:val="24"/>
                <w:szCs w:val="24"/>
                <w:highlight w:val="none"/>
                <w:u w:val="none"/>
                <w:lang w:val="en-US" w:eastAsia="zh-CN" w:bidi="ar"/>
              </w:rPr>
              <w:t>年年初预算数</w:t>
            </w:r>
          </w:p>
        </w:tc>
        <w:tc>
          <w:tcPr>
            <w:tcW w:w="986" w:type="pct"/>
            <w:tcBorders>
              <w:top w:val="single" w:color="000000" w:sz="4" w:space="0"/>
              <w:left w:val="single" w:color="000000" w:sz="4" w:space="0"/>
              <w:bottom w:val="single" w:color="000000" w:sz="4" w:space="0"/>
              <w:right w:val="single" w:color="000000" w:sz="4" w:space="0"/>
            </w:tcBorders>
            <w:shd w:val="clear" w:color="auto"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cs="Times New Roman"/>
                <w:i w:val="0"/>
                <w:iCs w:val="0"/>
                <w:color w:val="000000"/>
                <w:kern w:val="0"/>
                <w:sz w:val="24"/>
                <w:szCs w:val="24"/>
                <w:highlight w:val="none"/>
                <w:u w:val="none"/>
                <w:lang w:val="en-US" w:eastAsia="zh-CN" w:bidi="ar"/>
              </w:rPr>
              <w:t>2024年</w:t>
            </w:r>
            <w:r>
              <w:rPr>
                <w:rFonts w:hint="default" w:ascii="Times New Roman" w:hAnsi="Times New Roman" w:eastAsia="仿宋_GB2312" w:cs="Times New Roman"/>
                <w:i w:val="0"/>
                <w:iCs w:val="0"/>
                <w:color w:val="000000"/>
                <w:kern w:val="0"/>
                <w:sz w:val="24"/>
                <w:szCs w:val="24"/>
                <w:highlight w:val="none"/>
                <w:u w:val="none"/>
                <w:lang w:val="en-US" w:eastAsia="zh-CN" w:bidi="ar"/>
              </w:rPr>
              <w:t>年初预算数</w:t>
            </w:r>
          </w:p>
        </w:tc>
        <w:tc>
          <w:tcPr>
            <w:tcW w:w="863" w:type="pct"/>
            <w:tcBorders>
              <w:top w:val="single" w:color="000000" w:sz="4" w:space="0"/>
              <w:left w:val="single" w:color="000000" w:sz="4" w:space="0"/>
              <w:bottom w:val="single" w:color="000000" w:sz="4" w:space="0"/>
              <w:right w:val="single" w:color="000000" w:sz="4" w:space="0"/>
            </w:tcBorders>
            <w:shd w:val="clear" w:color="auto"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cs="Times New Roman"/>
                <w:i w:val="0"/>
                <w:iCs w:val="0"/>
                <w:color w:val="000000"/>
                <w:kern w:val="0"/>
                <w:sz w:val="24"/>
                <w:szCs w:val="24"/>
                <w:highlight w:val="none"/>
                <w:u w:val="none"/>
                <w:lang w:val="en-US" w:eastAsia="zh-CN" w:bidi="ar"/>
              </w:rPr>
              <w:t>2023</w:t>
            </w:r>
            <w:r>
              <w:rPr>
                <w:rFonts w:hint="default" w:ascii="Times New Roman" w:hAnsi="Times New Roman" w:eastAsia="仿宋_GB2312" w:cs="Times New Roman"/>
                <w:i w:val="0"/>
                <w:iCs w:val="0"/>
                <w:color w:val="000000"/>
                <w:kern w:val="0"/>
                <w:sz w:val="24"/>
                <w:szCs w:val="24"/>
                <w:highlight w:val="none"/>
                <w:u w:val="none"/>
                <w:lang w:val="en-US" w:eastAsia="zh-CN" w:bidi="ar"/>
              </w:rPr>
              <w:t>年预算执行数</w:t>
            </w:r>
          </w:p>
        </w:tc>
        <w:tc>
          <w:tcPr>
            <w:tcW w:w="816" w:type="pct"/>
            <w:tcBorders>
              <w:top w:val="single" w:color="000000" w:sz="4" w:space="0"/>
              <w:left w:val="single" w:color="000000" w:sz="4" w:space="0"/>
              <w:bottom w:val="single" w:color="000000" w:sz="4" w:space="0"/>
              <w:right w:val="single" w:color="000000" w:sz="4" w:space="0"/>
            </w:tcBorders>
            <w:shd w:val="clear" w:color="auto" w:fill="D7D7D7"/>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cs="Times New Roman"/>
                <w:i w:val="0"/>
                <w:iCs w:val="0"/>
                <w:color w:val="000000"/>
                <w:kern w:val="0"/>
                <w:sz w:val="24"/>
                <w:szCs w:val="24"/>
                <w:highlight w:val="none"/>
                <w:u w:val="none"/>
                <w:lang w:val="en-US" w:eastAsia="zh-CN" w:bidi="ar"/>
              </w:rPr>
              <w:t>2024年</w:t>
            </w:r>
            <w:r>
              <w:rPr>
                <w:rFonts w:hint="default" w:ascii="Times New Roman" w:hAnsi="Times New Roman" w:eastAsia="仿宋_GB2312" w:cs="Times New Roman"/>
                <w:i w:val="0"/>
                <w:iCs w:val="0"/>
                <w:color w:val="000000"/>
                <w:kern w:val="0"/>
                <w:sz w:val="24"/>
                <w:szCs w:val="24"/>
                <w:highlight w:val="none"/>
                <w:u w:val="none"/>
                <w:lang w:val="en-US" w:eastAsia="zh-CN" w:bidi="ar"/>
              </w:rPr>
              <w:t>预算执行数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1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cs="Times New Roman"/>
                <w:i w:val="0"/>
                <w:iCs w:val="0"/>
                <w:color w:val="000000"/>
                <w:kern w:val="0"/>
                <w:sz w:val="24"/>
                <w:szCs w:val="24"/>
                <w:highlight w:val="none"/>
                <w:u w:val="none"/>
                <w:lang w:val="en-US" w:eastAsia="zh-CN" w:bidi="ar"/>
              </w:rPr>
              <w:t>“</w:t>
            </w:r>
            <w:r>
              <w:rPr>
                <w:rFonts w:hint="default" w:ascii="Times New Roman" w:hAnsi="Times New Roman" w:eastAsia="仿宋_GB2312" w:cs="Times New Roman"/>
                <w:i w:val="0"/>
                <w:iCs w:val="0"/>
                <w:color w:val="000000"/>
                <w:kern w:val="0"/>
                <w:sz w:val="24"/>
                <w:szCs w:val="24"/>
                <w:highlight w:val="none"/>
                <w:u w:val="none"/>
                <w:lang w:val="en-US" w:eastAsia="zh-CN" w:bidi="ar"/>
              </w:rPr>
              <w:t>三公</w:t>
            </w:r>
            <w:r>
              <w:rPr>
                <w:rFonts w:hint="default" w:ascii="Times New Roman" w:hAnsi="Times New Roman" w:cs="Times New Roman"/>
                <w:i w:val="0"/>
                <w:iCs w:val="0"/>
                <w:color w:val="000000"/>
                <w:kern w:val="0"/>
                <w:sz w:val="24"/>
                <w:szCs w:val="24"/>
                <w:highlight w:val="none"/>
                <w:u w:val="none"/>
                <w:lang w:val="en-US" w:eastAsia="zh-CN" w:bidi="ar"/>
              </w:rPr>
              <w:t>”</w:t>
            </w:r>
            <w:r>
              <w:rPr>
                <w:rFonts w:hint="default" w:ascii="Times New Roman" w:hAnsi="Times New Roman" w:eastAsia="仿宋_GB2312" w:cs="Times New Roman"/>
                <w:i w:val="0"/>
                <w:iCs w:val="0"/>
                <w:color w:val="000000"/>
                <w:kern w:val="0"/>
                <w:sz w:val="24"/>
                <w:szCs w:val="24"/>
                <w:highlight w:val="none"/>
                <w:u w:val="none"/>
                <w:lang w:val="en-US" w:eastAsia="zh-CN" w:bidi="ar"/>
              </w:rPr>
              <w:t>经费</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1.5</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1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会议费</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1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培训费</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0.5</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1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差旅费</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4</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3.9</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3.99</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1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办节办展</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1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办公设备购置</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1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信息网络及软件购置更新经费</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1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课题经费</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合计</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4.5</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5.9</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4.49</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6.96</w:t>
            </w:r>
          </w:p>
        </w:tc>
      </w:tr>
    </w:tbl>
    <w:p>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一般性支出财政拨款年初预算较上年</w:t>
      </w:r>
      <w:r>
        <w:rPr>
          <w:rFonts w:hint="eastAsia" w:cs="Times New Roman"/>
          <w:highlight w:val="none"/>
          <w:lang w:val="en-US" w:eastAsia="zh-CN"/>
        </w:rPr>
        <w:t>压减-1.06万元</w:t>
      </w:r>
      <w:r>
        <w:rPr>
          <w:rFonts w:hint="default" w:ascii="Times New Roman" w:hAnsi="Times New Roman" w:cs="Times New Roman"/>
          <w:highlight w:val="none"/>
          <w:lang w:val="en-US" w:eastAsia="zh-CN"/>
        </w:rPr>
        <w:t>，一般性支出财政拨款预算执行数较上年</w:t>
      </w:r>
      <w:r>
        <w:rPr>
          <w:rFonts w:hint="eastAsia" w:cs="Times New Roman"/>
          <w:highlight w:val="none"/>
          <w:lang w:val="en-US" w:eastAsia="zh-CN"/>
        </w:rPr>
        <w:t>压减-1.4万元</w:t>
      </w:r>
      <w:r>
        <w:rPr>
          <w:rFonts w:hint="default" w:ascii="Times New Roman" w:hAnsi="Times New Roman" w:cs="Times New Roman"/>
          <w:highlight w:val="none"/>
          <w:lang w:val="en-US" w:eastAsia="zh-CN"/>
        </w:rPr>
        <w:t>。</w:t>
      </w:r>
    </w:p>
    <w:p>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根据评分标准，该项指标</w:t>
      </w:r>
      <w:r>
        <w:rPr>
          <w:rFonts w:hint="eastAsia" w:cs="Times New Roman"/>
          <w:highlight w:val="none"/>
          <w:lang w:val="en-US" w:eastAsia="zh-CN"/>
        </w:rPr>
        <w:t>不得</w:t>
      </w:r>
      <w:r>
        <w:rPr>
          <w:rFonts w:hint="default" w:ascii="Times New Roman" w:hAnsi="Times New Roman" w:cs="Times New Roman"/>
          <w:highlight w:val="none"/>
          <w:lang w:val="en-US" w:eastAsia="zh-CN"/>
        </w:rPr>
        <w:t>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（1）财务管理制度</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shd w:val="clear" w:color="FFFFFF" w:fill="D9D9D9"/>
          <w:lang w:val="zh-CN" w:eastAsia="zh-CN"/>
        </w:rPr>
      </w:pPr>
      <w:r>
        <w:rPr>
          <w:rFonts w:hint="default" w:ascii="Times New Roman" w:hAnsi="Times New Roman" w:cs="Times New Roman"/>
          <w:highlight w:val="none"/>
          <w:shd w:val="clear" w:color="auto" w:fill="auto"/>
          <w:lang w:val="zh-CN" w:eastAsia="zh-CN"/>
        </w:rPr>
        <w:t>为加强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财务管理和会计核算，合理组织收入、节约费用开支，防止国有资产流失，提高资金使用效益、强化财务监督，各项管理符合现行财务会计制度的要求</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cs="Times New Roman"/>
          <w:highlight w:val="none"/>
          <w:shd w:val="clear" w:color="auto" w:fill="auto"/>
          <w:lang w:val="zh-CN" w:eastAsia="zh-CN"/>
        </w:rPr>
        <w:t>我</w:t>
      </w:r>
      <w:r>
        <w:rPr>
          <w:rFonts w:hint="eastAsia" w:cs="Times New Roman"/>
          <w:highlight w:val="none"/>
          <w:shd w:val="clear" w:color="auto" w:fill="auto"/>
          <w:lang w:val="en-US" w:eastAsia="zh-CN"/>
        </w:rPr>
        <w:t>中心制定了</w:t>
      </w:r>
      <w:r>
        <w:rPr>
          <w:rFonts w:hint="eastAsia" w:ascii="仿宋" w:hAnsi="仿宋" w:eastAsia="仿宋" w:cs="仿宋"/>
          <w:szCs w:val="32"/>
        </w:rPr>
        <w:t>《</w:t>
      </w:r>
      <w:r>
        <w:rPr>
          <w:rFonts w:hint="eastAsia" w:ascii="仿宋" w:hAnsi="仿宋" w:eastAsia="仿宋" w:cs="仿宋"/>
          <w:szCs w:val="32"/>
          <w:lang w:val="en-US" w:eastAsia="zh-CN"/>
        </w:rPr>
        <w:t>蓬</w:t>
      </w:r>
      <w:r>
        <w:rPr>
          <w:rFonts w:hint="eastAsia" w:ascii="仿宋" w:hAnsi="仿宋" w:eastAsia="仿宋" w:cs="仿宋"/>
          <w:szCs w:val="32"/>
        </w:rPr>
        <w:t>溪县融媒体中心财务管理制度》</w:t>
      </w:r>
      <w:r>
        <w:rPr>
          <w:rFonts w:hint="eastAsia" w:cs="Times New Roman"/>
          <w:highlight w:val="none"/>
          <w:shd w:val="clear" w:color="auto" w:fill="auto"/>
          <w:lang w:val="en-US" w:eastAsia="zh-CN"/>
        </w:rPr>
        <w:t>并</w:t>
      </w:r>
      <w:r>
        <w:rPr>
          <w:rFonts w:hint="default" w:ascii="Times New Roman" w:hAnsi="Times New Roman" w:cs="Times New Roman"/>
          <w:highlight w:val="none"/>
          <w:shd w:val="clear" w:color="auto" w:fill="auto"/>
          <w:lang w:val="zh-CN" w:eastAsia="zh-CN"/>
        </w:rPr>
        <w:t>得到有效执行。</w:t>
      </w:r>
    </w:p>
    <w:p>
      <w:pPr>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highlight w:val="none"/>
          <w:shd w:val="clear" w:color="auto" w:fill="auto"/>
          <w:lang w:val="zh-CN" w:eastAsia="zh-CN"/>
        </w:rPr>
      </w:pPr>
      <w:r>
        <w:rPr>
          <w:rFonts w:hint="default" w:ascii="Times New Roman" w:hAnsi="Times New Roman" w:cs="Times New Roman"/>
          <w:highlight w:val="none"/>
          <w:shd w:val="clear" w:color="auto" w:fill="auto"/>
          <w:lang w:val="zh-CN" w:eastAsia="zh-CN"/>
        </w:rPr>
        <w:t>根据评分标准，该项指标不扣分。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shd w:val="clear" w:color="auto" w:fill="auto"/>
          <w:lang w:val="zh-CN" w:eastAsia="zh-CN"/>
        </w:rPr>
      </w:pPr>
      <w:r>
        <w:rPr>
          <w:rFonts w:hint="default" w:ascii="Times New Roman" w:hAnsi="Times New Roman" w:cs="Times New Roman"/>
          <w:highlight w:val="none"/>
          <w:shd w:val="clear" w:color="auto" w:fill="auto"/>
          <w:lang w:val="zh-CN" w:eastAsia="zh-CN"/>
        </w:rPr>
        <w:t>（2）财务岗位设置</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shd w:val="clear" w:color="auto" w:fill="auto"/>
          <w:lang w:val="zh-CN" w:eastAsia="zh-CN"/>
        </w:rPr>
      </w:pPr>
      <w:r>
        <w:rPr>
          <w:rFonts w:hint="eastAsia" w:cs="Times New Roman"/>
          <w:highlight w:val="none"/>
          <w:shd w:val="clear" w:color="auto" w:fill="auto"/>
          <w:lang w:val="zh-CN" w:eastAsia="zh-CN"/>
        </w:rPr>
        <w:t>我</w:t>
      </w:r>
      <w:r>
        <w:rPr>
          <w:rFonts w:hint="eastAsia" w:cs="Times New Roman"/>
          <w:highlight w:val="none"/>
          <w:shd w:val="clear" w:color="auto" w:fill="auto"/>
          <w:lang w:val="en-US" w:eastAsia="zh-CN"/>
        </w:rPr>
        <w:t>中心</w:t>
      </w:r>
      <w:r>
        <w:rPr>
          <w:rFonts w:hint="default" w:ascii="Times New Roman" w:hAnsi="Times New Roman" w:cs="Times New Roman"/>
          <w:highlight w:val="none"/>
          <w:shd w:val="clear" w:color="auto" w:fill="auto"/>
          <w:lang w:val="zh-CN" w:eastAsia="zh-CN"/>
        </w:rPr>
        <w:t>合理设置了单位财务岗位，明确了各岗位职责权限确保工作有序进行，同时，</w:t>
      </w:r>
      <w:r>
        <w:rPr>
          <w:rFonts w:hint="eastAsia" w:cs="Times New Roman"/>
          <w:highlight w:val="none"/>
          <w:shd w:val="clear" w:color="auto" w:fill="auto"/>
          <w:lang w:val="zh-CN" w:eastAsia="zh-CN"/>
        </w:rPr>
        <w:t>我</w:t>
      </w:r>
      <w:r>
        <w:rPr>
          <w:rFonts w:hint="eastAsia" w:cs="Times New Roman"/>
          <w:highlight w:val="none"/>
          <w:shd w:val="clear" w:color="auto" w:fill="auto"/>
          <w:lang w:val="en-US" w:eastAsia="zh-CN"/>
        </w:rPr>
        <w:t>中心依据</w:t>
      </w:r>
      <w:r>
        <w:rPr>
          <w:rFonts w:hint="default" w:ascii="Times New Roman" w:hAnsi="Times New Roman" w:cs="Times New Roman"/>
          <w:highlight w:val="none"/>
          <w:shd w:val="clear" w:color="auto" w:fill="auto"/>
          <w:lang w:val="zh-CN" w:eastAsia="zh-CN"/>
        </w:rPr>
        <w:t>《</w:t>
      </w:r>
      <w:r>
        <w:rPr>
          <w:rFonts w:hint="eastAsia" w:cs="Times New Roman"/>
          <w:highlight w:val="none"/>
          <w:shd w:val="clear" w:color="auto" w:fill="auto"/>
          <w:lang w:val="en-US" w:eastAsia="zh-CN"/>
        </w:rPr>
        <w:t>蓬溪县融媒体中心财务管理制度</w:t>
      </w:r>
      <w:r>
        <w:rPr>
          <w:rFonts w:hint="default" w:ascii="Times New Roman" w:hAnsi="Times New Roman" w:cs="Times New Roman"/>
          <w:highlight w:val="none"/>
          <w:shd w:val="clear" w:color="auto" w:fill="auto"/>
          <w:lang w:val="zh-CN" w:eastAsia="zh-CN"/>
        </w:rPr>
        <w:t>》明确表示了财务收支统一核算管理，会计和出纳岗位分设，出纳人员不得兼管审核、会计档案保管，在财务实际设置过程中，做到了将会计与出纳、审核与执行等岗位分离，形成了相互制约、监督的机制，进而增强了财务数据的准确性，提升了内部控制效能，确保了财务工作的高效与透明。</w:t>
      </w:r>
    </w:p>
    <w:p>
      <w:pPr>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highlight w:val="none"/>
          <w:shd w:val="clear" w:color="auto" w:fill="auto"/>
          <w:lang w:val="zh-CN" w:eastAsia="zh-CN"/>
        </w:rPr>
      </w:pPr>
      <w:r>
        <w:rPr>
          <w:rFonts w:hint="default" w:ascii="Times New Roman" w:hAnsi="Times New Roman" w:cs="Times New Roman"/>
          <w:highlight w:val="none"/>
          <w:shd w:val="clear" w:color="auto" w:fill="auto"/>
          <w:lang w:val="zh-CN" w:eastAsia="zh-CN"/>
        </w:rPr>
        <w:t>根据评分标准，该项指标不扣分。</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shd w:val="clear" w:color="auto" w:fill="auto"/>
          <w:lang w:val="zh-CN" w:eastAsia="zh-CN"/>
        </w:rPr>
      </w:pPr>
      <w:r>
        <w:rPr>
          <w:rFonts w:hint="default" w:ascii="Times New Roman" w:hAnsi="Times New Roman" w:cs="Times New Roman"/>
          <w:highlight w:val="none"/>
          <w:shd w:val="clear" w:color="auto" w:fill="auto"/>
          <w:lang w:val="zh-CN" w:eastAsia="zh-CN"/>
        </w:rPr>
        <w:t>（3）资金使用规范</w:t>
      </w:r>
    </w:p>
    <w:p>
      <w:pPr>
        <w:pageBreakBefore w:val="0"/>
        <w:kinsoku/>
        <w:wordWrap/>
        <w:overflowPunct/>
        <w:topLinePunct w:val="0"/>
        <w:autoSpaceDE/>
        <w:autoSpaceDN/>
        <w:bidi w:val="0"/>
        <w:spacing w:line="576" w:lineRule="exact"/>
        <w:textAlignment w:val="auto"/>
        <w:rPr>
          <w:rFonts w:hint="default" w:ascii="Times New Roman" w:hAnsi="Times New Roman" w:cs="Times New Roman"/>
          <w:highlight w:val="none"/>
          <w:shd w:val="clear" w:color="auto" w:fill="auto"/>
          <w:lang w:val="zh-CN" w:eastAsia="zh-CN"/>
        </w:rPr>
      </w:pPr>
      <w:r>
        <w:rPr>
          <w:rFonts w:hint="eastAsia" w:cs="Times New Roman"/>
          <w:highlight w:val="none"/>
          <w:shd w:val="clear" w:color="auto" w:fill="auto"/>
          <w:lang w:val="zh-CN" w:eastAsia="zh-CN"/>
        </w:rPr>
        <w:t>我</w:t>
      </w:r>
      <w:r>
        <w:rPr>
          <w:rFonts w:hint="eastAsia" w:cs="Times New Roman"/>
          <w:highlight w:val="none"/>
          <w:shd w:val="clear" w:color="auto" w:fill="auto"/>
          <w:lang w:val="en-US" w:eastAsia="zh-CN"/>
        </w:rPr>
        <w:t>中心</w:t>
      </w:r>
      <w:r>
        <w:rPr>
          <w:rFonts w:hint="default" w:ascii="Times New Roman" w:hAnsi="Times New Roman" w:cs="Times New Roman"/>
          <w:highlight w:val="none"/>
          <w:shd w:val="clear" w:color="auto" w:fill="auto"/>
          <w:lang w:val="zh-CN" w:eastAsia="zh-CN"/>
        </w:rPr>
        <w:t>严格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按照财务制度的规定</w:t>
      </w:r>
      <w:r>
        <w:rPr>
          <w:rFonts w:hint="eastAsia" w:ascii="仿宋_GB2312" w:hAnsi="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财政拨入资金及时入账</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分项核算，统一管理</w:t>
      </w:r>
      <w:r>
        <w:rPr>
          <w:rFonts w:hint="default" w:ascii="Times New Roman" w:hAnsi="Times New Roman" w:cs="Times New Roman"/>
          <w:highlight w:val="none"/>
          <w:shd w:val="clear" w:color="auto" w:fill="auto"/>
          <w:lang w:val="zh-CN" w:eastAsia="zh-CN"/>
        </w:rPr>
        <w:t>，</w:t>
      </w:r>
      <w:r>
        <w:rPr>
          <w:rFonts w:hint="eastAsia" w:cs="Times New Roman"/>
          <w:highlight w:val="none"/>
          <w:shd w:val="clear" w:color="auto" w:fill="auto"/>
          <w:lang w:val="en-US" w:eastAsia="zh-CN"/>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经常性经费支出、专项经费支出</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w:t>
      </w:r>
      <w:r>
        <w:rPr>
          <w:rFonts w:hint="eastAsia" w:ascii="仿宋_GB2312" w:hAnsi="仿宋_GB2312" w:cs="仿宋_GB2312"/>
          <w:color w:val="000000" w:themeColor="text1"/>
          <w:sz w:val="32"/>
          <w:szCs w:val="32"/>
          <w:lang w:val="en-US" w:eastAsia="zh-CN"/>
          <w14:textFill>
            <w14:solidFill>
              <w14:schemeClr w14:val="tx1"/>
            </w14:solidFill>
          </w14:textFill>
        </w:rPr>
        <w:t>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支出等</w:t>
      </w:r>
      <w:r>
        <w:rPr>
          <w:rFonts w:hint="eastAsia" w:ascii="仿宋_GB2312" w:hAnsi="仿宋_GB2312" w:cs="仿宋_GB2312"/>
          <w:color w:val="000000" w:themeColor="text1"/>
          <w:sz w:val="32"/>
          <w:szCs w:val="32"/>
          <w:lang w:val="en-US" w:eastAsia="zh-CN"/>
          <w14:textFill>
            <w14:solidFill>
              <w14:schemeClr w14:val="tx1"/>
            </w14:solidFill>
          </w14:textFill>
        </w:rPr>
        <w:t>资金支出，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严格执行现行的各项开支范围和标准, 认真审核原始单据的合法性，特别是对带有普遍性和经常性的开支不能随意提高开支标准，扩大开支范围</w:t>
      </w:r>
      <w:r>
        <w:rPr>
          <w:rFonts w:hint="eastAsia" w:ascii="仿宋_GB2312" w:hAnsi="仿宋_GB2312" w:cs="仿宋_GB2312"/>
          <w:color w:val="000000" w:themeColor="text1"/>
          <w:sz w:val="32"/>
          <w:szCs w:val="32"/>
          <w:lang w:val="en-US" w:eastAsia="zh-CN"/>
          <w14:textFill>
            <w14:solidFill>
              <w14:schemeClr w14:val="tx1"/>
            </w14:solidFill>
          </w14:textFill>
        </w:rPr>
        <w:t>。项目资金使用合规，不存在截留、换占、虚列支持存储等违规情况。</w:t>
      </w:r>
      <w:r>
        <w:rPr>
          <w:rFonts w:hint="default" w:ascii="Times New Roman" w:hAnsi="Times New Roman" w:cs="Times New Roman"/>
          <w:highlight w:val="none"/>
          <w:shd w:val="clear" w:color="auto" w:fill="auto"/>
          <w:lang w:val="zh-CN" w:eastAsia="zh-CN"/>
        </w:rPr>
        <w:t>资金使用符合相关财务管理制度规定。</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bCs/>
          <w:color w:val="000000"/>
          <w:kern w:val="0"/>
          <w:sz w:val="33"/>
          <w:szCs w:val="33"/>
          <w:highlight w:val="none"/>
          <w:shd w:val="clear" w:color="auto" w:fill="auto"/>
          <w:lang w:val="zh-CN"/>
        </w:rPr>
      </w:pPr>
      <w:r>
        <w:rPr>
          <w:rFonts w:hint="default" w:ascii="Times New Roman" w:hAnsi="Times New Roman" w:cs="Times New Roman"/>
          <w:highlight w:val="none"/>
          <w:shd w:val="clear" w:color="auto" w:fill="auto"/>
          <w:lang w:val="zh-CN" w:eastAsia="zh-CN"/>
        </w:rPr>
        <w:t>根据评分标准，该项指标不扣分。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zh-CN" w:eastAsia="zh-CN"/>
        </w:rPr>
      </w:pPr>
      <w:r>
        <w:rPr>
          <w:rFonts w:hint="eastAsia" w:cs="Times New Roman"/>
          <w:color w:val="auto"/>
          <w:highlight w:val="none"/>
          <w:lang w:val="zh-CN" w:eastAsia="zh-CN"/>
        </w:rPr>
        <w:t>我</w:t>
      </w:r>
      <w:r>
        <w:rPr>
          <w:rFonts w:hint="eastAsia" w:cs="Times New Roman"/>
          <w:color w:val="auto"/>
          <w:highlight w:val="none"/>
          <w:lang w:val="en-US" w:eastAsia="zh-CN"/>
        </w:rPr>
        <w:t>中心</w:t>
      </w:r>
      <w:r>
        <w:rPr>
          <w:rFonts w:hint="default" w:ascii="Times New Roman" w:hAnsi="Times New Roman" w:cs="Times New Roman"/>
          <w:color w:val="auto"/>
          <w:highlight w:val="none"/>
          <w:lang w:val="zh-CN" w:eastAsia="zh-CN"/>
        </w:rPr>
        <w:t>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zh-CN" w:eastAsia="zh-CN"/>
        </w:rPr>
        <w:t>年末实有在编在职人数为</w:t>
      </w:r>
      <w:r>
        <w:rPr>
          <w:rFonts w:hint="eastAsia" w:cs="Times New Roman"/>
          <w:color w:val="auto"/>
          <w:highlight w:val="none"/>
          <w:lang w:val="en-US" w:eastAsia="zh-CN"/>
        </w:rPr>
        <w:t>33</w:t>
      </w:r>
      <w:r>
        <w:rPr>
          <w:rFonts w:hint="default" w:ascii="Times New Roman" w:hAnsi="Times New Roman" w:cs="Times New Roman"/>
          <w:color w:val="auto"/>
          <w:highlight w:val="none"/>
          <w:lang w:val="zh-CN" w:eastAsia="zh-CN"/>
        </w:rPr>
        <w:t>人，固定资产和无形资产期末账面净值合计</w:t>
      </w:r>
      <w:r>
        <w:rPr>
          <w:rFonts w:hint="eastAsia" w:cs="Times New Roman"/>
          <w:color w:val="auto"/>
          <w:highlight w:val="none"/>
          <w:lang w:val="en-US" w:eastAsia="zh-CN"/>
        </w:rPr>
        <w:t>157.00</w:t>
      </w:r>
      <w:r>
        <w:rPr>
          <w:rFonts w:hint="default" w:ascii="Times New Roman" w:hAnsi="Times New Roman" w:cs="Times New Roman"/>
          <w:color w:val="auto"/>
          <w:highlight w:val="none"/>
          <w:lang w:val="zh-CN" w:eastAsia="zh-CN"/>
        </w:rPr>
        <w:t>万元；2024年末实有在职在编人数为</w:t>
      </w:r>
      <w:r>
        <w:rPr>
          <w:rFonts w:hint="eastAsia" w:cs="Times New Roman"/>
          <w:color w:val="auto"/>
          <w:highlight w:val="none"/>
          <w:lang w:val="en-US" w:eastAsia="zh-CN"/>
        </w:rPr>
        <w:t>33</w:t>
      </w:r>
      <w:r>
        <w:rPr>
          <w:rFonts w:hint="default" w:ascii="Times New Roman" w:hAnsi="Times New Roman" w:cs="Times New Roman"/>
          <w:color w:val="auto"/>
          <w:highlight w:val="none"/>
          <w:lang w:val="zh-CN" w:eastAsia="zh-CN"/>
        </w:rPr>
        <w:t>人，固定资产和无形资产净值合计</w:t>
      </w:r>
      <w:r>
        <w:rPr>
          <w:rFonts w:hint="eastAsia" w:cs="Times New Roman"/>
          <w:color w:val="auto"/>
          <w:highlight w:val="none"/>
          <w:lang w:val="en-US" w:eastAsia="zh-CN"/>
        </w:rPr>
        <w:t>110.00</w:t>
      </w:r>
      <w:r>
        <w:rPr>
          <w:rFonts w:hint="default" w:ascii="Times New Roman" w:hAnsi="Times New Roman" w:cs="Times New Roman"/>
          <w:color w:val="auto"/>
          <w:highlight w:val="none"/>
          <w:lang w:val="zh-CN" w:eastAsia="zh-CN"/>
        </w:rPr>
        <w:t>万元。部门人均资产变化率Y=（2024年行政事业单位人均占有资产-2023年行政事业单位人均占有资产）÷2023年行政事业单位人均占有资产×100%。</w:t>
      </w:r>
      <w:r>
        <w:rPr>
          <w:rFonts w:hint="eastAsia" w:cs="Times New Roman"/>
          <w:color w:val="auto"/>
          <w:highlight w:val="none"/>
          <w:lang w:val="zh-CN" w:eastAsia="zh-CN"/>
        </w:rPr>
        <w:t>我部门</w:t>
      </w:r>
      <w:r>
        <w:rPr>
          <w:rFonts w:hint="default" w:ascii="Times New Roman" w:hAnsi="Times New Roman" w:cs="Times New Roman"/>
          <w:color w:val="auto"/>
          <w:highlight w:val="none"/>
          <w:lang w:val="en-US" w:eastAsia="zh-CN"/>
        </w:rPr>
        <w:t>2023</w:t>
      </w:r>
      <w:r>
        <w:rPr>
          <w:rFonts w:hint="default" w:ascii="Times New Roman" w:hAnsi="Times New Roman" w:cs="Times New Roman"/>
          <w:color w:val="auto"/>
          <w:highlight w:val="none"/>
          <w:lang w:val="zh-CN" w:eastAsia="zh-CN"/>
        </w:rPr>
        <w:t>、2024年人均占有资产分别为</w:t>
      </w:r>
      <w:r>
        <w:rPr>
          <w:rFonts w:hint="eastAsia" w:cs="Times New Roman"/>
          <w:color w:val="auto"/>
          <w:highlight w:val="none"/>
          <w:lang w:val="en-US" w:eastAsia="zh-CN"/>
        </w:rPr>
        <w:t>4.76</w:t>
      </w:r>
      <w:r>
        <w:rPr>
          <w:rFonts w:hint="default" w:ascii="Times New Roman" w:hAnsi="Times New Roman" w:cs="Times New Roman"/>
          <w:color w:val="auto"/>
          <w:highlight w:val="none"/>
          <w:lang w:val="zh-CN" w:eastAsia="zh-CN"/>
        </w:rPr>
        <w:t>万元/人、</w:t>
      </w:r>
      <w:r>
        <w:rPr>
          <w:rFonts w:hint="eastAsia" w:cs="Times New Roman"/>
          <w:color w:val="auto"/>
          <w:highlight w:val="none"/>
          <w:lang w:val="en-US" w:eastAsia="zh-CN"/>
        </w:rPr>
        <w:t>3.33</w:t>
      </w:r>
      <w:r>
        <w:rPr>
          <w:rFonts w:hint="default" w:ascii="Times New Roman" w:hAnsi="Times New Roman" w:cs="Times New Roman"/>
          <w:color w:val="auto"/>
          <w:highlight w:val="none"/>
          <w:lang w:val="zh-CN" w:eastAsia="zh-CN"/>
        </w:rPr>
        <w:t>万元/人。</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zh-CN" w:eastAsia="zh-CN"/>
        </w:rPr>
      </w:pPr>
      <w:r>
        <w:rPr>
          <w:rFonts w:hint="default" w:ascii="Times New Roman" w:hAnsi="Times New Roman" w:cs="Times New Roman"/>
          <w:color w:val="auto"/>
          <w:highlight w:val="none"/>
          <w:lang w:val="zh-CN" w:eastAsia="zh-CN"/>
        </w:rPr>
        <w:t>综上，2024年</w:t>
      </w:r>
      <w:r>
        <w:rPr>
          <w:rFonts w:hint="eastAsia" w:cs="Times New Roman"/>
          <w:color w:val="auto"/>
          <w:highlight w:val="none"/>
          <w:lang w:val="zh-CN" w:eastAsia="zh-CN"/>
        </w:rPr>
        <w:t>我</w:t>
      </w:r>
      <w:r>
        <w:rPr>
          <w:rFonts w:hint="eastAsia" w:cs="Times New Roman"/>
          <w:color w:val="auto"/>
          <w:highlight w:val="none"/>
          <w:lang w:val="en-US" w:eastAsia="zh-CN"/>
        </w:rPr>
        <w:t>中心</w:t>
      </w:r>
      <w:r>
        <w:rPr>
          <w:rFonts w:hint="default" w:ascii="Times New Roman" w:hAnsi="Times New Roman" w:cs="Times New Roman"/>
          <w:color w:val="auto"/>
          <w:highlight w:val="none"/>
          <w:lang w:val="zh-CN" w:eastAsia="zh-CN"/>
        </w:rPr>
        <w:t>人均资产变化率为</w:t>
      </w:r>
      <w:r>
        <w:rPr>
          <w:rFonts w:hint="eastAsia" w:cs="Times New Roman"/>
          <w:color w:val="auto"/>
          <w:highlight w:val="none"/>
          <w:lang w:val="en-US" w:eastAsia="zh-CN"/>
        </w:rPr>
        <w:t>-29.89</w:t>
      </w:r>
      <w:r>
        <w:rPr>
          <w:rFonts w:hint="default" w:ascii="Times New Roman" w:hAnsi="Times New Roman" w:cs="Times New Roman"/>
          <w:color w:val="auto"/>
          <w:highlight w:val="none"/>
          <w:lang w:val="zh-CN" w:eastAsia="zh-CN"/>
        </w:rPr>
        <w:t>%，</w:t>
      </w:r>
      <w:r>
        <w:rPr>
          <w:rFonts w:hint="eastAsia" w:cs="Times New Roman"/>
          <w:color w:val="auto"/>
          <w:highlight w:val="none"/>
          <w:lang w:val="en-US" w:eastAsia="zh-CN"/>
        </w:rPr>
        <w:t>小</w:t>
      </w:r>
      <w:r>
        <w:rPr>
          <w:rFonts w:hint="default" w:ascii="Times New Roman" w:hAnsi="Times New Roman" w:cs="Times New Roman"/>
          <w:color w:val="auto"/>
          <w:highlight w:val="none"/>
          <w:lang w:val="zh-CN" w:eastAsia="zh-CN"/>
        </w:rPr>
        <w:t>于</w:t>
      </w:r>
      <w:r>
        <w:rPr>
          <w:rFonts w:hint="eastAsia" w:cs="Times New Roman"/>
          <w:color w:val="auto"/>
          <w:highlight w:val="none"/>
          <w:lang w:val="en-US" w:eastAsia="zh-CN"/>
        </w:rPr>
        <w:t>市</w:t>
      </w:r>
      <w:r>
        <w:rPr>
          <w:rFonts w:hint="default" w:ascii="Times New Roman" w:hAnsi="Times New Roman" w:cs="Times New Roman"/>
          <w:color w:val="auto"/>
          <w:highlight w:val="none"/>
          <w:lang w:val="zh-CN" w:eastAsia="zh-CN"/>
        </w:rPr>
        <w:t>直行政事业单位人均资产变化率-</w:t>
      </w:r>
      <w:r>
        <w:rPr>
          <w:rFonts w:hint="eastAsia" w:cs="Times New Roman"/>
          <w:color w:val="auto"/>
          <w:highlight w:val="none"/>
          <w:lang w:val="en-US" w:eastAsia="zh-CN"/>
        </w:rPr>
        <w:t>2.9</w:t>
      </w:r>
      <w:r>
        <w:rPr>
          <w:rFonts w:hint="default" w:ascii="Times New Roman" w:hAnsi="Times New Roman" w:cs="Times New Roman"/>
          <w:color w:val="auto"/>
          <w:highlight w:val="none"/>
          <w:lang w:val="zh-CN" w:eastAsia="zh-CN"/>
        </w:rPr>
        <w:t>3%。</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zh-CN" w:eastAsia="zh-CN"/>
        </w:rPr>
        <w:t>根据评分标准，该项指标扣</w:t>
      </w:r>
      <w:r>
        <w:rPr>
          <w:rFonts w:hint="eastAsia" w:cs="Times New Roman"/>
          <w:color w:val="auto"/>
          <w:highlight w:val="none"/>
          <w:lang w:val="en-US" w:eastAsia="zh-CN"/>
        </w:rPr>
        <w:t>0</w:t>
      </w:r>
      <w:r>
        <w:rPr>
          <w:rFonts w:hint="default" w:ascii="Times New Roman" w:hAnsi="Times New Roman" w:cs="Times New Roman"/>
          <w:color w:val="auto"/>
          <w:highlight w:val="none"/>
          <w:lang w:val="zh-CN" w:eastAsia="zh-CN"/>
        </w:rPr>
        <w:t>分，得</w:t>
      </w:r>
      <w:r>
        <w:rPr>
          <w:rFonts w:hint="eastAsia" w:cs="Times New Roman"/>
          <w:color w:val="auto"/>
          <w:highlight w:val="none"/>
          <w:lang w:val="en-US" w:eastAsia="zh-CN"/>
        </w:rPr>
        <w:t>3</w:t>
      </w:r>
      <w:r>
        <w:rPr>
          <w:rFonts w:hint="default" w:ascii="Times New Roman" w:hAnsi="Times New Roman" w:cs="Times New Roman"/>
          <w:color w:val="auto"/>
          <w:highlight w:val="none"/>
          <w:lang w:val="zh-CN" w:eastAsia="zh-CN"/>
        </w:rPr>
        <w:t>分。</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（2）资产利用率</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我中心</w:t>
      </w:r>
      <w:r>
        <w:rPr>
          <w:rFonts w:hint="default" w:ascii="Times New Roman" w:hAnsi="Times New Roman" w:cs="Times New Roman"/>
          <w:color w:val="auto"/>
          <w:highlight w:val="none"/>
          <w:lang w:val="en-US" w:eastAsia="zh-CN"/>
        </w:rPr>
        <w:t>202</w:t>
      </w: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年办公家具账面</w:t>
      </w:r>
      <w:r>
        <w:rPr>
          <w:rFonts w:hint="eastAsia" w:cs="Times New Roman"/>
          <w:color w:val="auto"/>
          <w:highlight w:val="none"/>
          <w:lang w:val="en-US" w:eastAsia="zh-CN"/>
        </w:rPr>
        <w:t>原</w:t>
      </w:r>
      <w:r>
        <w:rPr>
          <w:rFonts w:hint="default" w:ascii="Times New Roman" w:hAnsi="Times New Roman" w:cs="Times New Roman"/>
          <w:color w:val="auto"/>
          <w:highlight w:val="none"/>
          <w:lang w:val="en-US" w:eastAsia="zh-CN"/>
        </w:rPr>
        <w:t>值为</w:t>
      </w:r>
      <w:r>
        <w:rPr>
          <w:rFonts w:hint="eastAsia" w:cs="Times New Roman"/>
          <w:color w:val="auto"/>
          <w:highlight w:val="none"/>
          <w:lang w:val="en-US" w:eastAsia="zh-CN"/>
        </w:rPr>
        <w:t>6.12</w:t>
      </w:r>
      <w:r>
        <w:rPr>
          <w:rFonts w:hint="default" w:ascii="Times New Roman" w:hAnsi="Times New Roman" w:cs="Times New Roman"/>
          <w:color w:val="auto"/>
          <w:highlight w:val="none"/>
          <w:lang w:val="en-US" w:eastAsia="zh-CN"/>
        </w:rPr>
        <w:t>万元，</w:t>
      </w:r>
      <w:r>
        <w:rPr>
          <w:rFonts w:hint="eastAsia" w:cs="Times New Roman"/>
          <w:color w:val="auto"/>
          <w:highlight w:val="none"/>
          <w:lang w:val="en-US" w:eastAsia="zh-CN"/>
        </w:rPr>
        <w:t>其中经统计净值为0的</w:t>
      </w:r>
      <w:r>
        <w:rPr>
          <w:rFonts w:hint="default" w:ascii="Times New Roman" w:hAnsi="Times New Roman" w:cs="Times New Roman"/>
          <w:color w:val="auto"/>
          <w:highlight w:val="none"/>
          <w:lang w:val="en-US" w:eastAsia="zh-CN"/>
        </w:rPr>
        <w:t>办公家具账面</w:t>
      </w:r>
      <w:r>
        <w:rPr>
          <w:rFonts w:hint="eastAsia" w:cs="Times New Roman"/>
          <w:color w:val="auto"/>
          <w:highlight w:val="none"/>
          <w:lang w:val="en-US" w:eastAsia="zh-CN"/>
        </w:rPr>
        <w:t>原</w:t>
      </w:r>
      <w:r>
        <w:rPr>
          <w:rFonts w:hint="default" w:ascii="Times New Roman" w:hAnsi="Times New Roman" w:cs="Times New Roman"/>
          <w:color w:val="auto"/>
          <w:highlight w:val="none"/>
          <w:lang w:val="en-US" w:eastAsia="zh-CN"/>
        </w:rPr>
        <w:t>值为</w:t>
      </w:r>
      <w:r>
        <w:rPr>
          <w:rFonts w:hint="eastAsia" w:cs="Times New Roman"/>
          <w:color w:val="auto"/>
          <w:highlight w:val="none"/>
          <w:lang w:val="en-US" w:eastAsia="zh-CN"/>
        </w:rPr>
        <w:t>6.12</w:t>
      </w:r>
      <w:r>
        <w:rPr>
          <w:rFonts w:hint="default" w:ascii="Times New Roman" w:hAnsi="Times New Roman" w:cs="Times New Roman"/>
          <w:color w:val="auto"/>
          <w:highlight w:val="none"/>
          <w:lang w:val="en-US" w:eastAsia="zh-CN"/>
        </w:rPr>
        <w:t>万元，202</w:t>
      </w: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年办公</w:t>
      </w:r>
      <w:r>
        <w:rPr>
          <w:rFonts w:hint="eastAsia" w:cs="Times New Roman"/>
          <w:color w:val="auto"/>
          <w:highlight w:val="none"/>
          <w:lang w:val="en-US" w:eastAsia="zh-CN"/>
        </w:rPr>
        <w:t>设备</w:t>
      </w:r>
      <w:r>
        <w:rPr>
          <w:rFonts w:hint="default" w:ascii="Times New Roman" w:hAnsi="Times New Roman" w:cs="Times New Roman"/>
          <w:color w:val="auto"/>
          <w:highlight w:val="none"/>
          <w:lang w:val="en-US" w:eastAsia="zh-CN"/>
        </w:rPr>
        <w:t>账面</w:t>
      </w:r>
      <w:r>
        <w:rPr>
          <w:rFonts w:hint="eastAsia" w:cs="Times New Roman"/>
          <w:color w:val="auto"/>
          <w:highlight w:val="none"/>
          <w:lang w:val="en-US" w:eastAsia="zh-CN"/>
        </w:rPr>
        <w:t>原</w:t>
      </w:r>
      <w:r>
        <w:rPr>
          <w:rFonts w:hint="default" w:ascii="Times New Roman" w:hAnsi="Times New Roman" w:cs="Times New Roman"/>
          <w:color w:val="auto"/>
          <w:highlight w:val="none"/>
          <w:lang w:val="en-US" w:eastAsia="zh-CN"/>
        </w:rPr>
        <w:t>值为</w:t>
      </w:r>
      <w:r>
        <w:rPr>
          <w:rFonts w:hint="eastAsia" w:cs="Times New Roman"/>
          <w:color w:val="auto"/>
          <w:highlight w:val="none"/>
          <w:lang w:val="en-US" w:eastAsia="zh-CN"/>
        </w:rPr>
        <w:t>24.20</w:t>
      </w:r>
      <w:r>
        <w:rPr>
          <w:rFonts w:hint="default" w:ascii="Times New Roman" w:hAnsi="Times New Roman" w:cs="Times New Roman"/>
          <w:color w:val="auto"/>
          <w:highlight w:val="none"/>
          <w:lang w:val="en-US" w:eastAsia="zh-CN"/>
        </w:rPr>
        <w:t>万元</w:t>
      </w:r>
      <w:r>
        <w:rPr>
          <w:rFonts w:hint="eastAsia" w:cs="Times New Roman"/>
          <w:color w:val="auto"/>
          <w:highlight w:val="none"/>
          <w:lang w:val="en-US" w:eastAsia="zh-CN"/>
        </w:rPr>
        <w:t xml:space="preserve">，其中经统计净值为0 </w:t>
      </w:r>
      <w:r>
        <w:rPr>
          <w:rFonts w:hint="default" w:ascii="Times New Roman" w:hAnsi="Times New Roman" w:cs="Times New Roman"/>
          <w:color w:val="auto"/>
          <w:highlight w:val="none"/>
          <w:lang w:val="en-US" w:eastAsia="zh-CN"/>
        </w:rPr>
        <w:t>的办公</w:t>
      </w:r>
      <w:r>
        <w:rPr>
          <w:rFonts w:hint="eastAsia" w:cs="Times New Roman"/>
          <w:color w:val="auto"/>
          <w:highlight w:val="none"/>
          <w:lang w:val="en-US" w:eastAsia="zh-CN"/>
        </w:rPr>
        <w:t>设备</w:t>
      </w:r>
      <w:r>
        <w:rPr>
          <w:rFonts w:hint="default" w:ascii="Times New Roman" w:hAnsi="Times New Roman" w:cs="Times New Roman"/>
          <w:color w:val="auto"/>
          <w:highlight w:val="none"/>
          <w:lang w:val="en-US" w:eastAsia="zh-CN"/>
        </w:rPr>
        <w:t>账面</w:t>
      </w:r>
      <w:r>
        <w:rPr>
          <w:rFonts w:hint="eastAsia" w:cs="Times New Roman"/>
          <w:color w:val="auto"/>
          <w:highlight w:val="none"/>
          <w:lang w:val="en-US" w:eastAsia="zh-CN"/>
        </w:rPr>
        <w:t>原</w:t>
      </w:r>
      <w:r>
        <w:rPr>
          <w:rFonts w:hint="default" w:ascii="Times New Roman" w:hAnsi="Times New Roman" w:cs="Times New Roman"/>
          <w:color w:val="auto"/>
          <w:highlight w:val="none"/>
          <w:lang w:val="en-US" w:eastAsia="zh-CN"/>
        </w:rPr>
        <w:t>值为</w:t>
      </w:r>
      <w:r>
        <w:rPr>
          <w:rFonts w:hint="eastAsia" w:cs="Times New Roman"/>
          <w:color w:val="auto"/>
          <w:highlight w:val="none"/>
          <w:lang w:val="en-US" w:eastAsia="zh-CN"/>
        </w:rPr>
        <w:t>24.20</w:t>
      </w:r>
      <w:r>
        <w:rPr>
          <w:rFonts w:hint="default" w:ascii="Times New Roman" w:hAnsi="Times New Roman" w:cs="Times New Roman"/>
          <w:color w:val="auto"/>
          <w:highlight w:val="none"/>
          <w:lang w:val="en-US" w:eastAsia="zh-CN"/>
        </w:rPr>
        <w:t>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该项指标得分=（超最低使用年限的办公家具账面原值÷办公家具账面原值×100%×1.5）+（超最低使用年限的办公设备账面原值÷办公设备账面原值×100%×1.5）=0.15+0.15=3。</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根据评分标准，该项指标扣</w:t>
      </w:r>
      <w:r>
        <w:rPr>
          <w:rFonts w:hint="eastAsia" w:cs="Times New Roman"/>
          <w:color w:val="auto"/>
          <w:highlight w:val="none"/>
          <w:lang w:val="en-US" w:eastAsia="zh-CN"/>
        </w:rPr>
        <w:t>0</w:t>
      </w:r>
      <w:r>
        <w:rPr>
          <w:rFonts w:hint="default" w:ascii="Times New Roman" w:hAnsi="Times New Roman" w:cs="Times New Roman"/>
          <w:color w:val="auto"/>
          <w:highlight w:val="none"/>
          <w:lang w:val="en-US" w:eastAsia="zh-CN"/>
        </w:rPr>
        <w:t>分，得</w:t>
      </w: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分。</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（3）资产盘活率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cs="Times New Roman"/>
          <w:i w:val="0"/>
          <w:strike w:val="0"/>
          <w:color w:val="auto"/>
          <w:spacing w:val="0"/>
          <w:highlight w:val="none"/>
          <w:u w:val="none"/>
          <w:lang w:val="en-US" w:eastAsia="zh-CN"/>
        </w:rPr>
      </w:pPr>
      <w:r>
        <w:rPr>
          <w:rFonts w:hint="eastAsia" w:cs="Times New Roman"/>
          <w:i w:val="0"/>
          <w:strike w:val="0"/>
          <w:color w:val="auto"/>
          <w:spacing w:val="0"/>
          <w:highlight w:val="none"/>
          <w:u w:val="none"/>
          <w:lang w:val="en-US" w:eastAsia="zh-CN"/>
        </w:rPr>
        <w:t>我中心</w:t>
      </w:r>
      <w:r>
        <w:rPr>
          <w:rFonts w:hint="default" w:ascii="Times New Roman" w:hAnsi="Times New Roman" w:cs="Times New Roman"/>
          <w:i w:val="0"/>
          <w:strike w:val="0"/>
          <w:color w:val="auto"/>
          <w:spacing w:val="0"/>
          <w:highlight w:val="none"/>
          <w:u w:val="none"/>
          <w:lang w:val="en-US" w:eastAsia="zh-CN"/>
        </w:rPr>
        <w:t>2023年、2024年均无闲置资产。自评年度</w:t>
      </w:r>
      <w:r>
        <w:rPr>
          <w:rFonts w:hint="eastAsia" w:cs="Times New Roman"/>
          <w:i w:val="0"/>
          <w:strike w:val="0"/>
          <w:color w:val="auto"/>
          <w:spacing w:val="0"/>
          <w:highlight w:val="none"/>
          <w:u w:val="none"/>
          <w:lang w:val="en-US" w:eastAsia="zh-CN"/>
        </w:rPr>
        <w:t>我部门</w:t>
      </w:r>
      <w:r>
        <w:rPr>
          <w:rFonts w:hint="default" w:ascii="Times New Roman" w:hAnsi="Times New Roman" w:cs="Times New Roman"/>
          <w:i w:val="0"/>
          <w:strike w:val="0"/>
          <w:color w:val="auto"/>
          <w:spacing w:val="0"/>
          <w:highlight w:val="none"/>
          <w:u w:val="none"/>
          <w:lang w:val="en-US" w:eastAsia="zh-CN"/>
        </w:rPr>
        <w:t>闲置资产占比变化率为0%。</w:t>
      </w:r>
    </w:p>
    <w:p>
      <w:pPr>
        <w:keepNext/>
        <w:keepLines/>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eastAsia="楷体_GB2312" w:cs="楷体_GB2312"/>
          <w:color w:val="000000"/>
          <w:kern w:val="0"/>
          <w:sz w:val="33"/>
          <w:szCs w:val="33"/>
          <w:highlight w:val="none"/>
          <w:shd w:val="clear" w:color="auto" w:fill="FFFFFF"/>
          <w:lang w:val="en-US" w:eastAsia="zh-CN"/>
        </w:rPr>
      </w:pPr>
      <w:r>
        <w:rPr>
          <w:rFonts w:hint="default" w:ascii="Times New Roman" w:hAnsi="Times New Roman" w:eastAsia="仿宋_GB2312" w:cs="Times New Roman"/>
          <w:i w:val="0"/>
          <w:strike w:val="0"/>
          <w:color w:val="auto"/>
          <w:spacing w:val="0"/>
          <w:highlight w:val="none"/>
          <w:u w:val="none"/>
          <w:lang w:val="en-US" w:eastAsia="zh-CN"/>
        </w:rPr>
        <w:t>根据评分标准，该项指标不扣分，得3分。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contextualSpacing/>
        <w:jc w:val="both"/>
        <w:textAlignment w:val="auto"/>
        <w:outlineLvl w:val="9"/>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zh-CN"/>
        </w:rPr>
        <w:t>）支持中小企业发展</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我中心</w:t>
      </w:r>
      <w:r>
        <w:rPr>
          <w:rFonts w:hint="default" w:ascii="Times New Roman" w:hAnsi="Times New Roman" w:cs="Times New Roman"/>
          <w:color w:val="auto"/>
          <w:highlight w:val="none"/>
          <w:lang w:val="en-US" w:eastAsia="zh-CN"/>
        </w:rPr>
        <w:t>2024年</w:t>
      </w:r>
      <w:r>
        <w:rPr>
          <w:rFonts w:hint="eastAsia" w:cs="Times New Roman"/>
          <w:color w:val="auto"/>
          <w:highlight w:val="none"/>
          <w:lang w:val="en-US" w:eastAsia="zh-CN"/>
        </w:rPr>
        <w:t>无</w:t>
      </w:r>
      <w:r>
        <w:rPr>
          <w:rFonts w:hint="default" w:ascii="Times New Roman" w:hAnsi="Times New Roman" w:cs="Times New Roman"/>
          <w:color w:val="auto"/>
          <w:highlight w:val="none"/>
          <w:lang w:val="en-US" w:eastAsia="zh-CN"/>
        </w:rPr>
        <w:t>政府采购。</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根据评分标准，该项指标</w:t>
      </w:r>
      <w:r>
        <w:rPr>
          <w:rFonts w:hint="default" w:ascii="Times New Roman" w:hAnsi="Times New Roman" w:eastAsia="仿宋_GB2312" w:cs="Times New Roman"/>
          <w:i w:val="0"/>
          <w:strike w:val="0"/>
          <w:color w:val="auto"/>
          <w:spacing w:val="0"/>
          <w:highlight w:val="none"/>
          <w:u w:val="none"/>
          <w:lang w:val="en-US" w:eastAsia="zh-CN"/>
        </w:rPr>
        <w:t>不扣分</w:t>
      </w:r>
      <w:r>
        <w:rPr>
          <w:rFonts w:hint="eastAsia" w:cs="Times New Roman"/>
          <w:color w:val="auto"/>
          <w:highlight w:val="none"/>
          <w:lang w:val="en-US" w:eastAsia="zh-CN"/>
        </w:rPr>
        <w:t>，得3分</w:t>
      </w:r>
      <w:r>
        <w:rPr>
          <w:rFonts w:hint="default" w:ascii="Times New Roman" w:hAnsi="Times New Roman" w:cs="Times New Roman"/>
          <w:color w:val="auto"/>
          <w:highlight w:val="none"/>
          <w:lang w:val="en-US" w:eastAsia="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bookmarkStart w:id="66" w:name="_GoBack"/>
      <w:bookmarkEnd w:id="66"/>
      <w:r>
        <w:rPr>
          <w:rFonts w:hint="default" w:ascii="Times New Roman" w:hAnsi="Times New Roman" w:cs="Times New Roman"/>
          <w:color w:val="auto"/>
          <w:highlight w:val="none"/>
          <w:lang w:val="en-US" w:eastAsia="zh-CN"/>
        </w:rPr>
        <w:t>采购执行率</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我中心</w:t>
      </w:r>
      <w:r>
        <w:rPr>
          <w:rFonts w:hint="default" w:ascii="Times New Roman" w:hAnsi="Times New Roman" w:cs="Times New Roman"/>
          <w:color w:val="auto"/>
          <w:highlight w:val="none"/>
          <w:lang w:val="en-US" w:eastAsia="zh-CN"/>
        </w:rPr>
        <w:t>2024年</w:t>
      </w:r>
      <w:r>
        <w:rPr>
          <w:rFonts w:hint="eastAsia" w:cs="Times New Roman"/>
          <w:color w:val="auto"/>
          <w:highlight w:val="none"/>
          <w:lang w:val="en-US" w:eastAsia="zh-CN"/>
        </w:rPr>
        <w:t>无</w:t>
      </w:r>
      <w:r>
        <w:rPr>
          <w:rFonts w:hint="default" w:ascii="Times New Roman" w:hAnsi="Times New Roman" w:cs="Times New Roman"/>
          <w:color w:val="auto"/>
          <w:highlight w:val="none"/>
          <w:lang w:val="en-US" w:eastAsia="zh-CN"/>
        </w:rPr>
        <w:t>政府采购。</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zh-CN"/>
        </w:rPr>
      </w:pPr>
      <w:r>
        <w:rPr>
          <w:rFonts w:hint="default" w:ascii="Times New Roman" w:hAnsi="Times New Roman" w:cs="Times New Roman"/>
          <w:color w:val="auto"/>
          <w:highlight w:val="none"/>
          <w:lang w:val="en-US" w:eastAsia="zh-CN"/>
        </w:rPr>
        <w:t>根据评分标准，该项指标</w:t>
      </w:r>
      <w:r>
        <w:rPr>
          <w:rFonts w:hint="default" w:ascii="Times New Roman" w:hAnsi="Times New Roman" w:eastAsia="仿宋_GB2312" w:cs="Times New Roman"/>
          <w:i w:val="0"/>
          <w:strike w:val="0"/>
          <w:color w:val="auto"/>
          <w:spacing w:val="0"/>
          <w:highlight w:val="none"/>
          <w:u w:val="none"/>
          <w:lang w:val="en-US" w:eastAsia="zh-CN"/>
        </w:rPr>
        <w:t>不扣分</w:t>
      </w:r>
      <w:r>
        <w:rPr>
          <w:rFonts w:hint="eastAsia" w:cs="Times New Roman"/>
          <w:color w:val="auto"/>
          <w:highlight w:val="none"/>
          <w:lang w:val="en-US" w:eastAsia="zh-CN"/>
        </w:rPr>
        <w:t>，得3分</w:t>
      </w:r>
      <w:r>
        <w:rPr>
          <w:rFonts w:hint="default" w:ascii="Times New Roman" w:hAnsi="Times New Roman" w:cs="Times New Roman"/>
          <w:color w:val="auto"/>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cs="Times New Roman"/>
          <w:sz w:val="32"/>
          <w:szCs w:val="32"/>
          <w:lang w:val="en-US" w:eastAsia="zh-CN"/>
        </w:rPr>
        <w:t>190</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cs="Times New Roman"/>
          <w:sz w:val="32"/>
          <w:szCs w:val="32"/>
          <w:lang w:val="en-US" w:eastAsia="zh-CN"/>
        </w:rPr>
        <w:t>100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w:t>
      </w:r>
      <w:r>
        <w:rPr>
          <w:rFonts w:hint="eastAsia" w:ascii="Times New Roman" w:hAnsi="Times New Roman" w:cs="Times New Roman"/>
          <w:sz w:val="32"/>
          <w:szCs w:val="32"/>
          <w:lang w:val="en-US" w:eastAsia="zh-CN"/>
        </w:rPr>
        <w:t>无</w:t>
      </w:r>
      <w:r>
        <w:rPr>
          <w:rFonts w:hint="default" w:ascii="Times New Roman" w:hAnsi="Times New Roman" w:eastAsia="仿宋_GB2312" w:cs="Times New Roman"/>
          <w:sz w:val="32"/>
          <w:szCs w:val="32"/>
          <w:lang w:val="zh-CN" w:eastAsia="zh-CN"/>
        </w:rPr>
        <w:t>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p>
    <w:p>
      <w:pPr>
        <w:pageBreakBefore w:val="0"/>
        <w:widowControl w:val="0"/>
        <w:kinsoku/>
        <w:wordWrap/>
        <w:overflowPunct/>
        <w:topLinePunct w:val="0"/>
        <w:autoSpaceDE/>
        <w:autoSpaceDN/>
        <w:bidi w:val="0"/>
        <w:adjustRightInd/>
        <w:snapToGrid/>
        <w:spacing w:line="576" w:lineRule="exact"/>
        <w:textAlignment w:val="auto"/>
        <w:outlineLvl w:val="2"/>
        <w:rPr>
          <w:rFonts w:hint="default" w:ascii="Times New Roman" w:hAnsi="Times New Roman" w:cs="Times New Roman"/>
          <w:highlight w:val="none"/>
          <w:lang w:val="zh-CN"/>
        </w:rPr>
      </w:pPr>
      <w:r>
        <w:rPr>
          <w:rFonts w:hint="default" w:ascii="Times New Roman" w:hAnsi="Times New Roman" w:cs="Times New Roman"/>
          <w:highlight w:val="none"/>
          <w:lang w:val="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val="zh-CN"/>
        </w:rPr>
        <w:t>）决策程序</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根据事前绩效评估相关要求，</w:t>
      </w:r>
      <w:r>
        <w:rPr>
          <w:rFonts w:hint="eastAsia" w:cs="Times New Roman"/>
          <w:sz w:val="32"/>
          <w:szCs w:val="32"/>
          <w:highlight w:val="none"/>
          <w:lang w:val="en-US" w:eastAsia="zh-CN"/>
        </w:rPr>
        <w:t>我中心</w:t>
      </w:r>
      <w:r>
        <w:rPr>
          <w:rFonts w:hint="default" w:ascii="Times New Roman" w:hAnsi="Times New Roman" w:cs="Times New Roman"/>
          <w:color w:val="000000"/>
          <w:kern w:val="0"/>
          <w:sz w:val="32"/>
          <w:szCs w:val="32"/>
          <w:highlight w:val="none"/>
          <w:shd w:val="clear" w:color="auto" w:fill="FFFFFF"/>
          <w:lang w:val="en-US" w:eastAsia="zh-CN"/>
        </w:rPr>
        <w:t>预算</w:t>
      </w:r>
      <w:r>
        <w:rPr>
          <w:rFonts w:hint="eastAsia" w:cs="Times New Roman"/>
          <w:color w:val="000000"/>
          <w:kern w:val="0"/>
          <w:sz w:val="32"/>
          <w:szCs w:val="32"/>
          <w:highlight w:val="none"/>
          <w:shd w:val="clear" w:color="auto" w:fill="FFFFFF"/>
          <w:lang w:val="en-US" w:eastAsia="zh-CN"/>
        </w:rPr>
        <w:t>常年</w:t>
      </w:r>
      <w:r>
        <w:rPr>
          <w:rFonts w:hint="default" w:ascii="Times New Roman" w:hAnsi="Times New Roman" w:cs="Times New Roman"/>
          <w:color w:val="000000"/>
          <w:kern w:val="0"/>
          <w:sz w:val="32"/>
          <w:szCs w:val="32"/>
          <w:highlight w:val="none"/>
          <w:shd w:val="clear" w:color="auto" w:fill="FFFFFF"/>
          <w:lang w:val="en-US" w:eastAsia="zh-CN"/>
        </w:rPr>
        <w:t>项目均</w:t>
      </w:r>
      <w:r>
        <w:rPr>
          <w:rFonts w:hint="default" w:ascii="Times New Roman" w:hAnsi="Times New Roman" w:cs="Times New Roman"/>
          <w:sz w:val="32"/>
          <w:szCs w:val="32"/>
          <w:highlight w:val="none"/>
          <w:lang w:val="en-US" w:eastAsia="zh-CN"/>
        </w:rPr>
        <w:t>严格履行事前评估程序，项目立项依据充分，决策程序规范。</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Times New Roman" w:hAnsi="Times New Roman" w:eastAsia="楷体_GB2312" w:cs="楷体_GB2312"/>
          <w:color w:val="000000"/>
          <w:kern w:val="0"/>
          <w:sz w:val="33"/>
          <w:szCs w:val="33"/>
          <w:highlight w:val="none"/>
          <w:shd w:val="clear" w:color="auto" w:fill="FFFFFF"/>
          <w:lang w:val="en-US" w:eastAsia="zh-CN"/>
        </w:rPr>
      </w:pPr>
      <w:r>
        <w:rPr>
          <w:rFonts w:hint="default" w:ascii="Times New Roman" w:hAnsi="Times New Roman" w:cs="Times New Roman"/>
          <w:highlight w:val="none"/>
          <w:lang w:val="en-US" w:eastAsia="zh-CN"/>
        </w:rPr>
        <w:t>根据评分标准，该项指标不扣分，得4分。</w:t>
      </w:r>
    </w:p>
    <w:p>
      <w:pPr>
        <w:pageBreakBefore w:val="0"/>
        <w:widowControl w:val="0"/>
        <w:kinsoku/>
        <w:wordWrap/>
        <w:overflowPunct/>
        <w:topLinePunct w:val="0"/>
        <w:autoSpaceDE/>
        <w:autoSpaceDN/>
        <w:bidi w:val="0"/>
        <w:adjustRightInd/>
        <w:snapToGrid/>
        <w:spacing w:line="576" w:lineRule="exact"/>
        <w:textAlignment w:val="auto"/>
        <w:outlineLvl w:val="2"/>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（2）目标设置</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2024年</w:t>
      </w:r>
      <w:r>
        <w:rPr>
          <w:rFonts w:hint="eastAsia" w:cs="Times New Roman"/>
          <w:highlight w:val="none"/>
          <w:lang w:val="en-US" w:eastAsia="zh-CN"/>
        </w:rPr>
        <w:t>我中心</w:t>
      </w:r>
      <w:r>
        <w:rPr>
          <w:rFonts w:hint="default" w:ascii="Times New Roman" w:hAnsi="Times New Roman" w:cs="Times New Roman"/>
          <w:highlight w:val="none"/>
          <w:lang w:val="zh-CN" w:eastAsia="zh-CN"/>
        </w:rPr>
        <w:t>开展绩效目标管理的</w:t>
      </w:r>
      <w:r>
        <w:rPr>
          <w:rFonts w:hint="default" w:ascii="Times New Roman" w:hAnsi="Times New Roman" w:cs="Times New Roman"/>
          <w:highlight w:val="none"/>
          <w:lang w:val="en-US" w:eastAsia="zh-CN"/>
        </w:rPr>
        <w:t>预算</w:t>
      </w:r>
      <w:r>
        <w:rPr>
          <w:rFonts w:hint="eastAsia" w:cs="Times New Roman"/>
          <w:highlight w:val="none"/>
          <w:lang w:val="en-US" w:eastAsia="zh-CN"/>
        </w:rPr>
        <w:t>常年</w:t>
      </w:r>
      <w:r>
        <w:rPr>
          <w:rFonts w:hint="default" w:ascii="Times New Roman" w:hAnsi="Times New Roman" w:cs="Times New Roman"/>
          <w:highlight w:val="none"/>
          <w:lang w:val="en-US" w:eastAsia="zh-CN"/>
        </w:rPr>
        <w:t>项目</w:t>
      </w:r>
      <w:r>
        <w:rPr>
          <w:rFonts w:hint="eastAsia" w:cs="Times New Roman"/>
          <w:color w:val="000000"/>
          <w:kern w:val="0"/>
          <w:sz w:val="32"/>
          <w:szCs w:val="32"/>
          <w:highlight w:val="none"/>
          <w:shd w:val="clear" w:color="auto" w:fill="FFFFFF"/>
          <w:lang w:val="en-US" w:eastAsia="zh-CN"/>
        </w:rPr>
        <w:t>1</w:t>
      </w:r>
      <w:r>
        <w:rPr>
          <w:rFonts w:hint="default" w:ascii="Times New Roman" w:hAnsi="Times New Roman" w:cs="Times New Roman"/>
          <w:highlight w:val="none"/>
          <w:lang w:val="en-US" w:eastAsia="zh-CN"/>
        </w:rPr>
        <w:t>个</w:t>
      </w:r>
      <w:r>
        <w:rPr>
          <w:rFonts w:hint="default" w:ascii="Times New Roman" w:hAnsi="Times New Roman" w:cs="Times New Roman"/>
          <w:highlight w:val="none"/>
          <w:lang w:val="zh-CN"/>
        </w:rPr>
        <w:t>，</w:t>
      </w:r>
      <w:r>
        <w:rPr>
          <w:rFonts w:hint="default" w:ascii="Times New Roman" w:hAnsi="Times New Roman" w:cs="Times New Roman"/>
          <w:highlight w:val="none"/>
          <w:lang w:val="en-US" w:eastAsia="zh-CN"/>
        </w:rPr>
        <w:t>为</w:t>
      </w:r>
      <w:r>
        <w:rPr>
          <w:rFonts w:hint="eastAsia" w:cs="Times New Roman"/>
          <w:highlight w:val="none"/>
          <w:lang w:val="en-US" w:eastAsia="zh-CN"/>
        </w:rPr>
        <w:t>预期目标：</w:t>
      </w:r>
      <w:r>
        <w:rPr>
          <w:rFonts w:hint="eastAsia" w:ascii="仿宋" w:hAnsi="仿宋" w:eastAsia="仿宋" w:cs="仿宋"/>
          <w:szCs w:val="32"/>
        </w:rPr>
        <w:t>播放运行设备维护。做好全县广播、电视、报刊、两微一端宣传工作，讲好蓬溪故事、传递蓬溪声音，为我县经济社会持续健康发展和“三县一城”建设提供坚强的思想保证和良好的舆论氛围</w:t>
      </w:r>
      <w:r>
        <w:rPr>
          <w:rFonts w:hint="eastAsia" w:ascii="仿宋" w:hAnsi="仿宋" w:eastAsia="仿宋" w:cs="仿宋"/>
          <w:szCs w:val="32"/>
          <w:lang w:eastAsia="zh-CN"/>
        </w:rPr>
        <w:t>，</w:t>
      </w:r>
      <w:r>
        <w:rPr>
          <w:rFonts w:hint="default" w:ascii="Times New Roman" w:hAnsi="Times New Roman" w:cs="Times New Roman"/>
          <w:highlight w:val="none"/>
          <w:lang w:val="en-US" w:eastAsia="zh-CN"/>
        </w:rPr>
        <w:t>设置了相应的绩效目标表。</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highlight w:val="none"/>
          <w:lang w:val="en-US" w:eastAsia="zh-CN"/>
        </w:rPr>
        <w:t>根据评分标准，该项指标不扣分，得4分。</w:t>
      </w:r>
    </w:p>
    <w:p>
      <w:pPr>
        <w:pageBreakBefore w:val="0"/>
        <w:widowControl w:val="0"/>
        <w:kinsoku/>
        <w:wordWrap/>
        <w:overflowPunct/>
        <w:topLinePunct w:val="0"/>
        <w:autoSpaceDE/>
        <w:autoSpaceDN/>
        <w:bidi w:val="0"/>
        <w:adjustRightInd/>
        <w:snapToGrid/>
        <w:spacing w:line="576" w:lineRule="exact"/>
        <w:textAlignment w:val="auto"/>
        <w:outlineLvl w:val="2"/>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（3）项目入库</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zh-CN"/>
        </w:rPr>
        <w:t>2024年</w:t>
      </w:r>
      <w:r>
        <w:rPr>
          <w:rFonts w:hint="eastAsia" w:cs="Times New Roman"/>
          <w:highlight w:val="none"/>
          <w:lang w:val="zh-CN"/>
        </w:rPr>
        <w:t>我</w:t>
      </w:r>
      <w:r>
        <w:rPr>
          <w:rFonts w:hint="eastAsia" w:cs="Times New Roman"/>
          <w:highlight w:val="none"/>
          <w:lang w:val="en-US" w:eastAsia="zh-CN"/>
        </w:rPr>
        <w:t>中心</w:t>
      </w:r>
      <w:r>
        <w:rPr>
          <w:rFonts w:hint="default" w:ascii="Times New Roman" w:hAnsi="Times New Roman" w:cs="Times New Roman"/>
          <w:highlight w:val="none"/>
          <w:lang w:val="zh-CN"/>
        </w:rPr>
        <w:t>在</w:t>
      </w:r>
      <w:r>
        <w:rPr>
          <w:rFonts w:hint="default" w:ascii="Times New Roman" w:hAnsi="Times New Roman" w:cs="Times New Roman"/>
          <w:highlight w:val="none"/>
          <w:lang w:val="en-US" w:eastAsia="zh-CN"/>
        </w:rPr>
        <w:t>规定时间内完成了项目入库。</w:t>
      </w:r>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default" w:ascii="Times New Roman" w:hAnsi="Times New Roman" w:cs="Times New Roman"/>
          <w:highlight w:val="none"/>
          <w:lang w:val="en-US" w:eastAsia="zh-CN"/>
        </w:rPr>
        <w:t>根据评分标准，该项指标不扣分，得4分。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2"/>
        <w:rPr>
          <w:rFonts w:hint="default" w:ascii="Times New Roman" w:hAnsi="Times New Roman" w:cs="Times New Roman"/>
          <w:highlight w:val="none"/>
          <w:lang w:val="zh-CN"/>
        </w:rPr>
      </w:pPr>
      <w:r>
        <w:rPr>
          <w:rFonts w:hint="default" w:ascii="Times New Roman" w:hAnsi="Times New Roman" w:cs="Times New Roman"/>
          <w:highlight w:val="none"/>
          <w:lang w:val="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val="zh-CN"/>
        </w:rPr>
        <w:t>）执行同向</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highlight w:val="none"/>
          <w:lang w:val="en-US" w:eastAsia="zh-CN"/>
        </w:rPr>
      </w:pPr>
      <w:r>
        <w:rPr>
          <w:rFonts w:hint="eastAsia" w:cs="Times New Roman"/>
          <w:highlight w:val="none"/>
          <w:lang w:val="en-US" w:eastAsia="zh-CN"/>
        </w:rPr>
        <w:t>我中心</w:t>
      </w:r>
      <w:r>
        <w:rPr>
          <w:rFonts w:hint="default" w:ascii="Times New Roman" w:hAnsi="Times New Roman" w:cs="Times New Roman"/>
          <w:highlight w:val="none"/>
          <w:lang w:val="en-US" w:eastAsia="zh-CN"/>
        </w:rPr>
        <w:t>严格按照部门预算项目批复内容实施项目，项目资金使用符合预算批复用途，与项目总体绩效目标设置方向相符，没有相悖或不合理之处。</w:t>
      </w:r>
    </w:p>
    <w:p>
      <w:pPr>
        <w:keepNext/>
        <w:keepLines/>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highlight w:val="none"/>
          <w:lang w:val="en-US" w:eastAsia="zh-CN"/>
        </w:rPr>
        <w:t>根据评分标准，该项指标不扣分，得</w:t>
      </w:r>
      <w:r>
        <w:rPr>
          <w:rFonts w:hint="eastAsia" w:cs="Times New Roman"/>
          <w:highlight w:val="none"/>
          <w:lang w:val="en-US" w:eastAsia="zh-CN"/>
        </w:rPr>
        <w:t>5</w:t>
      </w:r>
      <w:r>
        <w:rPr>
          <w:rFonts w:hint="default" w:ascii="Times New Roman" w:hAnsi="Times New Roman" w:cs="Times New Roman"/>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2"/>
        <w:rPr>
          <w:rFonts w:hint="default" w:ascii="Times New Roman" w:hAnsi="Times New Roman" w:cs="Times New Roman"/>
          <w:highlight w:val="none"/>
          <w:lang w:val="zh-CN"/>
        </w:rPr>
      </w:pPr>
      <w:r>
        <w:rPr>
          <w:rFonts w:hint="default" w:ascii="Times New Roman" w:hAnsi="Times New Roman" w:cs="Times New Roman"/>
          <w:highlight w:val="none"/>
          <w:lang w:val="zh-CN"/>
        </w:rPr>
        <w:t>（</w:t>
      </w:r>
      <w:r>
        <w:rPr>
          <w:rFonts w:hint="default" w:ascii="Times New Roman" w:hAnsi="Times New Roman" w:cs="Times New Roman"/>
          <w:highlight w:val="none"/>
          <w:lang w:val="en-US" w:eastAsia="zh-CN"/>
        </w:rPr>
        <w:t>2</w:t>
      </w:r>
      <w:r>
        <w:rPr>
          <w:rFonts w:hint="default" w:ascii="Times New Roman" w:hAnsi="Times New Roman" w:cs="Times New Roman"/>
          <w:highlight w:val="none"/>
          <w:lang w:val="zh-CN"/>
        </w:rPr>
        <w:t>）项目调整</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2024年</w:t>
      </w:r>
      <w:r>
        <w:rPr>
          <w:rFonts w:hint="eastAsia" w:cs="Times New Roman"/>
          <w:highlight w:val="none"/>
          <w:lang w:val="en-US" w:eastAsia="zh-CN"/>
        </w:rPr>
        <w:t>我中心</w:t>
      </w:r>
      <w:r>
        <w:rPr>
          <w:rFonts w:hint="default" w:ascii="Times New Roman" w:hAnsi="Times New Roman" w:cs="Times New Roman"/>
          <w:highlight w:val="none"/>
          <w:lang w:val="en-US" w:eastAsia="zh-CN"/>
        </w:rPr>
        <w:t>年初设置的部门项目预算较为合理，项目总体绩效目标设置较为科学合理，不存在应采取但未采取收回预算、调整目标等处置措施的部门预算阶段项目，故不涉及收回预算、调整目标等处置措施。</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en-US" w:eastAsia="zh-CN"/>
        </w:rPr>
        <w:t>根据评分标准，该项指标不扣分，得</w:t>
      </w:r>
      <w:r>
        <w:rPr>
          <w:rFonts w:hint="eastAsia" w:cs="Times New Roman"/>
          <w:highlight w:val="none"/>
          <w:lang w:val="en-US" w:eastAsia="zh-CN"/>
        </w:rPr>
        <w:t>6</w:t>
      </w:r>
      <w:r>
        <w:rPr>
          <w:rFonts w:hint="default" w:ascii="Times New Roman" w:hAnsi="Times New Roman" w:cs="Times New Roman"/>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150"/>
        <w:textAlignment w:val="auto"/>
        <w:outlineLvl w:val="2"/>
        <w:rPr>
          <w:rFonts w:hint="default" w:ascii="Times New Roman" w:hAnsi="Times New Roman" w:cs="Times New Roman"/>
          <w:highlight w:val="none"/>
          <w:lang w:val="zh-CN"/>
        </w:rPr>
      </w:pPr>
      <w:r>
        <w:rPr>
          <w:rFonts w:hint="default" w:ascii="Times New Roman" w:hAnsi="Times New Roman" w:cs="Times New Roman"/>
          <w:highlight w:val="none"/>
          <w:lang w:val="zh-CN"/>
        </w:rPr>
        <w:t>（</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val="zh-CN"/>
        </w:rPr>
        <w:t>）执行结果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en-US" w:eastAsia="zh-CN"/>
        </w:rPr>
        <w:t>2024年</w:t>
      </w:r>
      <w:r>
        <w:rPr>
          <w:rFonts w:hint="eastAsia" w:cs="Times New Roman"/>
          <w:highlight w:val="none"/>
          <w:lang w:val="en-US" w:eastAsia="zh-CN"/>
        </w:rPr>
        <w:t>我中心</w:t>
      </w:r>
      <w:r>
        <w:rPr>
          <w:rFonts w:hint="default" w:ascii="Times New Roman" w:hAnsi="Times New Roman" w:cs="Times New Roman"/>
          <w:highlight w:val="none"/>
          <w:lang w:val="zh-CN"/>
        </w:rPr>
        <w:t>常年项目</w:t>
      </w:r>
      <w:r>
        <w:rPr>
          <w:rFonts w:hint="eastAsia" w:cs="Times New Roman"/>
          <w:highlight w:val="none"/>
          <w:lang w:val="en-US" w:eastAsia="zh-CN"/>
        </w:rPr>
        <w:t>1</w:t>
      </w:r>
      <w:r>
        <w:rPr>
          <w:rFonts w:hint="default" w:ascii="Times New Roman" w:hAnsi="Times New Roman" w:cs="Times New Roman"/>
          <w:highlight w:val="none"/>
          <w:lang w:val="zh-CN"/>
        </w:rPr>
        <w:t>个，</w:t>
      </w:r>
      <w:r>
        <w:rPr>
          <w:rFonts w:hint="eastAsia" w:cs="Times New Roman"/>
          <w:highlight w:val="none"/>
          <w:lang w:val="en-US" w:eastAsia="zh-CN"/>
        </w:rPr>
        <w:t>无</w:t>
      </w:r>
      <w:r>
        <w:rPr>
          <w:rFonts w:hint="default" w:ascii="Times New Roman" w:hAnsi="Times New Roman" w:cs="Times New Roman"/>
          <w:highlight w:val="none"/>
          <w:lang w:val="zh-CN"/>
        </w:rPr>
        <w:t>预算结余率</w:t>
      </w:r>
      <w:r>
        <w:rPr>
          <w:rFonts w:hint="default" w:ascii="Times New Roman" w:hAnsi="Times New Roman" w:cs="Times New Roman"/>
          <w:highlight w:val="none"/>
          <w:lang w:val="en-US" w:eastAsia="zh-CN"/>
        </w:rPr>
        <w:t>小</w:t>
      </w:r>
      <w:r>
        <w:rPr>
          <w:rFonts w:hint="default" w:ascii="Times New Roman" w:hAnsi="Times New Roman" w:cs="Times New Roman"/>
          <w:highlight w:val="none"/>
          <w:lang w:val="zh-CN"/>
        </w:rPr>
        <w:t>于10%</w:t>
      </w:r>
      <w:r>
        <w:rPr>
          <w:rFonts w:hint="default" w:ascii="Times New Roman" w:hAnsi="Times New Roman" w:cs="Times New Roman"/>
          <w:highlight w:val="none"/>
          <w:lang w:val="en-US" w:eastAsia="zh-CN"/>
        </w:rPr>
        <w:t>的常年项目</w:t>
      </w:r>
      <w:r>
        <w:rPr>
          <w:rFonts w:hint="default" w:ascii="Times New Roman" w:hAnsi="Times New Roman" w:cs="Times New Roman"/>
          <w:highlight w:val="none"/>
          <w:lang w:val="zh-CN"/>
        </w:rPr>
        <w:t>；</w:t>
      </w:r>
      <w:r>
        <w:rPr>
          <w:rFonts w:hint="eastAsia" w:cs="Times New Roman"/>
          <w:highlight w:val="none"/>
          <w:lang w:val="en-US" w:eastAsia="zh-CN"/>
        </w:rPr>
        <w:t>无</w:t>
      </w:r>
      <w:r>
        <w:rPr>
          <w:rFonts w:hint="default" w:ascii="Times New Roman" w:hAnsi="Times New Roman" w:cs="Times New Roman"/>
          <w:highlight w:val="none"/>
          <w:lang w:val="zh-CN"/>
        </w:rPr>
        <w:t>阶段（一次性）项目</w:t>
      </w:r>
      <w:r>
        <w:rPr>
          <w:rFonts w:hint="default" w:ascii="Times New Roman" w:hAnsi="Times New Roman" w:cs="Times New Roman"/>
          <w:highlight w:val="none"/>
          <w:lang w:val="en-US" w:eastAsia="zh-CN"/>
        </w:rPr>
        <w:t>。</w:t>
      </w:r>
    </w:p>
    <w:p>
      <w:pPr>
        <w:keepNext/>
        <w:keepLines/>
        <w:pageBreakBefore w:val="0"/>
        <w:widowControl w:val="0"/>
        <w:kinsoku/>
        <w:wordWrap/>
        <w:overflowPunct/>
        <w:topLinePunct w:val="0"/>
        <w:autoSpaceDE/>
        <w:autoSpaceDN/>
        <w:bidi w:val="0"/>
        <w:adjustRightInd/>
        <w:snapToGrid/>
        <w:spacing w:line="576" w:lineRule="exact"/>
        <w:ind w:firstLine="320" w:firstLineChars="100"/>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default" w:ascii="Times New Roman" w:hAnsi="Times New Roman" w:cs="Times New Roman"/>
          <w:highlight w:val="none"/>
          <w:lang w:val="en-US" w:eastAsia="zh-CN"/>
        </w:rPr>
        <w:t>根据评分标准，该项指标得分=预算结余率小于10%的常年项目数量÷部门预算常年项目总数×100%×2+预算结余率小于10%的一次性项目和阶段项目数量÷部门预算一次性项目和阶段项目总数×100%×2</w:t>
      </w:r>
      <w:r>
        <w:rPr>
          <w:rFonts w:hint="eastAsia" w:cs="Times New Roman"/>
          <w:highlight w:val="none"/>
          <w:lang w:val="en-US" w:eastAsia="zh-CN"/>
        </w:rPr>
        <w:t>=（1</w:t>
      </w:r>
      <w:r>
        <w:rPr>
          <w:rFonts w:hint="default" w:ascii="Times New Roman" w:hAnsi="Times New Roman" w:cs="Times New Roman"/>
          <w:highlight w:val="none"/>
          <w:lang w:val="en-US" w:eastAsia="zh-CN"/>
        </w:rPr>
        <w:t>÷</w:t>
      </w:r>
      <w:r>
        <w:rPr>
          <w:rFonts w:hint="eastAsia" w:cs="Times New Roman"/>
          <w:highlight w:val="none"/>
          <w:lang w:val="en-US" w:eastAsia="zh-CN"/>
        </w:rPr>
        <w:t>1</w:t>
      </w:r>
      <w:r>
        <w:rPr>
          <w:rFonts w:hint="default" w:ascii="Times New Roman" w:hAnsi="Times New Roman" w:cs="Times New Roman"/>
          <w:highlight w:val="none"/>
          <w:lang w:val="en-US" w:eastAsia="zh-CN"/>
        </w:rPr>
        <w:t>×100%×2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w:t>
      </w:r>
      <w:r>
        <w:rPr>
          <w:rFonts w:hint="eastAsia" w:cs="Times New Roman"/>
          <w:highlight w:val="none"/>
          <w:lang w:val="en-US" w:eastAsia="zh-CN"/>
        </w:rPr>
        <w:t>0</w:t>
      </w:r>
      <w:r>
        <w:rPr>
          <w:rFonts w:hint="default" w:ascii="Times New Roman" w:hAnsi="Times New Roman" w:cs="Times New Roman"/>
          <w:highlight w:val="none"/>
          <w:lang w:val="en-US" w:eastAsia="zh-CN"/>
        </w:rPr>
        <w:t>÷</w:t>
      </w:r>
      <w:r>
        <w:rPr>
          <w:rFonts w:hint="eastAsia" w:cs="Times New Roman"/>
          <w:highlight w:val="none"/>
          <w:lang w:val="en-US" w:eastAsia="zh-CN"/>
        </w:rPr>
        <w:t>0</w:t>
      </w:r>
      <w:r>
        <w:rPr>
          <w:rFonts w:hint="default" w:ascii="Times New Roman" w:hAnsi="Times New Roman" w:cs="Times New Roman"/>
          <w:highlight w:val="none"/>
          <w:lang w:val="en-US" w:eastAsia="zh-CN"/>
        </w:rPr>
        <w:t>×100%×2</w:t>
      </w:r>
      <w:r>
        <w:rPr>
          <w:rFonts w:hint="eastAsia" w:ascii="Times New Roman" w:hAnsi="Times New Roman" w:cs="Times New Roman"/>
          <w:highlight w:val="none"/>
          <w:lang w:val="en-US" w:eastAsia="zh-CN"/>
        </w:rPr>
        <w:t>）=</w:t>
      </w:r>
      <w:r>
        <w:rPr>
          <w:rFonts w:hint="eastAsia" w:cs="Times New Roman"/>
          <w:highlight w:val="none"/>
          <w:lang w:val="en-US" w:eastAsia="zh-CN"/>
        </w:rPr>
        <w:t>2</w:t>
      </w:r>
      <w:r>
        <w:rPr>
          <w:rFonts w:hint="eastAsia" w:ascii="Times New Roman" w:hAnsi="Times New Roman" w:cs="Times New Roman"/>
          <w:highlight w:val="none"/>
          <w:lang w:val="en-US" w:eastAsia="zh-CN"/>
        </w:rPr>
        <w:t>+</w:t>
      </w:r>
      <w:r>
        <w:rPr>
          <w:rFonts w:hint="eastAsia" w:cs="Times New Roman"/>
          <w:highlight w:val="none"/>
          <w:lang w:val="en-US" w:eastAsia="zh-CN"/>
        </w:rPr>
        <w:t>2</w:t>
      </w:r>
      <w:r>
        <w:rPr>
          <w:rFonts w:hint="eastAsia" w:ascii="Times New Roman" w:hAnsi="Times New Roman" w:cs="Times New Roman"/>
          <w:highlight w:val="none"/>
          <w:lang w:val="en-US" w:eastAsia="zh-CN"/>
        </w:rPr>
        <w:t>=</w:t>
      </w:r>
      <w:r>
        <w:rPr>
          <w:rFonts w:hint="eastAsia" w:cs="Times New Roman"/>
          <w:highlight w:val="none"/>
          <w:lang w:val="en-US" w:eastAsia="zh-CN"/>
        </w:rPr>
        <w:t>4，故该指标扣0</w:t>
      </w:r>
      <w:r>
        <w:rPr>
          <w:rFonts w:hint="default" w:ascii="Times New Roman" w:hAnsi="Times New Roman" w:cs="Times New Roman"/>
          <w:highlight w:val="none"/>
          <w:lang w:val="en-US" w:eastAsia="zh-CN"/>
        </w:rPr>
        <w:t>分，得</w:t>
      </w:r>
      <w:r>
        <w:rPr>
          <w:rFonts w:hint="eastAsia" w:cs="Times New Roman"/>
          <w:highlight w:val="none"/>
          <w:lang w:val="en-US" w:eastAsia="zh-CN"/>
        </w:rPr>
        <w:t>4</w:t>
      </w:r>
      <w:r>
        <w:rPr>
          <w:rFonts w:hint="default" w:ascii="Times New Roman" w:hAnsi="Times New Roman" w:cs="Times New Roman"/>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p>
    <w:p>
      <w:pPr>
        <w:pageBreakBefore w:val="0"/>
        <w:widowControl w:val="0"/>
        <w:kinsoku/>
        <w:wordWrap/>
        <w:overflowPunct/>
        <w:topLinePunct w:val="0"/>
        <w:autoSpaceDE/>
        <w:autoSpaceDN/>
        <w:bidi w:val="0"/>
        <w:adjustRightInd/>
        <w:snapToGrid/>
        <w:spacing w:line="576" w:lineRule="exact"/>
        <w:textAlignment w:val="auto"/>
        <w:outlineLvl w:val="2"/>
        <w:rPr>
          <w:rFonts w:hint="default" w:ascii="Times New Roman" w:hAnsi="Times New Roman" w:eastAsia="仿宋_GB2312"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）目标完成</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eastAsia="zh-CN"/>
        </w:rPr>
        <w:t>2024年</w:t>
      </w:r>
      <w:r>
        <w:rPr>
          <w:rFonts w:hint="eastAsia" w:cs="Times New Roman"/>
          <w:highlight w:val="none"/>
          <w:lang w:val="en-US" w:eastAsia="zh-CN"/>
        </w:rPr>
        <w:t>中心</w:t>
      </w:r>
      <w:r>
        <w:rPr>
          <w:rFonts w:hint="default" w:ascii="Times New Roman" w:hAnsi="Times New Roman" w:cs="Times New Roman"/>
          <w:highlight w:val="none"/>
          <w:lang w:eastAsia="zh-CN"/>
        </w:rPr>
        <w:t>预算</w:t>
      </w:r>
      <w:r>
        <w:rPr>
          <w:rFonts w:hint="eastAsia" w:cs="Times New Roman"/>
          <w:highlight w:val="none"/>
          <w:lang w:val="en-US" w:eastAsia="zh-CN"/>
        </w:rPr>
        <w:t>常年</w:t>
      </w:r>
      <w:r>
        <w:rPr>
          <w:rFonts w:hint="default" w:ascii="Times New Roman" w:hAnsi="Times New Roman" w:cs="Times New Roman"/>
          <w:highlight w:val="none"/>
          <w:lang w:eastAsia="zh-CN"/>
        </w:rPr>
        <w:t>项目</w:t>
      </w:r>
      <w:r>
        <w:rPr>
          <w:rFonts w:hint="eastAsia" w:cs="Times New Roman"/>
          <w:color w:val="000000"/>
          <w:kern w:val="0"/>
          <w:sz w:val="32"/>
          <w:szCs w:val="32"/>
          <w:highlight w:val="none"/>
          <w:shd w:val="clear" w:color="auto" w:fill="FFFFFF"/>
          <w:lang w:val="en-US" w:eastAsia="zh-CN"/>
        </w:rPr>
        <w:t>1</w:t>
      </w:r>
      <w:r>
        <w:rPr>
          <w:rFonts w:hint="default" w:ascii="Times New Roman" w:hAnsi="Times New Roman" w:cs="Times New Roman"/>
          <w:highlight w:val="none"/>
          <w:lang w:eastAsia="zh-CN"/>
        </w:rPr>
        <w:t>个，</w:t>
      </w:r>
      <w:r>
        <w:rPr>
          <w:rFonts w:hint="default" w:ascii="Times New Roman" w:hAnsi="Times New Roman" w:cs="Times New Roman"/>
          <w:highlight w:val="none"/>
          <w:lang w:val="en-US" w:eastAsia="zh-CN"/>
        </w:rPr>
        <w:t>结合项目实施的实际情况，</w:t>
      </w:r>
      <w:r>
        <w:rPr>
          <w:rFonts w:hint="eastAsia" w:cs="Times New Roman"/>
          <w:highlight w:val="none"/>
          <w:lang w:val="en-US" w:eastAsia="zh-CN"/>
        </w:rPr>
        <w:t>我中心</w:t>
      </w:r>
      <w:r>
        <w:rPr>
          <w:rFonts w:hint="default" w:ascii="Times New Roman" w:hAnsi="Times New Roman" w:cs="Times New Roman"/>
          <w:highlight w:val="none"/>
          <w:lang w:val="en-US" w:eastAsia="zh-CN"/>
        </w:rPr>
        <w:t>所涉及的</w:t>
      </w:r>
      <w:r>
        <w:rPr>
          <w:rFonts w:hint="default" w:ascii="Times New Roman" w:hAnsi="Times New Roman" w:cs="Times New Roman"/>
          <w:highlight w:val="none"/>
          <w:lang w:eastAsia="zh-CN"/>
        </w:rPr>
        <w:t>部门预算</w:t>
      </w:r>
      <w:r>
        <w:rPr>
          <w:rFonts w:hint="eastAsia" w:cs="Times New Roman"/>
          <w:highlight w:val="none"/>
          <w:lang w:val="en-US" w:eastAsia="zh-CN"/>
        </w:rPr>
        <w:t>常年</w:t>
      </w:r>
      <w:r>
        <w:rPr>
          <w:rFonts w:hint="default" w:ascii="Times New Roman" w:hAnsi="Times New Roman" w:cs="Times New Roman"/>
          <w:highlight w:val="none"/>
          <w:lang w:eastAsia="zh-CN"/>
        </w:rPr>
        <w:t>项目</w:t>
      </w:r>
      <w:r>
        <w:rPr>
          <w:rFonts w:hint="default" w:ascii="Times New Roman" w:hAnsi="Times New Roman" w:cs="Times New Roman"/>
          <w:highlight w:val="none"/>
          <w:lang w:val="en-US" w:eastAsia="zh-CN"/>
        </w:rPr>
        <w:t>数量指标全部完成。</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根据评分标准，该项指标扣</w:t>
      </w:r>
      <w:r>
        <w:rPr>
          <w:rFonts w:hint="eastAsia" w:cs="Times New Roman"/>
          <w:highlight w:val="none"/>
          <w:lang w:val="en-US" w:eastAsia="zh-CN"/>
        </w:rPr>
        <w:t>0</w:t>
      </w:r>
      <w:r>
        <w:rPr>
          <w:rFonts w:hint="default" w:ascii="Times New Roman" w:hAnsi="Times New Roman" w:cs="Times New Roman"/>
          <w:highlight w:val="none"/>
          <w:lang w:val="en-US" w:eastAsia="zh-CN"/>
        </w:rPr>
        <w:t>分，得</w:t>
      </w:r>
      <w:r>
        <w:rPr>
          <w:rFonts w:hint="eastAsia" w:cs="Times New Roman"/>
          <w:highlight w:val="none"/>
          <w:lang w:val="en-US" w:eastAsia="zh-CN"/>
        </w:rPr>
        <w:t>6</w:t>
      </w:r>
      <w:r>
        <w:rPr>
          <w:rFonts w:hint="default" w:ascii="Times New Roman" w:hAnsi="Times New Roman" w:cs="Times New Roman"/>
          <w:highlight w:val="none"/>
          <w:lang w:val="en-US" w:eastAsia="zh-CN"/>
        </w:rPr>
        <w:t>分。</w:t>
      </w:r>
    </w:p>
    <w:p>
      <w:pPr>
        <w:pageBreakBefore w:val="0"/>
        <w:widowControl w:val="0"/>
        <w:kinsoku/>
        <w:wordWrap/>
        <w:overflowPunct/>
        <w:topLinePunct w:val="0"/>
        <w:autoSpaceDE/>
        <w:autoSpaceDN/>
        <w:bidi w:val="0"/>
        <w:adjustRightInd/>
        <w:snapToGrid/>
        <w:spacing w:line="576" w:lineRule="exact"/>
        <w:textAlignment w:val="auto"/>
        <w:outlineLvl w:val="2"/>
        <w:rPr>
          <w:rFonts w:hint="default" w:ascii="Times New Roman" w:hAnsi="Times New Roman"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2</w:t>
      </w:r>
      <w:r>
        <w:rPr>
          <w:rFonts w:hint="default" w:ascii="Times New Roman" w:hAnsi="Times New Roman" w:cs="Times New Roman"/>
          <w:highlight w:val="none"/>
          <w:lang w:eastAsia="zh-CN"/>
        </w:rPr>
        <w:t>）目标偏离</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2024年</w:t>
      </w:r>
      <w:r>
        <w:rPr>
          <w:rFonts w:hint="eastAsia" w:cs="Times New Roman"/>
          <w:highlight w:val="none"/>
          <w:lang w:eastAsia="zh-CN"/>
        </w:rPr>
        <w:t>我</w:t>
      </w:r>
      <w:r>
        <w:rPr>
          <w:rFonts w:hint="eastAsia" w:cs="Times New Roman"/>
          <w:highlight w:val="none"/>
          <w:lang w:val="en-US" w:eastAsia="zh-CN"/>
        </w:rPr>
        <w:t>中心</w:t>
      </w:r>
      <w:r>
        <w:rPr>
          <w:rFonts w:hint="default" w:ascii="Times New Roman" w:hAnsi="Times New Roman" w:cs="Times New Roman"/>
          <w:highlight w:val="none"/>
          <w:lang w:eastAsia="zh-CN"/>
        </w:rPr>
        <w:t>预算</w:t>
      </w:r>
      <w:r>
        <w:rPr>
          <w:rFonts w:hint="default" w:ascii="Times New Roman" w:hAnsi="Times New Roman" w:cs="Times New Roman"/>
          <w:color w:val="000000"/>
          <w:kern w:val="0"/>
          <w:szCs w:val="32"/>
          <w:highlight w:val="none"/>
          <w:shd w:val="clear" w:color="auto" w:fill="FFFFFF"/>
          <w:lang w:val="en-US" w:eastAsia="zh-CN"/>
        </w:rPr>
        <w:t>常年项目</w:t>
      </w:r>
      <w:r>
        <w:rPr>
          <w:rFonts w:hint="eastAsia" w:cs="Times New Roman"/>
          <w:color w:val="000000"/>
          <w:kern w:val="0"/>
          <w:sz w:val="32"/>
          <w:szCs w:val="32"/>
          <w:highlight w:val="none"/>
          <w:shd w:val="clear" w:color="auto" w:fill="FFFFFF"/>
          <w:lang w:val="en-US" w:eastAsia="zh-CN"/>
        </w:rPr>
        <w:t>1</w:t>
      </w:r>
      <w:r>
        <w:rPr>
          <w:rFonts w:hint="default" w:ascii="Times New Roman" w:hAnsi="Times New Roman" w:cs="Times New Roman"/>
          <w:highlight w:val="none"/>
          <w:lang w:eastAsia="zh-CN"/>
        </w:rPr>
        <w:t>个，</w:t>
      </w:r>
      <w:r>
        <w:rPr>
          <w:rFonts w:hint="default" w:ascii="Times New Roman" w:hAnsi="Times New Roman" w:cs="Times New Roman"/>
          <w:highlight w:val="none"/>
          <w:lang w:val="en-US" w:eastAsia="zh-CN"/>
        </w:rPr>
        <w:t>项目数量指标的完成值与设定预期指标值的偏离度在30%以内。</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根据评分标准，该项指标扣</w:t>
      </w:r>
      <w:r>
        <w:rPr>
          <w:rFonts w:hint="eastAsia" w:ascii="Times New Roman" w:hAnsi="Times New Roman" w:cs="Times New Roman"/>
          <w:highlight w:val="none"/>
          <w:lang w:val="en-US" w:eastAsia="zh-CN"/>
        </w:rPr>
        <w:t>0</w:t>
      </w:r>
      <w:r>
        <w:rPr>
          <w:rFonts w:hint="default" w:ascii="Times New Roman" w:hAnsi="Times New Roman" w:cs="Times New Roman"/>
          <w:highlight w:val="none"/>
          <w:lang w:val="en-US" w:eastAsia="zh-CN"/>
        </w:rPr>
        <w:t>分，得</w:t>
      </w:r>
      <w:r>
        <w:rPr>
          <w:rFonts w:hint="eastAsia" w:ascii="Times New Roman" w:hAnsi="Times New Roman" w:cs="Times New Roman"/>
          <w:highlight w:val="none"/>
          <w:lang w:val="en-US" w:eastAsia="zh-CN"/>
        </w:rPr>
        <w:t>6</w:t>
      </w:r>
      <w:r>
        <w:rPr>
          <w:rFonts w:hint="default" w:ascii="Times New Roman" w:hAnsi="Times New Roman" w:cs="Times New Roman"/>
          <w:highlight w:val="none"/>
          <w:lang w:val="en-US" w:eastAsia="zh-CN"/>
        </w:rPr>
        <w:t>分。</w:t>
      </w:r>
    </w:p>
    <w:p>
      <w:pPr>
        <w:pageBreakBefore w:val="0"/>
        <w:widowControl w:val="0"/>
        <w:kinsoku/>
        <w:wordWrap/>
        <w:overflowPunct/>
        <w:topLinePunct w:val="0"/>
        <w:autoSpaceDE/>
        <w:autoSpaceDN/>
        <w:bidi w:val="0"/>
        <w:adjustRightInd/>
        <w:snapToGrid/>
        <w:spacing w:line="576" w:lineRule="exact"/>
        <w:textAlignment w:val="auto"/>
        <w:outlineLvl w:val="2"/>
        <w:rPr>
          <w:rFonts w:hint="default" w:ascii="Times New Roman" w:hAnsi="Times New Roman"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eastAsia="zh-CN"/>
        </w:rPr>
        <w:t>）实现效果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2024年</w:t>
      </w:r>
      <w:r>
        <w:rPr>
          <w:rFonts w:hint="eastAsia" w:cs="Times New Roman"/>
          <w:highlight w:val="none"/>
          <w:lang w:eastAsia="zh-CN"/>
        </w:rPr>
        <w:t>我</w:t>
      </w:r>
      <w:r>
        <w:rPr>
          <w:rFonts w:hint="eastAsia" w:cs="Times New Roman"/>
          <w:highlight w:val="none"/>
          <w:lang w:val="en-US" w:eastAsia="zh-CN"/>
        </w:rPr>
        <w:t>中心</w:t>
      </w:r>
      <w:r>
        <w:rPr>
          <w:rFonts w:hint="default" w:ascii="Times New Roman" w:hAnsi="Times New Roman" w:cs="Times New Roman"/>
          <w:highlight w:val="none"/>
          <w:lang w:eastAsia="zh-CN"/>
        </w:rPr>
        <w:t>进行绩效目标管理的预算项目</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eastAsia="zh-CN"/>
        </w:rPr>
        <w:t>个</w:t>
      </w:r>
      <w:r>
        <w:rPr>
          <w:rFonts w:hint="default" w:ascii="Times New Roman" w:hAnsi="Times New Roman" w:cs="Times New Roman"/>
          <w:highlight w:val="none"/>
          <w:lang w:val="en-US" w:eastAsia="zh-CN"/>
        </w:rPr>
        <w:t>，预期效益指标均已完成。</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cs="Times New Roman"/>
          <w:highlight w:val="none"/>
          <w:lang w:val="en-US" w:eastAsia="zh-CN"/>
        </w:rPr>
        <w:t>根据评分标准，该项指标扣</w:t>
      </w:r>
      <w:r>
        <w:rPr>
          <w:rFonts w:hint="eastAsia" w:ascii="Times New Roman" w:hAnsi="Times New Roman" w:cs="Times New Roman"/>
          <w:highlight w:val="none"/>
          <w:lang w:val="en-US" w:eastAsia="zh-CN"/>
        </w:rPr>
        <w:t>0</w:t>
      </w:r>
      <w:r>
        <w:rPr>
          <w:rFonts w:hint="default" w:ascii="Times New Roman" w:hAnsi="Times New Roman" w:cs="Times New Roman"/>
          <w:highlight w:val="none"/>
          <w:lang w:val="en-US" w:eastAsia="zh-CN"/>
        </w:rPr>
        <w:t>分，得</w:t>
      </w: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contextualSpacing/>
        <w:jc w:val="both"/>
        <w:textAlignment w:val="auto"/>
        <w:outlineLvl w:val="9"/>
        <w:rPr>
          <w:rFonts w:hint="default" w:ascii="Times New Roman" w:hAnsi="Times New Roman" w:cs="Times New Roman"/>
          <w:sz w:val="32"/>
          <w:szCs w:val="32"/>
          <w:highlight w:val="none"/>
          <w:u w:val="none"/>
          <w:lang w:eastAsia="zh-CN"/>
        </w:rPr>
      </w:pPr>
      <w:r>
        <w:rPr>
          <w:rFonts w:hint="default" w:ascii="Times New Roman" w:hAnsi="Times New Roman" w:eastAsia="楷体_GB2312" w:cs="Times New Roman"/>
          <w:b/>
          <w:bCs/>
          <w:color w:val="000000"/>
          <w:kern w:val="0"/>
          <w:szCs w:val="32"/>
          <w:highlight w:val="none"/>
          <w:shd w:val="clear" w:color="auto" w:fill="FFFFFF"/>
          <w:lang w:val="en-US" w:eastAsia="zh-CN"/>
        </w:rPr>
        <w:t>行政事业性国有资产绩效分析。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eastAsia="zh-CN"/>
        </w:rPr>
      </w:pPr>
      <w:r>
        <w:rPr>
          <w:rFonts w:hint="default" w:ascii="Times New Roman" w:hAnsi="Times New Roman" w:cs="Times New Roman"/>
          <w:sz w:val="32"/>
          <w:szCs w:val="32"/>
          <w:highlight w:val="none"/>
          <w:u w:val="none"/>
          <w:lang w:eastAsia="zh-CN"/>
        </w:rPr>
        <w:t>2024年度，</w:t>
      </w:r>
      <w:r>
        <w:rPr>
          <w:rFonts w:hint="default" w:ascii="Times New Roman" w:hAnsi="Times New Roman" w:cs="Times New Roman"/>
          <w:sz w:val="32"/>
          <w:szCs w:val="32"/>
          <w:highlight w:val="none"/>
          <w:u w:val="none"/>
          <w:lang w:val="en-US" w:eastAsia="zh-CN"/>
        </w:rPr>
        <w:t>无资产配置预算，但</w:t>
      </w:r>
      <w:r>
        <w:rPr>
          <w:rFonts w:hint="default" w:ascii="Times New Roman" w:hAnsi="Times New Roman" w:cs="Times New Roman"/>
          <w:sz w:val="32"/>
          <w:szCs w:val="32"/>
          <w:highlight w:val="none"/>
          <w:u w:val="none"/>
          <w:lang w:eastAsia="zh-CN"/>
        </w:rPr>
        <w:t>严格按照</w:t>
      </w:r>
      <w:r>
        <w:rPr>
          <w:rFonts w:hint="default" w:ascii="Times New Roman" w:hAnsi="Times New Roman" w:cs="Times New Roman"/>
          <w:sz w:val="32"/>
          <w:szCs w:val="32"/>
          <w:highlight w:val="none"/>
          <w:u w:val="none"/>
          <w:lang w:val="en-US" w:eastAsia="zh-CN"/>
        </w:rPr>
        <w:t>相关文件</w:t>
      </w:r>
      <w:r>
        <w:rPr>
          <w:rFonts w:hint="default" w:ascii="Times New Roman" w:hAnsi="Times New Roman" w:cs="Times New Roman"/>
          <w:sz w:val="32"/>
          <w:szCs w:val="32"/>
          <w:highlight w:val="none"/>
          <w:u w:val="none"/>
          <w:lang w:eastAsia="zh-CN"/>
        </w:rPr>
        <w:t>要求，做好国有资产的清理盘点、统计报告及日常监督检查工作，2024年度国有资产基础管理、日常管理、效率管理等方面整体效益较好，有效保障了国有资产安全，提高了国有资产利用率</w:t>
      </w:r>
      <w:r>
        <w:rPr>
          <w:rFonts w:hint="default" w:ascii="Times New Roman" w:hAnsi="Times New Roman" w:eastAsia="仿宋_GB2312" w:cs="Times New Roman"/>
          <w:b w:val="0"/>
          <w:bCs w:val="0"/>
          <w:color w:val="000000"/>
          <w:kern w:val="0"/>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pStyle w:val="27"/>
        <w:pageBreakBefore w:val="0"/>
        <w:kinsoku/>
        <w:wordWrap/>
        <w:overflowPunct/>
        <w:topLinePunct w:val="0"/>
        <w:autoSpaceDE/>
        <w:autoSpaceDN/>
        <w:bidi w:val="0"/>
        <w:spacing w:line="576" w:lineRule="exact"/>
        <w:ind w:firstLine="640"/>
        <w:textAlignment w:val="auto"/>
        <w:rPr>
          <w:rFonts w:hint="default" w:eastAsia="黑体" w:cs="Times New Roman"/>
          <w:color w:val="000000"/>
          <w:kern w:val="0"/>
          <w:sz w:val="32"/>
          <w:szCs w:val="32"/>
          <w:highlight w:val="none"/>
          <w:shd w:val="clear" w:color="auto" w:fill="FFFFFF"/>
          <w:lang w:val="zh-CN" w:eastAsia="zh-CN"/>
        </w:rPr>
      </w:pPr>
      <w:r>
        <w:rPr>
          <w:rFonts w:hint="eastAsia" w:ascii="仿宋" w:hAnsi="仿宋" w:eastAsia="仿宋"/>
        </w:rPr>
        <w:t>我</w:t>
      </w:r>
      <w:r>
        <w:rPr>
          <w:rFonts w:hint="eastAsia" w:ascii="仿宋" w:hAnsi="仿宋" w:eastAsia="仿宋"/>
          <w:lang w:val="en-US" w:eastAsia="zh-CN"/>
        </w:rPr>
        <w:t>中心</w:t>
      </w:r>
      <w:r>
        <w:rPr>
          <w:rFonts w:hint="default" w:ascii="Times New Roman" w:hAnsi="Times New Roman" w:cs="Times New Roman"/>
          <w:color w:val="000000"/>
          <w:kern w:val="0"/>
          <w:szCs w:val="32"/>
          <w:highlight w:val="none"/>
          <w:shd w:val="clear" w:color="auto" w:fill="FFFFFF"/>
          <w:lang w:val="zh-CN" w:eastAsia="zh-CN"/>
        </w:rPr>
        <w:t>为进一步</w:t>
      </w:r>
      <w:r>
        <w:rPr>
          <w:rFonts w:hint="eastAsia" w:ascii="仿宋" w:hAnsi="仿宋" w:eastAsia="仿宋" w:cs="仿宋"/>
          <w:sz w:val="32"/>
          <w:szCs w:val="32"/>
        </w:rPr>
        <w:t>科学合理设置绩效指标，加强绩效监督管理，</w:t>
      </w:r>
      <w:r>
        <w:rPr>
          <w:rFonts w:hint="default" w:ascii="Times New Roman" w:hAnsi="Times New Roman" w:cs="Times New Roman"/>
          <w:color w:val="000000"/>
          <w:kern w:val="0"/>
          <w:szCs w:val="32"/>
          <w:highlight w:val="none"/>
          <w:shd w:val="clear" w:color="auto" w:fill="FFFFFF"/>
          <w:lang w:val="zh-CN" w:eastAsia="zh-CN"/>
        </w:rPr>
        <w:t>在对</w:t>
      </w:r>
      <w:r>
        <w:rPr>
          <w:rFonts w:hint="eastAsia" w:ascii="仿宋" w:hAnsi="仿宋" w:eastAsia="仿宋" w:cs="仿宋"/>
          <w:sz w:val="32"/>
          <w:szCs w:val="32"/>
          <w:shd w:val="clear" w:color="auto" w:fill="FFFFFF"/>
          <w:lang w:val="en-US" w:eastAsia="zh-CN"/>
        </w:rPr>
        <w:t>预算编制</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收支、采购管理、项目决策、资产管理</w:t>
      </w:r>
      <w:r>
        <w:rPr>
          <w:rFonts w:hint="default" w:ascii="Times New Roman" w:hAnsi="Times New Roman" w:cs="Times New Roman"/>
          <w:color w:val="000000"/>
          <w:kern w:val="0"/>
          <w:szCs w:val="32"/>
          <w:highlight w:val="none"/>
          <w:shd w:val="clear" w:color="auto" w:fill="FFFFFF"/>
          <w:lang w:val="zh-CN" w:eastAsia="zh-CN"/>
        </w:rPr>
        <w:t>等各类经济业务活动流程梳理的基础上，</w:t>
      </w:r>
      <w:r>
        <w:rPr>
          <w:rFonts w:hint="eastAsia" w:ascii="仿宋" w:hAnsi="仿宋" w:eastAsia="仿宋" w:cs="仿宋"/>
          <w:sz w:val="32"/>
          <w:szCs w:val="32"/>
        </w:rPr>
        <w:t>充分运用绩效考评结果，将绩效考评结果与财政预算直接挂钩，使绩效结果应用增加刚性约束。</w:t>
      </w:r>
      <w:r>
        <w:rPr>
          <w:rFonts w:hint="eastAsia" w:cs="Times New Roman"/>
          <w:color w:val="000000"/>
          <w:kern w:val="0"/>
          <w:szCs w:val="32"/>
          <w:highlight w:val="none"/>
          <w:shd w:val="clear" w:color="auto" w:fill="FFFFFF"/>
          <w:lang w:val="zh-CN" w:eastAsia="zh-CN"/>
        </w:rPr>
        <w:t>我</w:t>
      </w:r>
      <w:r>
        <w:rPr>
          <w:rFonts w:hint="eastAsia" w:cs="Times New Roman"/>
          <w:color w:val="000000"/>
          <w:kern w:val="0"/>
          <w:szCs w:val="32"/>
          <w:highlight w:val="none"/>
          <w:shd w:val="clear" w:color="auto" w:fill="FFFFFF"/>
          <w:lang w:val="en-US" w:eastAsia="zh-CN"/>
        </w:rPr>
        <w:t>中心</w:t>
      </w:r>
      <w:r>
        <w:rPr>
          <w:rFonts w:hint="default" w:ascii="Times New Roman" w:hAnsi="Times New Roman" w:cs="Times New Roman"/>
          <w:color w:val="000000"/>
          <w:kern w:val="0"/>
          <w:szCs w:val="32"/>
          <w:highlight w:val="none"/>
          <w:shd w:val="clear" w:color="auto" w:fill="FFFFFF"/>
          <w:lang w:val="zh-CN" w:eastAsia="zh-CN"/>
        </w:rPr>
        <w:t>严格按照</w:t>
      </w:r>
      <w:r>
        <w:rPr>
          <w:rFonts w:hint="eastAsia" w:cs="Times New Roman"/>
          <w:color w:val="000000"/>
          <w:kern w:val="0"/>
          <w:szCs w:val="32"/>
          <w:highlight w:val="none"/>
          <w:shd w:val="clear" w:color="auto" w:fill="FFFFFF"/>
          <w:lang w:val="en-US" w:eastAsia="zh-CN"/>
        </w:rPr>
        <w:t>财务管理</w:t>
      </w:r>
      <w:r>
        <w:rPr>
          <w:rFonts w:hint="default" w:ascii="Times New Roman" w:hAnsi="Times New Roman" w:cs="Times New Roman"/>
          <w:color w:val="000000"/>
          <w:kern w:val="0"/>
          <w:szCs w:val="32"/>
          <w:highlight w:val="none"/>
          <w:shd w:val="clear" w:color="auto" w:fill="FFFFFF"/>
          <w:lang w:val="zh-CN" w:eastAsia="zh-CN"/>
        </w:rPr>
        <w:t>制度进行预算绩效管理，并按照相关要求将绩效信息随同</w:t>
      </w:r>
      <w:r>
        <w:rPr>
          <w:rFonts w:hint="default" w:ascii="Times New Roman" w:hAnsi="Times New Roman" w:cs="Times New Roman"/>
          <w:color w:val="000000"/>
          <w:kern w:val="0"/>
          <w:szCs w:val="32"/>
          <w:highlight w:val="none"/>
          <w:shd w:val="clear" w:color="auto" w:fill="FFFFFF"/>
          <w:lang w:val="en-US" w:eastAsia="zh-CN"/>
        </w:rPr>
        <w:t>预</w:t>
      </w:r>
      <w:r>
        <w:rPr>
          <w:rFonts w:hint="default" w:ascii="Times New Roman" w:hAnsi="Times New Roman" w:cs="Times New Roman"/>
          <w:color w:val="000000"/>
          <w:kern w:val="0"/>
          <w:szCs w:val="32"/>
          <w:highlight w:val="none"/>
          <w:shd w:val="clear" w:color="auto" w:fill="FFFFFF"/>
          <w:lang w:val="zh-CN" w:eastAsia="zh-CN"/>
        </w:rPr>
        <w:t>决算公开。</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pStyle w:val="28"/>
        <w:pageBreakBefore w:val="0"/>
        <w:kinsoku/>
        <w:wordWrap/>
        <w:overflowPunct/>
        <w:topLinePunct w:val="0"/>
        <w:autoSpaceDE/>
        <w:autoSpaceDN/>
        <w:bidi w:val="0"/>
        <w:spacing w:line="576" w:lineRule="exact"/>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仿宋" w:hAnsi="仿宋" w:eastAsia="仿宋" w:cs="仿宋"/>
          <w:szCs w:val="32"/>
          <w:shd w:val="clear" w:color="auto" w:fill="FFFFFF"/>
        </w:rPr>
        <w:t>根据部门支出绩效评价指标体系的要求，通过对部门支出的预算编制、预算执行、预算管理等进行了自查评价，总体认为，我</w:t>
      </w:r>
      <w:r>
        <w:rPr>
          <w:rFonts w:hint="eastAsia" w:ascii="仿宋" w:hAnsi="仿宋" w:eastAsia="仿宋" w:cs="仿宋"/>
          <w:szCs w:val="32"/>
          <w:shd w:val="clear" w:color="auto" w:fill="FFFFFF"/>
          <w:lang w:val="en-US"/>
        </w:rPr>
        <w:t>中心202</w:t>
      </w:r>
      <w:r>
        <w:rPr>
          <w:rFonts w:hint="eastAsia" w:ascii="仿宋" w:hAnsi="仿宋" w:eastAsia="仿宋" w:cs="仿宋"/>
          <w:szCs w:val="32"/>
          <w:shd w:val="clear" w:color="auto" w:fill="FFFFFF"/>
          <w:lang w:val="en-US" w:eastAsia="zh-CN"/>
        </w:rPr>
        <w:t>4</w:t>
      </w:r>
      <w:r>
        <w:rPr>
          <w:rFonts w:hint="eastAsia" w:ascii="仿宋" w:hAnsi="仿宋" w:eastAsia="仿宋" w:cs="仿宋"/>
          <w:szCs w:val="32"/>
          <w:shd w:val="clear" w:color="auto" w:fill="FFFFFF"/>
        </w:rPr>
        <w:t>年部门支出管理、资金管理和财务管理完善，预算执行规范，财务制度健全、收支真实、资料完整，会计核算规范，目标任务、质量完成情况良好，效果明显，满意度较高。</w:t>
      </w:r>
      <w:r>
        <w:rPr>
          <w:rFonts w:hint="eastAsia" w:ascii="仿宋" w:hAnsi="仿宋" w:eastAsia="仿宋"/>
          <w:szCs w:val="32"/>
        </w:rPr>
        <w:t>本项</w:t>
      </w:r>
      <w:r>
        <w:rPr>
          <w:rFonts w:hint="eastAsia" w:ascii="仿宋" w:hAnsi="仿宋" w:eastAsia="仿宋"/>
          <w:szCs w:val="32"/>
          <w:lang w:val="en-US" w:eastAsia="zh-CN"/>
        </w:rPr>
        <w:t>目</w:t>
      </w:r>
      <w:r>
        <w:rPr>
          <w:rFonts w:hint="eastAsia" w:ascii="仿宋" w:hAnsi="仿宋" w:eastAsia="仿宋"/>
          <w:szCs w:val="32"/>
        </w:rPr>
        <w:t>自评分为</w:t>
      </w:r>
      <w:r>
        <w:rPr>
          <w:rFonts w:hint="eastAsia" w:ascii="仿宋" w:hAnsi="仿宋" w:eastAsia="仿宋"/>
          <w:szCs w:val="32"/>
          <w:lang w:val="en-US" w:eastAsia="zh-CN"/>
        </w:rPr>
        <w:t>94</w:t>
      </w:r>
      <w:r>
        <w:rPr>
          <w:rFonts w:hint="eastAsia" w:ascii="仿宋" w:hAnsi="仿宋" w:eastAsia="仿宋"/>
          <w:szCs w:val="32"/>
        </w:rPr>
        <w:t>分，评价等级为优等级，已达到预期绩效目标。</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pageBreakBefore w:val="0"/>
        <w:kinsoku/>
        <w:wordWrap/>
        <w:overflowPunct/>
        <w:topLinePunct w:val="0"/>
        <w:autoSpaceDE/>
        <w:autoSpaceDN/>
        <w:bidi w:val="0"/>
        <w:spacing w:line="576" w:lineRule="exact"/>
        <w:ind w:firstLine="640" w:firstLineChars="200"/>
        <w:textAlignment w:val="auto"/>
        <w:rPr>
          <w:rFonts w:hint="default" w:eastAsia="楷体_GB2312" w:cs="Times New Roman"/>
          <w:b w:val="0"/>
          <w:bCs w:val="0"/>
          <w:color w:val="000000"/>
          <w:kern w:val="0"/>
          <w:sz w:val="33"/>
          <w:szCs w:val="33"/>
          <w:highlight w:val="none"/>
          <w:shd w:val="clear" w:color="auto" w:fill="FFFFFF"/>
          <w:lang w:val="en-US" w:eastAsia="zh-CN"/>
        </w:rPr>
      </w:pPr>
      <w:r>
        <w:rPr>
          <w:rFonts w:hint="eastAsia" w:ascii="Times New Roman" w:hAnsi="Times New Roman" w:cs="Times New Roman"/>
          <w:highlight w:val="none"/>
          <w:lang w:val="en-US" w:eastAsia="zh-CN"/>
        </w:rPr>
        <w:t>我中心在经费预算上，存在</w:t>
      </w:r>
      <w:r>
        <w:rPr>
          <w:rFonts w:hint="default" w:ascii="Times New Roman" w:hAnsi="Times New Roman" w:cs="Times New Roman"/>
          <w:highlight w:val="none"/>
          <w:lang w:val="en-US" w:eastAsia="zh-CN"/>
        </w:rPr>
        <w:t>一般性支出财政拨款年初预算较上年</w:t>
      </w:r>
      <w:r>
        <w:rPr>
          <w:rFonts w:hint="eastAsia" w:cs="Times New Roman"/>
          <w:highlight w:val="none"/>
          <w:lang w:val="en-US" w:eastAsia="zh-CN"/>
        </w:rPr>
        <w:t>略有增加</w:t>
      </w:r>
      <w:r>
        <w:rPr>
          <w:rFonts w:hint="default" w:ascii="Times New Roman" w:hAnsi="Times New Roman" w:cs="Times New Roman"/>
          <w:highlight w:val="none"/>
          <w:lang w:val="en-US" w:eastAsia="zh-CN"/>
        </w:rPr>
        <w:t>，一般性支出财政拨款预算执行数较上年</w:t>
      </w:r>
      <w:r>
        <w:rPr>
          <w:rFonts w:hint="eastAsia" w:cs="Times New Roman"/>
          <w:highlight w:val="none"/>
          <w:lang w:val="en-US" w:eastAsia="zh-CN"/>
        </w:rPr>
        <w:t>略有增加的情况。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1" w:name="_Hlk110546638"/>
    </w:p>
    <w:bookmarkEnd w:id="51"/>
    <w:p>
      <w:pPr>
        <w:pStyle w:val="27"/>
        <w:pageBreakBefore w:val="0"/>
        <w:kinsoku/>
        <w:wordWrap/>
        <w:overflowPunct/>
        <w:topLinePunct w:val="0"/>
        <w:autoSpaceDE/>
        <w:autoSpaceDN/>
        <w:bidi w:val="0"/>
        <w:spacing w:line="576" w:lineRule="exact"/>
        <w:ind w:firstLine="640"/>
        <w:textAlignment w:val="auto"/>
        <w:rPr>
          <w:rFonts w:hint="eastAsia" w:hAnsi="Times New Roman" w:cs="Times New Roman"/>
          <w:color w:val="auto"/>
          <w:sz w:val="32"/>
          <w:szCs w:val="32"/>
          <w:highlight w:val="none"/>
          <w:lang w:val="zh-CN" w:eastAsia="zh-CN"/>
        </w:rPr>
      </w:pPr>
      <w:r>
        <w:rPr>
          <w:rFonts w:hint="default" w:ascii="Times New Roman" w:hAnsi="Times New Roman" w:cs="Times New Roman"/>
          <w:b w:val="0"/>
          <w:bCs w:val="0"/>
          <w:kern w:val="0"/>
          <w:position w:val="0"/>
          <w:sz w:val="32"/>
          <w:szCs w:val="32"/>
          <w:highlight w:val="none"/>
          <w:lang w:val="en-US" w:eastAsia="zh-CN" w:bidi="ar-SA"/>
        </w:rPr>
        <w:t>关于</w:t>
      </w:r>
      <w:r>
        <w:rPr>
          <w:rFonts w:hint="eastAsia" w:cs="Times New Roman"/>
          <w:b w:val="0"/>
          <w:bCs w:val="0"/>
          <w:kern w:val="0"/>
          <w:position w:val="0"/>
          <w:sz w:val="32"/>
          <w:szCs w:val="32"/>
          <w:highlight w:val="none"/>
          <w:lang w:val="en-US" w:eastAsia="zh-CN" w:bidi="ar-SA"/>
        </w:rPr>
        <w:t>一般性支出预算存在不够精准的情况</w:t>
      </w:r>
      <w:r>
        <w:rPr>
          <w:rFonts w:hint="default" w:ascii="Times New Roman" w:hAnsi="Times New Roman" w:cs="Times New Roman"/>
          <w:b w:val="0"/>
          <w:bCs w:val="0"/>
          <w:kern w:val="0"/>
          <w:position w:val="0"/>
          <w:sz w:val="32"/>
          <w:szCs w:val="32"/>
          <w:highlight w:val="none"/>
          <w:lang w:val="en-US" w:eastAsia="zh-CN" w:bidi="ar-SA"/>
        </w:rPr>
        <w:t>，建议全面</w:t>
      </w:r>
      <w:r>
        <w:rPr>
          <w:rFonts w:hint="eastAsia" w:ascii="Times New Roman" w:hAnsi="Times New Roman" w:cs="Times New Roman"/>
          <w:b w:val="0"/>
          <w:bCs w:val="0"/>
          <w:kern w:val="0"/>
          <w:position w:val="0"/>
          <w:sz w:val="32"/>
          <w:szCs w:val="32"/>
          <w:highlight w:val="none"/>
          <w:lang w:val="en-US" w:eastAsia="zh-CN" w:bidi="ar-SA"/>
        </w:rPr>
        <w:t>对比以前</w:t>
      </w:r>
      <w:r>
        <w:rPr>
          <w:rFonts w:hint="eastAsia" w:cs="Times New Roman"/>
          <w:b w:val="0"/>
          <w:bCs w:val="0"/>
          <w:kern w:val="0"/>
          <w:position w:val="0"/>
          <w:sz w:val="32"/>
          <w:szCs w:val="32"/>
          <w:highlight w:val="none"/>
          <w:lang w:val="en-US" w:eastAsia="zh-CN" w:bidi="ar-SA"/>
        </w:rPr>
        <w:t>年度预算支出数据，做到合理安排支出经费预算，进一步优化预算编制方案。</w:t>
      </w:r>
      <w:r>
        <w:rPr>
          <w:rFonts w:hint="eastAsia" w:ascii="Times New Roman" w:hAnsi="Times New Roman" w:eastAsia="仿宋" w:cs="Times New Roman"/>
          <w:bCs w:val="0"/>
          <w:kern w:val="0"/>
          <w:sz w:val="32"/>
          <w:szCs w:val="28"/>
          <w:lang w:val="zh-CN" w:eastAsia="zh-CN" w:bidi="ar-SA"/>
        </w:rPr>
        <w:t>对</w:t>
      </w:r>
      <w:r>
        <w:rPr>
          <w:rFonts w:hint="eastAsia" w:cs="Times New Roman"/>
          <w:bCs w:val="0"/>
          <w:kern w:val="0"/>
          <w:sz w:val="32"/>
          <w:szCs w:val="28"/>
          <w:lang w:val="en-US" w:eastAsia="zh-CN" w:bidi="ar-SA"/>
        </w:rPr>
        <w:t>财务人员</w:t>
      </w:r>
      <w:r>
        <w:rPr>
          <w:rFonts w:hint="eastAsia" w:ascii="Times New Roman" w:hAnsi="Times New Roman" w:eastAsia="仿宋" w:cs="Times New Roman"/>
          <w:bCs w:val="0"/>
          <w:kern w:val="0"/>
          <w:sz w:val="32"/>
          <w:szCs w:val="28"/>
          <w:lang w:val="zh-CN" w:eastAsia="zh-CN" w:bidi="ar-SA"/>
        </w:rPr>
        <w:t>以外派学习或自学的方式，督促其提高业务水平，杜绝财务工作中出现问题，为我中心工作的发展与改革创造良好的财务环境</w:t>
      </w:r>
      <w:r>
        <w:rPr>
          <w:rFonts w:hint="eastAsia" w:cs="Times New Roman"/>
          <w:bCs w:val="0"/>
          <w:kern w:val="0"/>
          <w:sz w:val="32"/>
          <w:szCs w:val="28"/>
          <w:lang w:val="zh-CN" w:eastAsia="zh-CN" w:bidi="ar-SA"/>
        </w:rPr>
        <w:t>。</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5"/>
        <w:rPr>
          <w:rFonts w:hint="eastAsia" w:hAnsi="宋体" w:cs="宋体"/>
          <w:color w:val="FF0000"/>
          <w:kern w:val="0"/>
          <w:sz w:val="32"/>
          <w:szCs w:val="32"/>
          <w:highlight w:val="yellow"/>
          <w:shd w:val="clear" w:color="auto" w:fill="FFFFFF"/>
          <w:lang w:val="zh-CN"/>
        </w:rPr>
      </w:pPr>
    </w:p>
    <w:p>
      <w:pPr>
        <w:rPr>
          <w:rFonts w:hint="eastAsia" w:ascii="黑体" w:hAnsi="黑体" w:eastAsia="黑体" w:cs="黑体"/>
          <w:color w:val="auto"/>
          <w:kern w:val="0"/>
          <w:sz w:val="32"/>
          <w:szCs w:val="32"/>
          <w:highlight w:val="none"/>
          <w:shd w:val="clear" w:color="auto" w:fill="FFFFFF"/>
          <w:lang w:val="zh-CN"/>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13"/>
        <w:tblW w:w="144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9"/>
        <w:gridCol w:w="1898"/>
        <w:gridCol w:w="1799"/>
        <w:gridCol w:w="2075"/>
        <w:gridCol w:w="830"/>
        <w:gridCol w:w="1539"/>
        <w:gridCol w:w="810"/>
        <w:gridCol w:w="1004"/>
        <w:gridCol w:w="550"/>
        <w:gridCol w:w="550"/>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4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51092121T000000118253-融媒体中心运行经费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县融媒体中心部门</w:t>
            </w:r>
          </w:p>
        </w:tc>
        <w:tc>
          <w:tcPr>
            <w:tcW w:w="10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蓬溪县融媒体中心（蓬溪县广播电视台）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1.播放运行设备维护。2.做好全县广播、电视、报刊、两微一端宣传工作，讲好蓬溪故事、传递蓬溪声音，为我县经济社会持续健康发展和“三县三城”建设提供坚强的思想保证和良好的舆论氛围！</w:t>
            </w:r>
          </w:p>
        </w:tc>
        <w:tc>
          <w:tcPr>
            <w:tcW w:w="4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按照项目年度目标按时按质完成。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项目实施主要用于中心聘用人员工资、保险及采访车运行等费用。中心严格按照《蓬溪县融媒体中心财务管理制度》执行该项目经费的管理和使用，项目资金使用合规，不存在截留、换占、虚列等违规情况。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预算需要再精准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广播电视播放次数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播放器运行维护次数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电视播放正常工作运行保障率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播放器维护合格率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电视播放反响度提升率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社会反响度还不足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群众满意度有待提高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项目预算资金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本项目自评分为96分，评价等级为优等级，已达到预期绩效目标。本项目具有明确绩效目标，在项目实施过程中，严格执行项目管理制度和经费管理制度，资金到位及时，使用得当，项目进度符合要求。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因资金紧缺，中心仍难实现正常运转，不能满足社会公众需求。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积极向上争取资金，进一步做好新闻宣传工作，更好地为我县经济社会持续健康发展和“三县三城”建设提供坚强的思想保证和良好的舆论氛围。</w:t>
            </w:r>
          </w:p>
        </w:tc>
      </w:tr>
    </w:tbl>
    <w:p>
      <w:pPr>
        <w:pStyle w:val="2"/>
        <w:rPr>
          <w:rFonts w:hint="eastAsia"/>
          <w:lang w:val="zh-CN"/>
        </w:rPr>
        <w:sectPr>
          <w:pgSz w:w="16838" w:h="11906" w:orient="landscape"/>
          <w:pgMar w:top="1800" w:right="1440" w:bottom="1800" w:left="1440" w:header="851" w:footer="992" w:gutter="0"/>
          <w:pgNumType w:fmt="decimal"/>
          <w:cols w:space="425" w:num="1"/>
          <w:docGrid w:type="lines" w:linePitch="312" w:charSpace="0"/>
        </w:sectPr>
      </w:pPr>
    </w:p>
    <w:p>
      <w:pPr>
        <w:pStyle w:val="2"/>
        <w:rPr>
          <w:rFonts w:hint="eastAsia"/>
          <w:lang w:val="zh-CN"/>
        </w:rPr>
      </w:pPr>
    </w:p>
    <w:p>
      <w:pPr>
        <w:widowControl/>
        <w:jc w:val="center"/>
        <w:rPr>
          <w:rFonts w:hint="eastAsia" w:ascii="仿宋" w:hAnsi="仿宋" w:eastAsia="仿宋"/>
          <w:b w:val="0"/>
          <w:color w:val="auto"/>
          <w:highlight w:val="none"/>
        </w:rPr>
      </w:pPr>
      <w:bookmarkStart w:id="52" w:name="_Toc15396618"/>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 附表</w:t>
      </w:r>
      <w:bookmarkEnd w:id="50"/>
      <w:bookmarkEnd w:id="52"/>
      <w:bookmarkStart w:id="53"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18"/>
          <w:rFonts w:hint="eastAsia" w:ascii="仿宋" w:hAnsi="仿宋" w:eastAsia="仿宋"/>
          <w:b w:val="0"/>
          <w:bCs w:val="0"/>
          <w:color w:val="auto"/>
          <w:highlight w:val="none"/>
        </w:rPr>
        <w:t>入支出决算总表</w:t>
      </w:r>
      <w:bookmarkEnd w:id="53"/>
    </w:p>
    <w:p>
      <w:pPr>
        <w:pStyle w:val="4"/>
        <w:rPr>
          <w:rFonts w:ascii="仿宋" w:hAnsi="仿宋" w:eastAsia="仿宋"/>
          <w:color w:val="auto"/>
          <w:highlight w:val="none"/>
        </w:rPr>
      </w:pPr>
      <w:bookmarkStart w:id="54" w:name="_Toc15396620"/>
      <w:r>
        <w:rPr>
          <w:rFonts w:hint="eastAsia" w:ascii="仿宋" w:hAnsi="仿宋" w:eastAsia="仿宋"/>
          <w:b w:val="0"/>
          <w:color w:val="auto"/>
          <w:highlight w:val="none"/>
        </w:rPr>
        <w:t>二、收</w:t>
      </w:r>
      <w:r>
        <w:rPr>
          <w:rStyle w:val="18"/>
          <w:rFonts w:hint="eastAsia" w:ascii="仿宋" w:hAnsi="仿宋" w:eastAsia="仿宋"/>
          <w:b w:val="0"/>
          <w:bCs w:val="0"/>
          <w:color w:val="auto"/>
          <w:highlight w:val="none"/>
        </w:rPr>
        <w:t>入决算表</w:t>
      </w:r>
      <w:bookmarkEnd w:id="54"/>
    </w:p>
    <w:p>
      <w:pPr>
        <w:pStyle w:val="4"/>
        <w:rPr>
          <w:rFonts w:ascii="仿宋" w:hAnsi="仿宋" w:eastAsia="仿宋"/>
          <w:color w:val="auto"/>
          <w:highlight w:val="none"/>
        </w:rPr>
      </w:pPr>
      <w:bookmarkStart w:id="55" w:name="_Toc15396621"/>
      <w:r>
        <w:rPr>
          <w:rStyle w:val="1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8"/>
          <w:rFonts w:hint="eastAsia" w:ascii="仿宋" w:hAnsi="仿宋" w:eastAsia="仿宋"/>
          <w:b w:val="0"/>
          <w:bCs w:val="0"/>
          <w:color w:val="auto"/>
          <w:highlight w:val="none"/>
        </w:rPr>
        <w:t>出决算表</w:t>
      </w:r>
      <w:bookmarkEnd w:id="55"/>
    </w:p>
    <w:p>
      <w:pPr>
        <w:pStyle w:val="4"/>
        <w:rPr>
          <w:rFonts w:ascii="仿宋" w:hAnsi="仿宋" w:eastAsia="仿宋"/>
          <w:b w:val="0"/>
          <w:color w:val="auto"/>
          <w:highlight w:val="none"/>
        </w:rPr>
      </w:pPr>
      <w:bookmarkStart w:id="56" w:name="_Toc15396622"/>
      <w:r>
        <w:rPr>
          <w:rStyle w:val="1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政拨款收入支出决算总表</w:t>
      </w:r>
      <w:bookmarkEnd w:id="56"/>
    </w:p>
    <w:p>
      <w:pPr>
        <w:pStyle w:val="4"/>
        <w:rPr>
          <w:rStyle w:val="18"/>
          <w:rFonts w:ascii="仿宋" w:hAnsi="仿宋" w:eastAsia="仿宋"/>
          <w:b w:val="0"/>
          <w:bCs w:val="0"/>
          <w:color w:val="auto"/>
          <w:highlight w:val="none"/>
        </w:rPr>
      </w:pPr>
      <w:bookmarkStart w:id="57" w:name="_Toc15396623"/>
      <w:r>
        <w:rPr>
          <w:rStyle w:val="1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政拨款支出决算明细表</w:t>
      </w:r>
      <w:bookmarkEnd w:id="57"/>
      <w:bookmarkStart w:id="58" w:name="_Toc15396624"/>
    </w:p>
    <w:p>
      <w:pPr>
        <w:pStyle w:val="4"/>
        <w:rPr>
          <w:rFonts w:ascii="仿宋" w:hAnsi="仿宋" w:eastAsia="仿宋"/>
          <w:color w:val="auto"/>
          <w:highlight w:val="none"/>
        </w:rPr>
      </w:pPr>
      <w:r>
        <w:rPr>
          <w:rStyle w:val="1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般公共预算财政拨款支出决算表</w:t>
      </w:r>
      <w:bookmarkEnd w:id="58"/>
    </w:p>
    <w:p>
      <w:pPr>
        <w:pStyle w:val="4"/>
        <w:rPr>
          <w:rFonts w:ascii="仿宋" w:hAnsi="仿宋" w:eastAsia="仿宋"/>
          <w:color w:val="auto"/>
          <w:highlight w:val="none"/>
        </w:rPr>
      </w:pPr>
      <w:bookmarkStart w:id="59" w:name="_Toc15396625"/>
      <w:r>
        <w:rPr>
          <w:rStyle w:val="1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般公共预算财政拨款支出决算明细表</w:t>
      </w:r>
      <w:bookmarkEnd w:id="59"/>
    </w:p>
    <w:p>
      <w:pPr>
        <w:pStyle w:val="4"/>
        <w:rPr>
          <w:rFonts w:ascii="仿宋" w:hAnsi="仿宋" w:eastAsia="仿宋"/>
          <w:color w:val="auto"/>
          <w:highlight w:val="none"/>
        </w:rPr>
      </w:pPr>
      <w:bookmarkStart w:id="60" w:name="_Toc15396626"/>
      <w:r>
        <w:rPr>
          <w:rStyle w:val="1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般公共预算财政拨款基本支出决算表</w:t>
      </w:r>
      <w:bookmarkEnd w:id="60"/>
    </w:p>
    <w:p>
      <w:pPr>
        <w:pStyle w:val="4"/>
        <w:rPr>
          <w:rFonts w:ascii="仿宋" w:hAnsi="仿宋" w:eastAsia="仿宋"/>
          <w:color w:val="auto"/>
          <w:highlight w:val="none"/>
        </w:rPr>
      </w:pPr>
      <w:bookmarkStart w:id="61" w:name="_Toc15396627"/>
      <w:r>
        <w:rPr>
          <w:rStyle w:val="1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般公共预算财政拨款项目支出决算表</w:t>
      </w:r>
      <w:bookmarkEnd w:id="61"/>
    </w:p>
    <w:p>
      <w:pPr>
        <w:pStyle w:val="4"/>
        <w:rPr>
          <w:rFonts w:ascii="仿宋" w:hAnsi="仿宋" w:eastAsia="仿宋"/>
          <w:color w:val="auto"/>
          <w:highlight w:val="none"/>
        </w:rPr>
      </w:pPr>
      <w:bookmarkStart w:id="62" w:name="_Toc15396628"/>
      <w:r>
        <w:rPr>
          <w:rStyle w:val="18"/>
          <w:rFonts w:hint="eastAsia" w:ascii="仿宋" w:hAnsi="仿宋" w:eastAsia="仿宋"/>
          <w:b w:val="0"/>
          <w:bCs w:val="0"/>
          <w:color w:val="auto"/>
          <w:highlight w:val="none"/>
        </w:rPr>
        <w:t>十、</w:t>
      </w:r>
      <w:bookmarkEnd w:id="62"/>
      <w:r>
        <w:rPr>
          <w:rFonts w:hint="eastAsia" w:ascii="仿宋" w:hAnsi="仿宋" w:eastAsia="仿宋"/>
          <w:b w:val="0"/>
          <w:color w:val="auto"/>
          <w:highlight w:val="none"/>
        </w:rPr>
        <w:t>政</w:t>
      </w:r>
      <w:r>
        <w:rPr>
          <w:rStyle w:val="18"/>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3" w:name="_Toc15396629"/>
      <w:r>
        <w:rPr>
          <w:rStyle w:val="18"/>
          <w:rFonts w:hint="eastAsia" w:ascii="仿宋" w:hAnsi="仿宋" w:eastAsia="仿宋"/>
          <w:b w:val="0"/>
          <w:bCs w:val="0"/>
          <w:color w:val="auto"/>
          <w:highlight w:val="none"/>
        </w:rPr>
        <w:t>十一、</w:t>
      </w:r>
      <w:bookmarkEnd w:id="63"/>
      <w:r>
        <w:rPr>
          <w:rFonts w:hint="eastAsia" w:ascii="仿宋" w:hAnsi="仿宋" w:eastAsia="仿宋"/>
          <w:b w:val="0"/>
          <w:color w:val="auto"/>
          <w:highlight w:val="none"/>
        </w:rPr>
        <w:t>国</w:t>
      </w:r>
      <w:r>
        <w:rPr>
          <w:rStyle w:val="18"/>
          <w:rFonts w:hint="eastAsia" w:ascii="仿宋" w:hAnsi="仿宋" w:eastAsia="仿宋"/>
          <w:b w:val="0"/>
          <w:bCs w:val="0"/>
          <w:color w:val="auto"/>
          <w:highlight w:val="none"/>
        </w:rPr>
        <w:t>有资本经营预算</w:t>
      </w:r>
      <w:r>
        <w:rPr>
          <w:rStyle w:val="18"/>
          <w:rFonts w:hint="eastAsia" w:ascii="仿宋" w:hAnsi="仿宋" w:eastAsia="仿宋"/>
          <w:b w:val="0"/>
          <w:bCs w:val="0"/>
          <w:color w:val="auto"/>
          <w:highlight w:val="none"/>
          <w:lang w:eastAsia="zh-CN"/>
        </w:rPr>
        <w:t>财政拨款收入</w:t>
      </w:r>
      <w:r>
        <w:rPr>
          <w:rStyle w:val="18"/>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4" w:name="_Toc15396630"/>
      <w:r>
        <w:rPr>
          <w:rStyle w:val="18"/>
          <w:rFonts w:hint="eastAsia" w:ascii="仿宋" w:hAnsi="仿宋" w:eastAsia="仿宋"/>
          <w:b w:val="0"/>
          <w:bCs w:val="0"/>
          <w:color w:val="auto"/>
          <w:highlight w:val="none"/>
        </w:rPr>
        <w:t>十二、</w:t>
      </w:r>
      <w:bookmarkEnd w:id="64"/>
      <w:r>
        <w:rPr>
          <w:rStyle w:val="18"/>
          <w:rFonts w:hint="eastAsia" w:ascii="仿宋" w:hAnsi="仿宋" w:eastAsia="仿宋"/>
          <w:b w:val="0"/>
          <w:bCs w:val="0"/>
          <w:color w:val="auto"/>
          <w:highlight w:val="none"/>
          <w:lang w:eastAsia="zh-CN"/>
        </w:rPr>
        <w:t>国有资本经营预算财政拨款支出决算表</w:t>
      </w:r>
    </w:p>
    <w:p>
      <w:pPr>
        <w:pStyle w:val="4"/>
        <w:rPr>
          <w:rStyle w:val="18"/>
          <w:rFonts w:hint="eastAsia" w:ascii="仿宋" w:hAnsi="仿宋" w:eastAsia="仿宋"/>
          <w:b w:val="0"/>
          <w:bCs w:val="0"/>
          <w:color w:val="auto"/>
          <w:highlight w:val="none"/>
          <w:lang w:eastAsia="zh-CN"/>
        </w:rPr>
      </w:pPr>
      <w:bookmarkStart w:id="65" w:name="_Toc15396631"/>
      <w:r>
        <w:rPr>
          <w:rStyle w:val="18"/>
          <w:rFonts w:hint="eastAsia" w:ascii="仿宋" w:hAnsi="仿宋" w:eastAsia="仿宋"/>
          <w:b w:val="0"/>
          <w:bCs w:val="0"/>
          <w:color w:val="auto"/>
          <w:highlight w:val="none"/>
        </w:rPr>
        <w:t>十三、</w:t>
      </w:r>
      <w:bookmarkEnd w:id="65"/>
      <w:r>
        <w:rPr>
          <w:rStyle w:val="18"/>
          <w:rFonts w:hint="eastAsia" w:ascii="仿宋" w:hAnsi="仿宋" w:eastAsia="仿宋"/>
          <w:b w:val="0"/>
          <w:bCs w:val="0"/>
          <w:color w:val="auto"/>
          <w:highlight w:val="none"/>
          <w:lang w:eastAsia="zh-CN"/>
        </w:rPr>
        <w:t>财政拨款“三公”经费支出决算表</w:t>
      </w:r>
    </w:p>
    <w:p/>
    <w:p>
      <w:pPr>
        <w:pStyle w:val="12"/>
        <w:tabs>
          <w:tab w:val="right" w:leader="dot" w:pos="8296"/>
        </w:tabs>
        <w:adjustRightInd w:val="0"/>
        <w:snapToGrid w:val="0"/>
        <w:spacing w:line="440" w:lineRule="exact"/>
        <w:jc w:val="left"/>
        <w:rPr>
          <w:rFonts w:hint="eastAsia" w:ascii="宋体" w:hAnsi="宋体" w:eastAsia="宋体" w:cs="宋体"/>
          <w:color w:val="auto"/>
          <w:sz w:val="24"/>
          <w:highlight w:val="none"/>
          <w:lang w:val="en-US" w:eastAsia="zh-CN"/>
        </w:rPr>
      </w:pPr>
    </w:p>
    <w:p>
      <w:pPr>
        <w:spacing w:line="576" w:lineRule="exact"/>
        <w:jc w:val="left"/>
        <w:rPr>
          <w:rFonts w:hint="eastAsia" w:ascii="仿宋_GB2312" w:hAnsi="仿宋_GB2312" w:cs="仿宋_GB2312"/>
          <w:highlight w:val="none"/>
        </w:rPr>
      </w:pPr>
    </w:p>
    <w:p>
      <w:pPr>
        <w:spacing w:line="576" w:lineRule="exact"/>
        <w:rPr>
          <w:rFonts w:hint="eastAsia" w:ascii="仿宋_GB2312" w:hAnsi="仿宋_GB2312"/>
          <w:highlight w:val="none"/>
        </w:rPr>
      </w:pPr>
      <w:r>
        <w:rPr>
          <w:rFonts w:hint="eastAsia" w:ascii="仿宋_GB2312" w:hAnsi="仿宋_GB2312"/>
          <w:highlight w:val="none"/>
        </w:rPr>
        <w:t xml:space="preserve"> </w:t>
      </w:r>
    </w:p>
    <w:p>
      <w:pPr>
        <w:spacing w:line="576" w:lineRule="exact"/>
        <w:outlineLvl w:val="1"/>
        <w:rPr>
          <w:rStyle w:val="21"/>
          <w:rFonts w:hint="eastAsia" w:ascii="黑体" w:eastAsia="黑体"/>
          <w:b w:val="0"/>
          <w:bCs w:val="0"/>
          <w:highlight w:val="none"/>
        </w:rPr>
      </w:pPr>
    </w:p>
    <w:p>
      <w:pPr>
        <w:spacing w:line="576" w:lineRule="exact"/>
        <w:outlineLvl w:val="1"/>
        <w:rPr>
          <w:rStyle w:val="21"/>
          <w:rFonts w:hint="eastAsia" w:ascii="黑体" w:eastAsia="黑体"/>
          <w:b w:val="0"/>
          <w:bCs w:val="0"/>
          <w:highlight w:val="none"/>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ESI仿宋-GB2312">
    <w:altName w:val="仿宋"/>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757BB"/>
    <w:multiLevelType w:val="singleLevel"/>
    <w:tmpl w:val="C81757BB"/>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MmE5OGM0MjdjNGUwOTU4OWRhYjdlZjU5ZjVjZWMifQ=="/>
  </w:docVars>
  <w:rsids>
    <w:rsidRoot w:val="00000000"/>
    <w:rsid w:val="082D1950"/>
    <w:rsid w:val="0A1906EC"/>
    <w:rsid w:val="1CB51F86"/>
    <w:rsid w:val="26461707"/>
    <w:rsid w:val="28994DFC"/>
    <w:rsid w:val="29F95439"/>
    <w:rsid w:val="2C4C5127"/>
    <w:rsid w:val="36A22061"/>
    <w:rsid w:val="38977496"/>
    <w:rsid w:val="460B2B6F"/>
    <w:rsid w:val="477817B6"/>
    <w:rsid w:val="4A097F78"/>
    <w:rsid w:val="5999704D"/>
    <w:rsid w:val="5A6E0605"/>
    <w:rsid w:val="616C5828"/>
    <w:rsid w:val="6CB06B79"/>
    <w:rsid w:val="70015A44"/>
    <w:rsid w:val="74B84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1"/>
    <w:basedOn w:val="1"/>
    <w:next w:val="1"/>
    <w:link w:val="17"/>
    <w:qFormat/>
    <w:uiPriority w:val="0"/>
    <w:pPr>
      <w:keepNext/>
      <w:keepLines/>
      <w:ind w:firstLine="640"/>
      <w:outlineLvl w:val="0"/>
    </w:pPr>
    <w:rPr>
      <w:rFonts w:eastAsia="黑体"/>
      <w:b/>
      <w:kern w:val="44"/>
      <w:sz w:val="44"/>
    </w:rPr>
  </w:style>
  <w:style w:type="paragraph" w:styleId="4">
    <w:name w:val="heading 2"/>
    <w:basedOn w:val="1"/>
    <w:next w:val="1"/>
    <w:link w:val="18"/>
    <w:qFormat/>
    <w:uiPriority w:val="0"/>
    <w:pPr>
      <w:keepNext/>
      <w:keepLines/>
      <w:ind w:firstLine="640"/>
      <w:outlineLvl w:val="1"/>
    </w:pPr>
    <w:rPr>
      <w:rFonts w:ascii="Arial" w:hAnsi="Arial" w:eastAsia="楷体_GB2312"/>
      <w:b/>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5">
    <w:name w:val="Body Text"/>
    <w:basedOn w:val="1"/>
    <w:qFormat/>
    <w:uiPriority w:val="0"/>
    <w:pPr>
      <w:spacing w:before="93" w:beforeLines="30"/>
    </w:pPr>
    <w:rPr>
      <w:rFonts w:ascii="仿宋_GB2312" w:hAnsi="Times New Roman"/>
      <w:sz w:val="30"/>
      <w:szCs w:val="24"/>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pPr>
      <w:spacing w:before="93" w:after="100" w:afterAutospacing="1"/>
      <w:jc w:val="center"/>
    </w:pPr>
    <w:rPr>
      <w:rFonts w:ascii="仿宋" w:hAnsi="仿宋" w:eastAsia="仿宋"/>
      <w:sz w:val="28"/>
      <w:szCs w:val="28"/>
    </w:rPr>
  </w:style>
  <w:style w:type="paragraph" w:styleId="11">
    <w:name w:val="footnote text"/>
    <w:basedOn w:val="1"/>
    <w:next w:val="7"/>
    <w:semiHidden/>
    <w:qFormat/>
    <w:uiPriority w:val="0"/>
    <w:pPr>
      <w:snapToGrid w:val="0"/>
      <w:jc w:val="left"/>
    </w:pPr>
    <w:rPr>
      <w:sz w:val="18"/>
      <w:szCs w:val="18"/>
    </w:rPr>
  </w:style>
  <w:style w:type="paragraph" w:styleId="12">
    <w:name w:val="toc 2"/>
    <w:basedOn w:val="1"/>
    <w:next w:val="1"/>
    <w:semiHidden/>
    <w:qFormat/>
    <w:uiPriority w:val="0"/>
    <w:pPr>
      <w:spacing w:before="100" w:beforeAutospacing="1" w:after="100" w:afterAutospacing="1"/>
      <w:ind w:left="420" w:leftChars="200"/>
    </w:pPr>
    <w:rPr>
      <w:rFonts w:ascii="Times New Roman" w:hAnsi="Times New Roman" w:eastAsia="宋体"/>
      <w:sz w:val="21"/>
      <w:szCs w:val="21"/>
    </w:rPr>
  </w:style>
  <w:style w:type="character" w:styleId="15">
    <w:name w:val="Strong"/>
    <w:basedOn w:val="14"/>
    <w:qFormat/>
    <w:uiPriority w:val="0"/>
    <w:rPr>
      <w:b/>
      <w:bCs/>
    </w:rPr>
  </w:style>
  <w:style w:type="character" w:styleId="16">
    <w:name w:val="Hyperlink"/>
    <w:basedOn w:val="14"/>
    <w:qFormat/>
    <w:uiPriority w:val="0"/>
    <w:rPr>
      <w:color w:val="0000FF"/>
      <w:u w:val="single"/>
    </w:rPr>
  </w:style>
  <w:style w:type="character" w:customStyle="1" w:styleId="17">
    <w:name w:val="标题 1 Char"/>
    <w:basedOn w:val="14"/>
    <w:link w:val="3"/>
    <w:qFormat/>
    <w:uiPriority w:val="9"/>
    <w:rPr>
      <w:rFonts w:eastAsia="黑体"/>
      <w:b/>
      <w:kern w:val="44"/>
      <w:sz w:val="44"/>
    </w:rPr>
  </w:style>
  <w:style w:type="character" w:customStyle="1" w:styleId="18">
    <w:name w:val="标题 2 Char"/>
    <w:basedOn w:val="14"/>
    <w:link w:val="4"/>
    <w:qFormat/>
    <w:uiPriority w:val="9"/>
    <w:rPr>
      <w:rFonts w:ascii="Arial" w:hAnsi="Arial" w:eastAsia="楷体_GB2312"/>
      <w:b/>
    </w:rPr>
  </w:style>
  <w:style w:type="paragraph" w:customStyle="1" w:styleId="19">
    <w:name w:val="List Paragraph"/>
    <w:basedOn w:val="1"/>
    <w:qFormat/>
    <w:uiPriority w:val="0"/>
    <w:pPr>
      <w:ind w:firstLine="420" w:firstLineChars="200"/>
    </w:pPr>
    <w:rPr>
      <w:rFonts w:ascii="Times New Roman" w:hAnsi="Times New Roman" w:eastAsia="宋体"/>
      <w:sz w:val="21"/>
      <w:szCs w:val="21"/>
    </w:rPr>
  </w:style>
  <w:style w:type="paragraph" w:customStyle="1" w:styleId="2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1">
    <w:name w:val="15"/>
    <w:basedOn w:val="14"/>
    <w:qFormat/>
    <w:uiPriority w:val="0"/>
    <w:rPr>
      <w:rFonts w:hint="default" w:ascii="Cambria" w:hAnsi="Cambria" w:eastAsia="宋体" w:cs="黑体"/>
      <w:b/>
      <w:bCs/>
      <w:kern w:val="2"/>
      <w:sz w:val="32"/>
      <w:szCs w:val="32"/>
    </w:rPr>
  </w:style>
  <w:style w:type="character" w:customStyle="1" w:styleId="22">
    <w:name w:val="18"/>
    <w:basedOn w:val="14"/>
    <w:qFormat/>
    <w:uiPriority w:val="0"/>
    <w:rPr>
      <w:rFonts w:hint="default" w:ascii="Calibri" w:hAnsi="Calibri"/>
      <w:b/>
      <w:bCs/>
    </w:rPr>
  </w:style>
  <w:style w:type="paragraph" w:customStyle="1" w:styleId="23">
    <w:name w:val="Table Text"/>
    <w:basedOn w:val="1"/>
    <w:semiHidden/>
    <w:qFormat/>
    <w:uiPriority w:val="0"/>
    <w:rPr>
      <w:rFonts w:ascii="宋体" w:hAnsi="宋体" w:eastAsia="宋体" w:cs="宋体"/>
      <w:sz w:val="19"/>
      <w:szCs w:val="19"/>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6">
    <w:name w:val="Body Text First Indent 21"/>
    <w:basedOn w:val="1"/>
    <w:qFormat/>
    <w:uiPriority w:val="0"/>
    <w:pPr>
      <w:ind w:left="420" w:leftChars="200" w:firstLine="420" w:firstLineChars="200"/>
    </w:pPr>
    <w:rPr>
      <w:rFonts w:ascii="Times New Roman" w:hAnsi="Times New Roman" w:eastAsia="宋体" w:cs="Times New Roman"/>
    </w:rPr>
  </w:style>
  <w:style w:type="paragraph" w:customStyle="1" w:styleId="27">
    <w:name w:val="报告正文"/>
    <w:basedOn w:val="1"/>
    <w:qFormat/>
    <w:uiPriority w:val="0"/>
    <w:pPr>
      <w:spacing w:line="600" w:lineRule="exact"/>
      <w:ind w:firstLine="200" w:firstLineChars="200"/>
    </w:pPr>
    <w:rPr>
      <w:rFonts w:ascii="Times New Roman" w:hAnsi="Times New Roman" w:eastAsia="仿宋" w:cs="Times New Roman"/>
      <w:kern w:val="0"/>
      <w:sz w:val="32"/>
      <w:szCs w:val="28"/>
      <w:lang w:val="zh-CN"/>
    </w:rPr>
  </w:style>
  <w:style w:type="paragraph" w:customStyle="1" w:styleId="28">
    <w:name w:val="汇政正文"/>
    <w:basedOn w:val="1"/>
    <w:qFormat/>
    <w:uiPriority w:val="3"/>
    <w:pPr>
      <w:spacing w:line="600" w:lineRule="exact"/>
      <w:ind w:firstLine="640" w:firstLineChars="200"/>
    </w:pPr>
    <w:rPr>
      <w:kern w:val="0"/>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454940806958202"/>
          <c:y val="0.164045898852529"/>
          <c:w val="0.930345494080696"/>
          <c:h val="0.63863153421164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2024年收、支预算总计</c:v>
                </c:pt>
                <c:pt idx="2">
                  <c:v>2023年收、支预算总计</c:v>
                </c:pt>
              </c:strCache>
            </c:strRef>
          </c:cat>
          <c:val>
            <c:numRef>
              <c:f>Sheet1!$B$2:$B$6</c:f>
              <c:numCache>
                <c:formatCode>General</c:formatCode>
                <c:ptCount val="5"/>
                <c:pt idx="0">
                  <c:v>741.97</c:v>
                </c:pt>
                <c:pt idx="2">
                  <c:v>749.44</c:v>
                </c:pt>
              </c:numCache>
            </c:numRef>
          </c:val>
        </c:ser>
        <c:ser>
          <c:idx val="2"/>
          <c:order val="1"/>
          <c:tx>
            <c:strRef>
              <c:f>Sheet1!$D$1</c:f>
              <c:strCache>
                <c:ptCount val="1"/>
                <c:pt idx="0">
                  <c:v/>
                </c:pt>
              </c:strCache>
            </c:strRef>
          </c:tx>
          <c:spPr>
            <a:solidFill>
              <a:schemeClr val="accent3"/>
            </a:solidFill>
            <a:ln>
              <a:noFill/>
            </a:ln>
            <a:effectLst/>
          </c:spPr>
          <c:invertIfNegative val="0"/>
          <c:dLbls>
            <c:delete val="1"/>
          </c:dLbls>
          <c:cat>
            <c:strRef>
              <c:f>Sheet1!$A$2:$A$6</c:f>
              <c:strCache>
                <c:ptCount val="5"/>
                <c:pt idx="0">
                  <c:v>2024年收、支预算总计</c:v>
                </c:pt>
                <c:pt idx="2">
                  <c:v>2023年收、支预算总计</c:v>
                </c:pt>
              </c:strCache>
            </c:strRef>
          </c:cat>
          <c:val>
            <c:numRef>
              <c:f>Sheet1!$D$2:$D$6</c:f>
              <c:numCache>
                <c:formatCode>General</c:formatCode>
                <c:ptCount val="5"/>
              </c:numCache>
            </c:numRef>
          </c:val>
        </c:ser>
        <c:dLbls>
          <c:showLegendKey val="0"/>
          <c:showVal val="0"/>
          <c:showCatName val="0"/>
          <c:showSerName val="0"/>
          <c:showPercent val="0"/>
          <c:showBubbleSize val="0"/>
        </c:dLbls>
        <c:gapWidth val="75"/>
        <c:overlap val="100"/>
        <c:axId val="772973098"/>
        <c:axId val="192197539"/>
      </c:barChart>
      <c:catAx>
        <c:axId val="7729730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197539"/>
        <c:crosses val="autoZero"/>
        <c:auto val="1"/>
        <c:lblAlgn val="ctr"/>
        <c:lblOffset val="100"/>
        <c:noMultiLvlLbl val="0"/>
      </c:catAx>
      <c:valAx>
        <c:axId val="192197539"/>
        <c:scaling>
          <c:orientation val="minMax"/>
          <c:max val="1000"/>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973098"/>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b"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strCache>
            </c:strRef>
          </c:cat>
          <c:val>
            <c:numRef>
              <c:f>Sheet1!$B$2:$B$5</c:f>
              <c:numCache>
                <c:formatCode>General</c:formatCode>
                <c:ptCount val="4"/>
                <c:pt idx="0">
                  <c:v>741.97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551.97</c:v>
                </c:pt>
                <c:pt idx="1">
                  <c:v>190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manualLayout>
          <c:xMode val="edge"/>
          <c:yMode val="edge"/>
          <c:x val="0.350715361445783"/>
          <c:y val="0.1345614737685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51147620198116"/>
          <c:y val="0.0276243093922652"/>
        </c:manualLayout>
      </c:layout>
      <c:overlay val="0"/>
      <c:spPr>
        <a:noFill/>
        <a:ln>
          <a:noFill/>
        </a:ln>
        <a:effectLst/>
      </c:spPr>
    </c:title>
    <c:autoTitleDeleted val="0"/>
    <c:plotArea>
      <c:layout>
        <c:manualLayout>
          <c:layoutTarget val="inner"/>
          <c:xMode val="edge"/>
          <c:yMode val="edge"/>
          <c:x val="0.0771442377385842"/>
          <c:y val="0.161920951976201"/>
          <c:w val="0.908359507127325"/>
          <c:h val="0.63863153421164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dLblPos val="outEnd"/>
              <c:showLegendKey val="0"/>
              <c:showVal val="1"/>
              <c:showCatName val="0"/>
              <c:showSerName val="0"/>
              <c:showPercent val="0"/>
              <c:showBubbleSize val="0"/>
              <c:extLst>
                <c:ext xmlns:c15="http://schemas.microsoft.com/office/drawing/2012/chart" uri="{CE6537A1-D6FC-4f65-9D91-7224C49458BB}"/>
              </c:extLst>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2024年财政拨款收支总计</c:v>
                </c:pt>
                <c:pt idx="2">
                  <c:v>2023年财政拨款收支总计</c:v>
                </c:pt>
              </c:strCache>
            </c:strRef>
          </c:cat>
          <c:val>
            <c:numRef>
              <c:f>Sheet1!$B$2:$B$6</c:f>
              <c:numCache>
                <c:formatCode>General</c:formatCode>
                <c:ptCount val="5"/>
                <c:pt idx="0">
                  <c:v>741.97</c:v>
                </c:pt>
                <c:pt idx="2">
                  <c:v>749.44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Sheet1!$A$2:$A$6</c:f>
              <c:strCache>
                <c:ptCount val="5"/>
                <c:pt idx="0">
                  <c:v>2024年财政拨款收支总计</c:v>
                </c:pt>
                <c:pt idx="2">
                  <c:v>2023年财政拨款收支总计</c:v>
                </c:pt>
              </c:strCache>
            </c:strRef>
          </c:cat>
          <c:val>
            <c:numRef>
              <c:f>Sheet1!$C$2:$C$6</c:f>
              <c:numCache>
                <c:formatCode>General</c:formatCode>
                <c:ptCount val="5"/>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Sheet1!$A$2:$A$6</c:f>
              <c:strCache>
                <c:ptCount val="5"/>
                <c:pt idx="0">
                  <c:v>2024年财政拨款收支总计</c:v>
                </c:pt>
                <c:pt idx="2">
                  <c:v>2023年财政拨款收支总计</c:v>
                </c:pt>
              </c:strCache>
            </c:strRef>
          </c:cat>
          <c:val>
            <c:numRef>
              <c:f>Sheet1!$D$2:$D$6</c:f>
              <c:numCache>
                <c:formatCode>General</c:formatCode>
                <c:ptCount val="5"/>
              </c:numCache>
            </c:numRef>
          </c:val>
        </c:ser>
        <c:dLbls>
          <c:showLegendKey val="0"/>
          <c:showVal val="0"/>
          <c:showCatName val="0"/>
          <c:showSerName val="0"/>
          <c:showPercent val="0"/>
          <c:showBubbleSize val="0"/>
        </c:dLbls>
        <c:gapWidth val="97"/>
        <c:overlap val="100"/>
        <c:axId val="376940934"/>
        <c:axId val="182202643"/>
      </c:barChart>
      <c:catAx>
        <c:axId val="3769409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2202643"/>
        <c:crosses val="autoZero"/>
        <c:auto val="1"/>
        <c:lblAlgn val="ctr"/>
        <c:lblOffset val="100"/>
        <c:noMultiLvlLbl val="0"/>
      </c:catAx>
      <c:valAx>
        <c:axId val="182202643"/>
        <c:scaling>
          <c:orientation val="minMax"/>
          <c:max val="1000"/>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6940934"/>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13698961101716"/>
          <c:y val="0.0276243093922652"/>
        </c:manualLayout>
      </c:layout>
      <c:overlay val="0"/>
      <c:spPr>
        <a:noFill/>
        <a:ln>
          <a:noFill/>
        </a:ln>
        <a:effectLst/>
      </c:spPr>
    </c:title>
    <c:autoTitleDeleted val="0"/>
    <c:plotArea>
      <c:layout>
        <c:manualLayout>
          <c:layoutTarget val="inner"/>
          <c:xMode val="edge"/>
          <c:yMode val="edge"/>
          <c:x val="0.0783522589997584"/>
          <c:y val="0.161920951976201"/>
          <c:w val="0.889272771200773"/>
          <c:h val="0.638844028899277"/>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dLblPos val="outEnd"/>
              <c:showLegendKey val="0"/>
              <c:showVal val="1"/>
              <c:showCatName val="0"/>
              <c:showSerName val="0"/>
              <c:showPercent val="0"/>
              <c:showBubbleSize val="0"/>
              <c:extLst>
                <c:ext xmlns:c15="http://schemas.microsoft.com/office/drawing/2012/chart" uri="{CE6537A1-D6FC-4f65-9D91-7224C49458BB}"/>
              </c:extLst>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2024年一般公共预算财政拨款支出</c:v>
                </c:pt>
                <c:pt idx="2">
                  <c:v>2023年一般公共预算财政拨款支出</c:v>
                </c:pt>
              </c:strCache>
            </c:strRef>
          </c:cat>
          <c:val>
            <c:numRef>
              <c:f>Sheet1!$B$3:$B$7</c:f>
              <c:numCache>
                <c:formatCode>General</c:formatCode>
                <c:ptCount val="5"/>
                <c:pt idx="0">
                  <c:v>741.97</c:v>
                </c:pt>
                <c:pt idx="2">
                  <c:v>749.44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Sheet1!$A$3:$A$7</c:f>
              <c:strCache>
                <c:ptCount val="5"/>
                <c:pt idx="0">
                  <c:v>2024年一般公共预算财政拨款支出</c:v>
                </c:pt>
                <c:pt idx="2">
                  <c:v>2023年一般公共预算财政拨款支出</c:v>
                </c:pt>
              </c:strCache>
            </c:strRef>
          </c:cat>
          <c:val>
            <c:numRef>
              <c:f>Sheet1!$C$3:$C$7</c:f>
              <c:numCache>
                <c:formatCode>General</c:formatCode>
                <c:ptCount val="5"/>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Sheet1!$A$3:$A$7</c:f>
              <c:strCache>
                <c:ptCount val="5"/>
                <c:pt idx="0">
                  <c:v>2024年一般公共预算财政拨款支出</c:v>
                </c:pt>
                <c:pt idx="2">
                  <c:v>2023年一般公共预算财政拨款支出</c:v>
                </c:pt>
              </c:strCache>
            </c:strRef>
          </c:cat>
          <c:val>
            <c:numRef>
              <c:f>Sheet1!$D$3:$D$7</c:f>
              <c:numCache>
                <c:formatCode>General</c:formatCode>
                <c:ptCount val="5"/>
              </c:numCache>
            </c:numRef>
          </c:val>
        </c:ser>
        <c:dLbls>
          <c:showLegendKey val="0"/>
          <c:showVal val="0"/>
          <c:showCatName val="0"/>
          <c:showSerName val="0"/>
          <c:showPercent val="0"/>
          <c:showBubbleSize val="0"/>
        </c:dLbls>
        <c:gapWidth val="97"/>
        <c:overlap val="100"/>
        <c:axId val="376940934"/>
        <c:axId val="182202643"/>
      </c:barChart>
      <c:catAx>
        <c:axId val="3769409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2202643"/>
        <c:crosses val="autoZero"/>
        <c:auto val="1"/>
        <c:lblAlgn val="ctr"/>
        <c:lblOffset val="100"/>
        <c:noMultiLvlLbl val="0"/>
      </c:catAx>
      <c:valAx>
        <c:axId val="182202643"/>
        <c:scaling>
          <c:orientation val="minMax"/>
          <c:max val="1000"/>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a:outerShdw blurRad="50800" dir="5400000" sx="3000" sy="3000" algn="ctr" rotWithShape="0">
              <a:srgbClr val="000000">
                <a:alpha val="43000"/>
              </a:srgbClr>
            </a:outerShdw>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6940934"/>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一般公共预算财政拨款支出决算结构</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448244993257157"/>
                  <c:y val="-0.06915699248137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70825494835421"/>
                  <c:y val="0.02747306491946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3411569666356"/>
                  <c:y val="0.01297422167401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文化旅游体育与传媒支出</c:v>
                </c:pt>
                <c:pt idx="1">
                  <c:v>社会保障和就业支出</c:v>
                </c:pt>
                <c:pt idx="2">
                  <c:v>卫生健康支出</c:v>
                </c:pt>
                <c:pt idx="3">
                  <c:v>住房保障支出</c:v>
                </c:pt>
              </c:strCache>
            </c:strRef>
          </c:cat>
          <c:val>
            <c:numRef>
              <c:f>Sheet1!$B$2:$B$5</c:f>
              <c:numCache>
                <c:formatCode>General</c:formatCode>
                <c:ptCount val="4"/>
                <c:pt idx="0">
                  <c:v>618.55</c:v>
                </c:pt>
                <c:pt idx="1">
                  <c:v>57.49</c:v>
                </c:pt>
                <c:pt idx="2">
                  <c:v>19.76</c:v>
                </c:pt>
                <c:pt idx="3">
                  <c:v>46.16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经费财政拨款支出结构</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544796749521808"/>
                  <c:y val="-0.05567533718776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08941210325061"/>
                  <c:y val="0.03217315863606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公务用车购置及运行维护费</c:v>
                </c:pt>
                <c:pt idx="1">
                  <c:v>公务接待费</c:v>
                </c:pt>
              </c:strCache>
            </c:strRef>
          </c:cat>
          <c:val>
            <c:numRef>
              <c:f>Sheet1!$B$2:$B$5</c:f>
              <c:numCache>
                <c:formatCode>General</c:formatCode>
                <c:ptCount val="4"/>
                <c:pt idx="0">
                  <c:v>15</c:v>
                </c:pt>
                <c:pt idx="1">
                  <c:v>0.56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9591</Words>
  <Characters>10455</Characters>
  <Lines>0</Lines>
  <Paragraphs>0</Paragraphs>
  <TotalTime>2</TotalTime>
  <ScaleCrop>false</ScaleCrop>
  <LinksUpToDate>false</LinksUpToDate>
  <CharactersWithSpaces>10534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2024-08-09T06:24:00Z</dcterms:created>
  <dc:creator>HP</dc:creator>
  <cp:lastModifiedBy>赵春燕</cp:lastModifiedBy>
  <dcterms:modified xsi:type="dcterms:W3CDTF">2025-08-15T01:38:16Z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345CB87EEA9F4507A05AF4B2126F0AA5_13</vt:lpwstr>
  </property>
  <property fmtid="{D5CDD505-2E9C-101B-9397-08002B2CF9AE}" pid="4" name="KSOTemplateDocerSaveRecord">
    <vt:lpwstr>eyJoZGlkIjoiMmM0ODk1NDlmZWY1OTgwM2FhMDZlNjlmMGYyNTE3MTcifQ==</vt:lpwstr>
  </property>
</Properties>
</file>