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3212">
      <w:pPr>
        <w:adjustRightInd w:val="0"/>
        <w:snapToGrid w:val="0"/>
        <w:spacing w:line="360" w:lineRule="auto"/>
        <w:jc w:val="center"/>
        <w:outlineLvl w:val="0"/>
        <w:rPr>
          <w:rFonts w:hint="eastAsia" w:ascii="黑体" w:hAnsi="黑体" w:eastAsia="黑体" w:cs="Times New Roman"/>
          <w:color w:val="000000"/>
          <w:sz w:val="56"/>
          <w:szCs w:val="56"/>
          <w:lang w:eastAsia="zh-CN"/>
        </w:rPr>
      </w:pPr>
    </w:p>
    <w:p w14:paraId="311E179C">
      <w:pPr>
        <w:adjustRightInd w:val="0"/>
        <w:snapToGrid w:val="0"/>
        <w:spacing w:line="360" w:lineRule="auto"/>
        <w:jc w:val="center"/>
        <w:outlineLvl w:val="0"/>
        <w:rPr>
          <w:rFonts w:hint="eastAsia" w:ascii="黑体" w:hAnsi="黑体" w:eastAsia="黑体" w:cs="Times New Roman"/>
          <w:color w:val="000000"/>
          <w:sz w:val="56"/>
          <w:szCs w:val="56"/>
          <w:lang w:eastAsia="zh-CN"/>
        </w:rPr>
      </w:pPr>
    </w:p>
    <w:p w14:paraId="6A648AF8">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96475"/>
      <w:bookmarkStart w:id="2" w:name="_Toc15377425"/>
      <w:bookmarkStart w:id="3" w:name="_Toc15377193"/>
      <w:bookmarkStart w:id="4"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24</w:t>
      </w:r>
      <w:r>
        <w:rPr>
          <w:rFonts w:hint="eastAsia" w:ascii="方正小标宋简体" w:hAnsi="宋体" w:eastAsia="方正小标宋简体"/>
          <w:color w:val="000000"/>
          <w:sz w:val="72"/>
          <w:szCs w:val="72"/>
        </w:rPr>
        <w:t>年度</w:t>
      </w:r>
      <w:bookmarkEnd w:id="0"/>
      <w:bookmarkEnd w:id="1"/>
      <w:bookmarkEnd w:id="2"/>
      <w:bookmarkEnd w:id="3"/>
      <w:bookmarkEnd w:id="4"/>
    </w:p>
    <w:p w14:paraId="38311CF3">
      <w:pPr>
        <w:adjustRightInd w:val="0"/>
        <w:snapToGrid w:val="0"/>
        <w:spacing w:line="360" w:lineRule="auto"/>
        <w:jc w:val="center"/>
        <w:outlineLvl w:val="0"/>
        <w:rPr>
          <w:rFonts w:hint="eastAsia" w:ascii="方正小标宋简体" w:hAnsi="宋体" w:eastAsia="方正小标宋简体"/>
          <w:color w:val="000000"/>
          <w:spacing w:val="-20"/>
          <w:sz w:val="68"/>
          <w:szCs w:val="68"/>
          <w:lang w:val="en-US" w:eastAsia="zh-CN"/>
        </w:rPr>
      </w:pPr>
      <w:bookmarkStart w:id="5" w:name="_Toc15396476"/>
      <w:bookmarkStart w:id="6" w:name="_Toc15396598"/>
      <w:bookmarkStart w:id="7" w:name="_Toc15377426"/>
      <w:bookmarkStart w:id="8" w:name="_Toc15377194"/>
      <w:bookmarkStart w:id="9" w:name="_Toc15378442"/>
      <w:bookmarkStart w:id="10" w:name="_Toc15306268"/>
      <w:r>
        <w:rPr>
          <w:rFonts w:hint="eastAsia" w:ascii="方正小标宋简体" w:hAnsi="宋体" w:eastAsia="方正小标宋简体"/>
          <w:color w:val="000000"/>
          <w:spacing w:val="-20"/>
          <w:sz w:val="68"/>
          <w:szCs w:val="68"/>
          <w:lang w:val="en-US" w:eastAsia="zh-CN"/>
        </w:rPr>
        <w:t>中共蓬溪县委目标绩效管理</w:t>
      </w:r>
    </w:p>
    <w:p w14:paraId="76FFE6B6">
      <w:pPr>
        <w:adjustRightInd w:val="0"/>
        <w:snapToGrid w:val="0"/>
        <w:spacing w:line="360" w:lineRule="auto"/>
        <w:jc w:val="center"/>
        <w:outlineLvl w:val="0"/>
        <w:rPr>
          <w:rFonts w:ascii="方正小标宋简体" w:hAnsi="宋体" w:eastAsia="方正小标宋简体"/>
          <w:color w:val="000000"/>
          <w:spacing w:val="-20"/>
          <w:sz w:val="68"/>
          <w:szCs w:val="68"/>
        </w:rPr>
      </w:pPr>
      <w:r>
        <w:rPr>
          <w:rFonts w:hint="eastAsia" w:ascii="方正小标宋简体" w:hAnsi="宋体" w:eastAsia="方正小标宋简体"/>
          <w:color w:val="000000"/>
          <w:spacing w:val="-20"/>
          <w:sz w:val="68"/>
          <w:szCs w:val="68"/>
          <w:lang w:val="en-US" w:eastAsia="zh-CN"/>
        </w:rPr>
        <w:t>办公室</w:t>
      </w:r>
      <w:r>
        <w:rPr>
          <w:rFonts w:hint="eastAsia" w:ascii="方正小标宋简体" w:hAnsi="宋体" w:eastAsia="方正小标宋简体"/>
          <w:color w:val="000000"/>
          <w:spacing w:val="-20"/>
          <w:sz w:val="68"/>
          <w:szCs w:val="68"/>
        </w:rPr>
        <w:t>部门决算</w:t>
      </w:r>
      <w:bookmarkEnd w:id="5"/>
      <w:bookmarkEnd w:id="6"/>
      <w:bookmarkEnd w:id="7"/>
      <w:bookmarkEnd w:id="8"/>
      <w:bookmarkEnd w:id="9"/>
      <w:bookmarkEnd w:id="10"/>
    </w:p>
    <w:p w14:paraId="08D49114">
      <w:pPr>
        <w:adjustRightInd w:val="0"/>
        <w:snapToGrid w:val="0"/>
        <w:spacing w:line="360" w:lineRule="auto"/>
        <w:jc w:val="center"/>
        <w:outlineLvl w:val="0"/>
        <w:rPr>
          <w:rFonts w:hint="eastAsia" w:ascii="黑体" w:hAnsi="黑体" w:eastAsia="黑体" w:cs="Times New Roman"/>
          <w:color w:val="000000"/>
          <w:sz w:val="56"/>
          <w:szCs w:val="56"/>
          <w:lang w:eastAsia="zh-CN"/>
        </w:rPr>
      </w:pPr>
    </w:p>
    <w:p w14:paraId="2F93D823">
      <w:pPr>
        <w:widowControl/>
        <w:spacing w:line="576" w:lineRule="exact"/>
        <w:jc w:val="center"/>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br w:type="textWrapping"/>
      </w:r>
    </w:p>
    <w:p w14:paraId="6C5D4308">
      <w:pPr>
        <w:widowControl/>
        <w:spacing w:line="576" w:lineRule="exact"/>
        <w:jc w:val="center"/>
        <w:rPr>
          <w:rFonts w:hint="eastAsia" w:ascii="宋体" w:hAnsi="宋体" w:eastAsia="宋体" w:cs="宋体"/>
          <w:i w:val="0"/>
          <w:caps w:val="0"/>
          <w:color w:val="333333"/>
          <w:spacing w:val="0"/>
          <w:sz w:val="24"/>
          <w:szCs w:val="24"/>
          <w:shd w:val="clear" w:fill="FFFFFF"/>
        </w:rPr>
      </w:pPr>
    </w:p>
    <w:p w14:paraId="5C2E6A77">
      <w:pPr>
        <w:widowControl/>
        <w:spacing w:line="576" w:lineRule="exact"/>
        <w:jc w:val="center"/>
        <w:rPr>
          <w:rFonts w:hint="eastAsia" w:ascii="宋体" w:hAnsi="宋体" w:eastAsia="宋体" w:cs="宋体"/>
          <w:i w:val="0"/>
          <w:caps w:val="0"/>
          <w:color w:val="333333"/>
          <w:spacing w:val="0"/>
          <w:sz w:val="24"/>
          <w:szCs w:val="24"/>
          <w:shd w:val="clear" w:fill="FFFFFF"/>
        </w:rPr>
      </w:pPr>
    </w:p>
    <w:p w14:paraId="6656FC6A">
      <w:pPr>
        <w:widowControl/>
        <w:spacing w:line="576" w:lineRule="exact"/>
        <w:jc w:val="center"/>
        <w:rPr>
          <w:rFonts w:hint="eastAsia" w:ascii="宋体" w:hAnsi="宋体" w:eastAsia="宋体" w:cs="宋体"/>
          <w:i w:val="0"/>
          <w:caps w:val="0"/>
          <w:color w:val="333333"/>
          <w:spacing w:val="0"/>
          <w:sz w:val="24"/>
          <w:szCs w:val="24"/>
          <w:shd w:val="clear" w:fill="FFFFFF"/>
        </w:rPr>
      </w:pPr>
    </w:p>
    <w:p w14:paraId="4B8D5C8D">
      <w:pPr>
        <w:widowControl/>
        <w:spacing w:line="576" w:lineRule="exact"/>
        <w:jc w:val="center"/>
        <w:rPr>
          <w:rFonts w:hint="eastAsia" w:ascii="宋体" w:hAnsi="宋体" w:eastAsia="宋体" w:cs="宋体"/>
          <w:i w:val="0"/>
          <w:caps w:val="0"/>
          <w:color w:val="333333"/>
          <w:spacing w:val="0"/>
          <w:sz w:val="24"/>
          <w:szCs w:val="24"/>
          <w:shd w:val="clear" w:fill="FFFFFF"/>
        </w:rPr>
      </w:pPr>
    </w:p>
    <w:p w14:paraId="502A1083">
      <w:pPr>
        <w:widowControl/>
        <w:spacing w:line="576" w:lineRule="exact"/>
        <w:jc w:val="center"/>
        <w:rPr>
          <w:rFonts w:hint="eastAsia" w:ascii="宋体" w:hAnsi="宋体" w:eastAsia="宋体" w:cs="宋体"/>
          <w:i w:val="0"/>
          <w:caps w:val="0"/>
          <w:color w:val="333333"/>
          <w:spacing w:val="0"/>
          <w:sz w:val="24"/>
          <w:szCs w:val="24"/>
          <w:shd w:val="clear" w:fill="FFFFFF"/>
        </w:rPr>
      </w:pPr>
    </w:p>
    <w:p w14:paraId="505F6843">
      <w:pPr>
        <w:widowControl/>
        <w:spacing w:line="576" w:lineRule="exact"/>
        <w:jc w:val="center"/>
        <w:rPr>
          <w:rFonts w:hint="eastAsia" w:ascii="宋体" w:hAnsi="宋体" w:eastAsia="宋体" w:cs="宋体"/>
          <w:i w:val="0"/>
          <w:caps w:val="0"/>
          <w:color w:val="333333"/>
          <w:spacing w:val="0"/>
          <w:sz w:val="24"/>
          <w:szCs w:val="24"/>
          <w:shd w:val="clear" w:fill="FFFFFF"/>
        </w:rPr>
      </w:pPr>
    </w:p>
    <w:p w14:paraId="31E9156B">
      <w:pPr>
        <w:widowControl/>
        <w:spacing w:line="576" w:lineRule="exact"/>
        <w:jc w:val="center"/>
        <w:rPr>
          <w:rFonts w:hint="eastAsia" w:ascii="宋体" w:hAnsi="宋体" w:eastAsia="宋体" w:cs="宋体"/>
          <w:i w:val="0"/>
          <w:caps w:val="0"/>
          <w:color w:val="333333"/>
          <w:spacing w:val="0"/>
          <w:sz w:val="24"/>
          <w:szCs w:val="24"/>
          <w:shd w:val="clear" w:fill="FFFFFF"/>
        </w:rPr>
      </w:pPr>
    </w:p>
    <w:p w14:paraId="4B337862">
      <w:pPr>
        <w:widowControl/>
        <w:spacing w:line="576" w:lineRule="exact"/>
        <w:jc w:val="center"/>
        <w:rPr>
          <w:rFonts w:hint="eastAsia" w:ascii="宋体" w:hAnsi="宋体" w:eastAsia="宋体" w:cs="宋体"/>
          <w:i w:val="0"/>
          <w:caps w:val="0"/>
          <w:color w:val="333333"/>
          <w:spacing w:val="0"/>
          <w:sz w:val="24"/>
          <w:szCs w:val="24"/>
          <w:shd w:val="clear" w:fill="FFFFFF"/>
        </w:rPr>
      </w:pPr>
    </w:p>
    <w:p w14:paraId="62780109">
      <w:pPr>
        <w:widowControl/>
        <w:spacing w:line="576" w:lineRule="exact"/>
        <w:jc w:val="center"/>
        <w:rPr>
          <w:rFonts w:hint="eastAsia" w:ascii="宋体" w:hAnsi="宋体" w:eastAsia="宋体" w:cs="宋体"/>
          <w:i w:val="0"/>
          <w:caps w:val="0"/>
          <w:color w:val="333333"/>
          <w:spacing w:val="0"/>
          <w:sz w:val="24"/>
          <w:szCs w:val="24"/>
          <w:shd w:val="clear" w:fill="FFFFFF"/>
        </w:rPr>
      </w:pPr>
    </w:p>
    <w:p w14:paraId="2EF404B9">
      <w:pPr>
        <w:widowControl/>
        <w:jc w:val="center"/>
        <w:rPr>
          <w:rFonts w:ascii="黑体" w:hAnsi="黑体" w:eastAsia="黑体" w:cs="Times New Roman"/>
          <w:color w:val="auto"/>
          <w:sz w:val="28"/>
          <w:szCs w:val="28"/>
          <w:highlight w:val="none"/>
        </w:rPr>
      </w:pPr>
      <w:r>
        <w:rPr>
          <w:rFonts w:hint="eastAsia" w:ascii="黑体" w:hAnsi="黑体" w:eastAsia="黑体"/>
          <w:color w:val="auto"/>
          <w:sz w:val="48"/>
          <w:szCs w:val="48"/>
          <w:highlight w:val="none"/>
        </w:rPr>
        <w:t>目录</w:t>
      </w:r>
    </w:p>
    <w:p w14:paraId="3BCE7B38">
      <w:pPr>
        <w:pStyle w:val="12"/>
        <w:tabs>
          <w:tab w:val="right" w:leader="dot" w:pos="8296"/>
        </w:tabs>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73D624E7">
      <w:pPr>
        <w:rPr>
          <w:color w:val="auto"/>
          <w:highlight w:val="none"/>
        </w:rPr>
      </w:pPr>
    </w:p>
    <w:p w14:paraId="3A54EB32">
      <w:pPr>
        <w:pStyle w:val="12"/>
        <w:tabs>
          <w:tab w:val="right" w:leader="dot" w:pos="8296"/>
        </w:tabs>
        <w:adjustRightInd w:val="0"/>
        <w:snapToGrid w:val="0"/>
        <w:spacing w:before="0"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ascii="黑体" w:hAnsi="黑体" w:eastAsia="黑体" w:cs="黑体"/>
          <w:color w:val="auto"/>
          <w:sz w:val="24"/>
          <w:highlight w:val="none"/>
        </w:rPr>
        <w:t>第一部分 部门概况</w:t>
      </w:r>
      <w:r>
        <w:rPr>
          <w:rFonts w:hint="eastAsia" w:ascii="Times New Roman" w:hAnsi="Times New Roman" w:eastAsia="宋体" w:cstheme="minorBidi"/>
          <w:color w:val="auto"/>
          <w:kern w:val="2"/>
          <w:sz w:val="24"/>
          <w:szCs w:val="21"/>
          <w:highlight w:val="none"/>
          <w:lang w:val="en-US" w:eastAsia="zh-CN" w:bidi="ar-SA"/>
        </w:rPr>
        <w:t>..............................................................................................................4</w:t>
      </w:r>
    </w:p>
    <w:p w14:paraId="5E747DE9">
      <w:pPr>
        <w:pStyle w:val="14"/>
        <w:tabs>
          <w:tab w:val="right" w:leader="dot" w:pos="8296"/>
        </w:tabs>
        <w:adjustRightInd w:val="0"/>
        <w:snapToGrid w:val="0"/>
        <w:spacing w:line="440" w:lineRule="exact"/>
        <w:jc w:val="left"/>
        <w:rPr>
          <w:rFonts w:hint="eastAsia"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一、</w:t>
      </w:r>
      <w:r>
        <w:rPr>
          <w:rFonts w:hint="eastAsia"/>
          <w:color w:val="auto"/>
          <w:sz w:val="24"/>
          <w:highlight w:val="none"/>
          <w:lang w:eastAsia="zh-CN"/>
        </w:rPr>
        <w:t>部门职责</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....4</w:t>
      </w:r>
    </w:p>
    <w:p w14:paraId="2DF808E5">
      <w:pPr>
        <w:pStyle w:val="14"/>
        <w:tabs>
          <w:tab w:val="right" w:leader="dot" w:pos="8296"/>
        </w:tabs>
        <w:adjustRightInd w:val="0"/>
        <w:snapToGrid w:val="0"/>
        <w:spacing w:line="440" w:lineRule="exact"/>
        <w:jc w:val="left"/>
        <w:rPr>
          <w:rFonts w:hint="eastAsia" w:ascii="Times New Roman" w:hAnsi="Times New Roman" w:eastAsia="宋体" w:cstheme="minorBidi"/>
          <w:color w:val="auto"/>
          <w:kern w:val="2"/>
          <w:sz w:val="24"/>
          <w:szCs w:val="21"/>
          <w:highlight w:val="none"/>
          <w:lang w:val="en-US" w:eastAsia="zh-CN" w:bidi="ar-SA"/>
        </w:rPr>
      </w:pPr>
      <w:r>
        <w:rPr>
          <w:rFonts w:hint="eastAsia" w:ascii="Times New Roman" w:hAnsi="Times New Roman" w:eastAsia="宋体" w:cstheme="minorBidi"/>
          <w:color w:val="auto"/>
          <w:kern w:val="2"/>
          <w:sz w:val="24"/>
          <w:szCs w:val="21"/>
          <w:highlight w:val="none"/>
          <w:lang w:val="en-US" w:eastAsia="zh-CN" w:bidi="ar-SA"/>
        </w:rPr>
        <w:t>二、机构设置..............................</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......4</w:t>
      </w:r>
    </w:p>
    <w:p w14:paraId="7FD922EC">
      <w:pPr>
        <w:pStyle w:val="12"/>
        <w:tabs>
          <w:tab w:val="right" w:leader="dot" w:pos="8296"/>
        </w:tabs>
        <w:adjustRightInd w:val="0"/>
        <w:snapToGrid w:val="0"/>
        <w:spacing w:before="0"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ascii="黑体" w:hAnsi="黑体" w:eastAsia="黑体" w:cs="黑体"/>
          <w:color w:val="auto"/>
          <w:sz w:val="24"/>
          <w:highlight w:val="none"/>
        </w:rPr>
        <w:t>第二部分</w:t>
      </w:r>
      <w:r>
        <w:rPr>
          <w:rFonts w:hint="eastAsia" w:ascii="黑体" w:hAnsi="黑体" w:eastAsia="黑体" w:cs="黑体"/>
          <w:color w:val="auto"/>
          <w:sz w:val="24"/>
          <w:highlight w:val="none"/>
          <w:lang w:val="en-US" w:eastAsia="zh-CN"/>
        </w:rPr>
        <w:t xml:space="preserve"> 2023年度</w:t>
      </w:r>
      <w:r>
        <w:rPr>
          <w:rFonts w:hint="eastAsia" w:ascii="黑体" w:hAnsi="黑体" w:eastAsia="黑体" w:cs="黑体"/>
          <w:color w:val="auto"/>
          <w:sz w:val="24"/>
          <w:highlight w:val="none"/>
        </w:rPr>
        <w:t>部门决算情况说明</w:t>
      </w:r>
      <w:r>
        <w:rPr>
          <w:rFonts w:hint="eastAsia" w:ascii="Times New Roman" w:hAnsi="Times New Roman" w:eastAsia="宋体" w:cstheme="minorBidi"/>
          <w:color w:val="auto"/>
          <w:kern w:val="2"/>
          <w:sz w:val="24"/>
          <w:szCs w:val="21"/>
          <w:highlight w:val="none"/>
          <w:lang w:val="en-US" w:eastAsia="zh-CN" w:bidi="ar-SA"/>
        </w:rPr>
        <w:t>.............................................................................5</w:t>
      </w:r>
    </w:p>
    <w:p w14:paraId="1D5FE9C7">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一、收入支出决算总体情况说明</w:t>
      </w:r>
      <w:r>
        <w:rPr>
          <w:rFonts w:hint="eastAsia" w:eastAsia="宋体"/>
          <w:color w:val="auto"/>
          <w:sz w:val="24"/>
          <w:highlight w:val="none"/>
          <w:lang w:val="en-US" w:eastAsia="zh-CN"/>
        </w:rPr>
        <w:t>........................ ........................................................5</w:t>
      </w:r>
    </w:p>
    <w:p w14:paraId="5F8AD33F">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二、收入决算情况说明</w:t>
      </w:r>
      <w:r>
        <w:rPr>
          <w:rFonts w:hint="eastAsia" w:eastAsia="宋体"/>
          <w:color w:val="auto"/>
          <w:sz w:val="24"/>
          <w:highlight w:val="none"/>
          <w:lang w:val="en-US" w:eastAsia="zh-CN"/>
        </w:rPr>
        <w:t>.................................................................................................5</w:t>
      </w:r>
    </w:p>
    <w:p w14:paraId="555F9DEC">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三、支出决算情况说明</w:t>
      </w:r>
      <w:r>
        <w:rPr>
          <w:rFonts w:hint="eastAsia" w:eastAsia="宋体"/>
          <w:color w:val="auto"/>
          <w:sz w:val="24"/>
          <w:highlight w:val="none"/>
          <w:lang w:val="en-US" w:eastAsia="zh-CN"/>
        </w:rPr>
        <w:t>.................................................................................................6</w:t>
      </w:r>
    </w:p>
    <w:p w14:paraId="2B06F68C">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四、财政拨款收入支出决算总体情况说明</w:t>
      </w:r>
      <w:r>
        <w:rPr>
          <w:rFonts w:hint="eastAsia" w:eastAsia="宋体"/>
          <w:color w:val="auto"/>
          <w:sz w:val="24"/>
          <w:highlight w:val="none"/>
          <w:lang w:val="en-US" w:eastAsia="zh-CN"/>
        </w:rPr>
        <w:t>.................................................................7</w:t>
      </w:r>
    </w:p>
    <w:p w14:paraId="3947B8DB">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五、一般公共预算财政拨款支出决算情况说明</w:t>
      </w:r>
      <w:r>
        <w:rPr>
          <w:rFonts w:hint="eastAsia" w:eastAsia="宋体"/>
          <w:color w:val="auto"/>
          <w:sz w:val="24"/>
          <w:highlight w:val="none"/>
          <w:lang w:val="en-US" w:eastAsia="zh-CN"/>
        </w:rPr>
        <w:t>.........................................................7</w:t>
      </w:r>
    </w:p>
    <w:p w14:paraId="780C0A93">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六、一般公共预算财政拨款基本支出决算情况说明</w:t>
      </w:r>
      <w:r>
        <w:rPr>
          <w:rFonts w:hint="eastAsia" w:eastAsia="宋体"/>
          <w:color w:val="auto"/>
          <w:sz w:val="24"/>
          <w:highlight w:val="none"/>
          <w:lang w:val="en-US" w:eastAsia="zh-CN"/>
        </w:rPr>
        <w:t>.................................................9</w:t>
      </w:r>
    </w:p>
    <w:p w14:paraId="3A53A119">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七、财政拨款</w:t>
      </w:r>
      <w:r>
        <w:rPr>
          <w:rFonts w:hint="eastAsia" w:eastAsia="宋体"/>
          <w:color w:val="auto"/>
          <w:sz w:val="24"/>
          <w:highlight w:val="none"/>
          <w:lang w:eastAsia="zh-CN"/>
        </w:rPr>
        <w:t>“</w:t>
      </w:r>
      <w:r>
        <w:rPr>
          <w:rFonts w:hint="eastAsia" w:eastAsia="宋体"/>
          <w:color w:val="auto"/>
          <w:sz w:val="24"/>
          <w:highlight w:val="none"/>
        </w:rPr>
        <w:t>三公”经费支出决算情况说明</w:t>
      </w:r>
      <w:r>
        <w:rPr>
          <w:rFonts w:hint="eastAsia" w:eastAsia="宋体"/>
          <w:color w:val="auto"/>
          <w:sz w:val="24"/>
          <w:highlight w:val="none"/>
          <w:lang w:val="en-US" w:eastAsia="zh-CN"/>
        </w:rPr>
        <w:t>........................................................10</w:t>
      </w:r>
    </w:p>
    <w:p w14:paraId="1CE86B41">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八、政府性基金预算支出决算情况说明</w:t>
      </w:r>
      <w:r>
        <w:rPr>
          <w:rFonts w:hint="eastAsia" w:eastAsia="宋体"/>
          <w:color w:val="auto"/>
          <w:sz w:val="24"/>
          <w:highlight w:val="none"/>
          <w:lang w:val="en-US" w:eastAsia="zh-CN"/>
        </w:rPr>
        <w:t>....................................................................11</w:t>
      </w:r>
    </w:p>
    <w:p w14:paraId="4E1F9AA7">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rPr>
        <w:t>九、</w:t>
      </w:r>
      <w:r>
        <w:rPr>
          <w:rFonts w:hint="eastAsia" w:eastAsia="宋体"/>
          <w:color w:val="auto"/>
          <w:sz w:val="24"/>
          <w:highlight w:val="none"/>
          <w:lang w:eastAsia="zh-CN"/>
        </w:rPr>
        <w:t>国</w:t>
      </w:r>
      <w:r>
        <w:rPr>
          <w:rFonts w:hint="eastAsia" w:eastAsia="宋体"/>
          <w:color w:val="auto"/>
          <w:sz w:val="24"/>
          <w:highlight w:val="none"/>
        </w:rPr>
        <w:t>有资本经营预算支出决算情况说明</w:t>
      </w:r>
      <w:r>
        <w:rPr>
          <w:rFonts w:hint="eastAsia" w:eastAsia="宋体"/>
          <w:color w:val="auto"/>
          <w:sz w:val="24"/>
          <w:highlight w:val="none"/>
          <w:lang w:val="en-US" w:eastAsia="zh-CN"/>
        </w:rPr>
        <w:t>................................................................11</w:t>
      </w:r>
    </w:p>
    <w:p w14:paraId="4FBB24E4">
      <w:pPr>
        <w:pStyle w:val="14"/>
        <w:tabs>
          <w:tab w:val="right" w:leader="dot" w:pos="8296"/>
        </w:tabs>
        <w:adjustRightInd w:val="0"/>
        <w:snapToGrid w:val="0"/>
        <w:spacing w:line="440" w:lineRule="exact"/>
        <w:jc w:val="left"/>
        <w:rPr>
          <w:rFonts w:hint="default" w:eastAsia="宋体"/>
          <w:color w:val="auto"/>
          <w:sz w:val="24"/>
          <w:highlight w:val="none"/>
          <w:lang w:val="en-US"/>
        </w:rPr>
      </w:pPr>
      <w:r>
        <w:rPr>
          <w:rFonts w:hint="eastAsia" w:eastAsia="宋体"/>
          <w:color w:val="auto"/>
          <w:sz w:val="24"/>
          <w:highlight w:val="none"/>
          <w:lang w:eastAsia="zh-CN"/>
        </w:rPr>
        <w:t>十</w:t>
      </w:r>
      <w:r>
        <w:rPr>
          <w:rFonts w:hint="eastAsia" w:eastAsia="宋体"/>
          <w:color w:val="auto"/>
          <w:sz w:val="24"/>
          <w:highlight w:val="none"/>
        </w:rPr>
        <w:t>、其他重要事项的情况说明</w:t>
      </w:r>
      <w:r>
        <w:rPr>
          <w:rFonts w:hint="eastAsia" w:eastAsia="宋体"/>
          <w:color w:val="auto"/>
          <w:sz w:val="24"/>
          <w:highlight w:val="none"/>
          <w:lang w:val="en-US" w:eastAsia="zh-CN"/>
        </w:rPr>
        <w:t>....................................................................................11</w:t>
      </w:r>
    </w:p>
    <w:p w14:paraId="7618B380">
      <w:pPr>
        <w:pStyle w:val="12"/>
        <w:tabs>
          <w:tab w:val="right" w:leader="dot" w:pos="8296"/>
        </w:tabs>
        <w:adjustRightInd w:val="0"/>
        <w:snapToGrid w:val="0"/>
        <w:spacing w:before="0"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ascii="黑体" w:hAnsi="黑体" w:eastAsia="黑体" w:cs="黑体"/>
          <w:color w:val="auto"/>
          <w:sz w:val="24"/>
          <w:highlight w:val="none"/>
        </w:rPr>
        <w:t>第三部分 名词解释</w:t>
      </w:r>
      <w:r>
        <w:rPr>
          <w:rFonts w:hint="eastAsia" w:ascii="Times New Roman" w:hAnsi="Times New Roman" w:eastAsia="宋体" w:cstheme="minorBidi"/>
          <w:color w:val="auto"/>
          <w:kern w:val="2"/>
          <w:sz w:val="24"/>
          <w:szCs w:val="21"/>
          <w:highlight w:val="none"/>
          <w:lang w:val="en-US" w:eastAsia="zh-CN" w:bidi="ar-SA"/>
        </w:rPr>
        <w:t>............................................................................................................14</w:t>
      </w:r>
    </w:p>
    <w:p w14:paraId="7F2F3E58">
      <w:pPr>
        <w:pStyle w:val="12"/>
        <w:tabs>
          <w:tab w:val="right" w:leader="dot" w:pos="8296"/>
        </w:tabs>
        <w:adjustRightInd w:val="0"/>
        <w:snapToGrid w:val="0"/>
        <w:spacing w:before="0" w:line="440" w:lineRule="exact"/>
        <w:jc w:val="left"/>
        <w:rPr>
          <w:rFonts w:hint="eastAsia" w:ascii="Times New Roman" w:hAnsi="Times New Roman" w:eastAsia="宋体" w:cstheme="minorBidi"/>
          <w:color w:val="auto"/>
          <w:kern w:val="2"/>
          <w:sz w:val="24"/>
          <w:szCs w:val="21"/>
          <w:highlight w:val="none"/>
          <w:lang w:val="en-US" w:eastAsia="zh-CN" w:bidi="ar-SA"/>
        </w:rPr>
      </w:pPr>
      <w:r>
        <w:rPr>
          <w:rFonts w:hint="eastAsia" w:ascii="黑体" w:hAnsi="黑体" w:eastAsia="黑体" w:cs="黑体"/>
          <w:color w:val="auto"/>
          <w:sz w:val="24"/>
          <w:highlight w:val="none"/>
        </w:rPr>
        <w:t>第四部分 附件</w:t>
      </w:r>
      <w:r>
        <w:rPr>
          <w:rFonts w:hint="eastAsia" w:ascii="Times New Roman" w:hAnsi="Times New Roman" w:eastAsia="宋体" w:cstheme="minorBidi"/>
          <w:color w:val="auto"/>
          <w:kern w:val="2"/>
          <w:sz w:val="24"/>
          <w:szCs w:val="21"/>
          <w:highlight w:val="none"/>
          <w:lang w:val="en-US" w:eastAsia="zh-CN" w:bidi="ar-SA"/>
        </w:rPr>
        <w:t>....................................................................................................................17</w:t>
      </w:r>
    </w:p>
    <w:p w14:paraId="7802DC5E">
      <w:pPr>
        <w:pStyle w:val="12"/>
        <w:tabs>
          <w:tab w:val="right" w:leader="dot" w:pos="8296"/>
        </w:tabs>
        <w:adjustRightInd w:val="0"/>
        <w:snapToGrid w:val="0"/>
        <w:spacing w:before="0"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ascii="黑体" w:hAnsi="黑体" w:eastAsia="黑体" w:cs="黑体"/>
          <w:color w:val="auto"/>
          <w:sz w:val="24"/>
          <w:highlight w:val="none"/>
        </w:rPr>
        <w:t>第五部分 附表</w:t>
      </w:r>
      <w:r>
        <w:rPr>
          <w:rFonts w:hint="eastAsia" w:ascii="Times New Roman" w:hAnsi="Times New Roman" w:eastAsia="宋体" w:cstheme="minorBidi"/>
          <w:color w:val="auto"/>
          <w:kern w:val="2"/>
          <w:sz w:val="24"/>
          <w:szCs w:val="21"/>
          <w:highlight w:val="none"/>
          <w:lang w:val="en-US" w:eastAsia="zh-CN" w:bidi="ar-SA"/>
        </w:rPr>
        <w:t>................................................................................................................33</w:t>
      </w:r>
    </w:p>
    <w:p w14:paraId="75C83068">
      <w:pPr>
        <w:pStyle w:val="14"/>
        <w:tabs>
          <w:tab w:val="right" w:leader="dot" w:pos="8296"/>
        </w:tabs>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4971512C">
      <w:pPr>
        <w:pStyle w:val="14"/>
        <w:tabs>
          <w:tab w:val="right" w:leader="dot" w:pos="8296"/>
        </w:tabs>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0AAC9518">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三、支出决算表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3BD579F4">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四、财政拨款收入支出决算总表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14FEFF7E">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五、财政拨款支出决算明细表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7A61A705">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六、一般公共预算财政拨款支出决算表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131EB03F">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七、一般公共预算财政拨款支出决算明细表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6B53473C">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0459C053">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九、一般公共预算财政拨款项目支出决算表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3EDE90DF">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十、政府性基金预算财政拨款收入支出决算表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42F97233">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十一、国有资本经营预算财政拨款收入支出决算表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050C507B">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0AA77616">
      <w:pPr>
        <w:pStyle w:val="14"/>
        <w:tabs>
          <w:tab w:val="right" w:leader="dot" w:pos="8296"/>
        </w:tabs>
        <w:adjustRightInd w:val="0"/>
        <w:snapToGrid w:val="0"/>
        <w:spacing w:line="440" w:lineRule="exact"/>
        <w:jc w:val="left"/>
        <w:rPr>
          <w:rFonts w:hint="default" w:ascii="Times New Roman" w:hAnsi="Times New Roman" w:eastAsia="宋体" w:cstheme="minorBidi"/>
          <w:color w:val="auto"/>
          <w:kern w:val="2"/>
          <w:sz w:val="24"/>
          <w:szCs w:val="21"/>
          <w:highlight w:val="none"/>
          <w:lang w:val="en-US" w:eastAsia="zh-CN" w:bidi="ar-SA"/>
        </w:rPr>
      </w:pPr>
      <w:r>
        <w:rPr>
          <w:rFonts w:hint="eastAsia"/>
          <w:color w:val="auto"/>
          <w:sz w:val="24"/>
          <w:highlight w:val="none"/>
        </w:rPr>
        <w:t>十三、财政拨款“三公”经费支出决算表</w:t>
      </w:r>
      <w:r>
        <w:rPr>
          <w:rFonts w:hint="eastAsia" w:ascii="Times New Roman" w:hAnsi="Times New Roman" w:eastAsia="宋体" w:cstheme="minorBidi"/>
          <w:color w:val="auto"/>
          <w:kern w:val="2"/>
          <w:sz w:val="24"/>
          <w:szCs w:val="21"/>
          <w:highlight w:val="none"/>
          <w:lang w:val="en-US" w:eastAsia="zh-CN" w:bidi="ar-SA"/>
        </w:rPr>
        <w:t>..................</w:t>
      </w:r>
      <w:r>
        <w:rPr>
          <w:rFonts w:hint="eastAsia" w:eastAsia="宋体" w:cstheme="minorBidi"/>
          <w:color w:val="auto"/>
          <w:kern w:val="2"/>
          <w:sz w:val="24"/>
          <w:szCs w:val="21"/>
          <w:highlight w:val="none"/>
          <w:lang w:val="en-US" w:eastAsia="zh-CN" w:bidi="ar-SA"/>
        </w:rPr>
        <w:t>...................................</w:t>
      </w:r>
      <w:r>
        <w:rPr>
          <w:rFonts w:hint="eastAsia" w:ascii="Times New Roman" w:hAnsi="Times New Roman" w:eastAsia="宋体" w:cstheme="minorBidi"/>
          <w:color w:val="auto"/>
          <w:kern w:val="2"/>
          <w:sz w:val="24"/>
          <w:szCs w:val="21"/>
          <w:highlight w:val="none"/>
          <w:lang w:val="en-US" w:eastAsia="zh-CN" w:bidi="ar-SA"/>
        </w:rPr>
        <w:t>.....33</w:t>
      </w:r>
    </w:p>
    <w:p w14:paraId="1660EC93">
      <w:pPr>
        <w:pStyle w:val="15"/>
        <w:keepNext w:val="0"/>
        <w:keepLines w:val="0"/>
        <w:widowControl/>
        <w:suppressLineNumbers w:val="0"/>
        <w:shd w:val="clear" w:fill="FFFFFF"/>
        <w:spacing w:before="180" w:beforeAutospacing="0" w:after="180" w:afterAutospacing="0" w:line="22"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p>
    <w:p w14:paraId="4A9EE2FD">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b w:val="0"/>
          <w:i w:val="0"/>
          <w:caps w:val="0"/>
          <w:color w:val="333333"/>
          <w:spacing w:val="0"/>
          <w:sz w:val="24"/>
          <w:szCs w:val="24"/>
          <w:u w:val="none"/>
          <w:shd w:val="clear" w:fill="FFFFFF"/>
        </w:rPr>
      </w:pPr>
      <w:bookmarkStart w:id="11" w:name="_Toc15377196"/>
      <w:bookmarkEnd w:id="11"/>
      <w:bookmarkStart w:id="12" w:name="_Toc15396599"/>
      <w:r>
        <w:rPr>
          <w:rFonts w:hint="eastAsia" w:ascii="宋体" w:hAnsi="宋体" w:eastAsia="宋体" w:cs="宋体"/>
          <w:b w:val="0"/>
          <w:i w:val="0"/>
          <w:caps w:val="0"/>
          <w:color w:val="333333"/>
          <w:spacing w:val="0"/>
          <w:sz w:val="24"/>
          <w:szCs w:val="24"/>
          <w:u w:val="none"/>
          <w:shd w:val="clear" w:fill="FFFFFF"/>
        </w:rPr>
        <w:br w:type="textWrapping"/>
      </w:r>
      <w:bookmarkEnd w:id="12"/>
    </w:p>
    <w:p w14:paraId="552B9245">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b w:val="0"/>
          <w:i w:val="0"/>
          <w:caps w:val="0"/>
          <w:color w:val="333333"/>
          <w:spacing w:val="0"/>
          <w:sz w:val="24"/>
          <w:szCs w:val="24"/>
          <w:u w:val="none"/>
          <w:shd w:val="clear" w:fill="FFFFFF"/>
        </w:rPr>
      </w:pPr>
    </w:p>
    <w:p w14:paraId="37B6A290">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b w:val="0"/>
          <w:i w:val="0"/>
          <w:caps w:val="0"/>
          <w:color w:val="333333"/>
          <w:spacing w:val="0"/>
          <w:sz w:val="24"/>
          <w:szCs w:val="24"/>
          <w:u w:val="none"/>
          <w:shd w:val="clear" w:fill="FFFFFF"/>
        </w:rPr>
      </w:pPr>
    </w:p>
    <w:p w14:paraId="5736F918">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b w:val="0"/>
          <w:i w:val="0"/>
          <w:caps w:val="0"/>
          <w:color w:val="333333"/>
          <w:spacing w:val="0"/>
          <w:sz w:val="24"/>
          <w:szCs w:val="24"/>
          <w:u w:val="none"/>
          <w:shd w:val="clear" w:fill="FFFFFF"/>
        </w:rPr>
      </w:pPr>
    </w:p>
    <w:p w14:paraId="21868365">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b w:val="0"/>
          <w:i w:val="0"/>
          <w:caps w:val="0"/>
          <w:color w:val="333333"/>
          <w:spacing w:val="0"/>
          <w:sz w:val="24"/>
          <w:szCs w:val="24"/>
          <w:u w:val="none"/>
          <w:shd w:val="clear" w:fill="FFFFFF"/>
        </w:rPr>
      </w:pPr>
    </w:p>
    <w:p w14:paraId="40A50FD3">
      <w:pPr>
        <w:pStyle w:val="15"/>
        <w:keepNext w:val="0"/>
        <w:keepLines w:val="0"/>
        <w:widowControl/>
        <w:suppressLineNumbers w:val="0"/>
        <w:shd w:val="clear" w:fill="FFFFFF"/>
        <w:spacing w:before="180" w:beforeAutospacing="0" w:after="180" w:afterAutospacing="0" w:line="22" w:lineRule="atLeast"/>
        <w:ind w:right="0"/>
        <w:jc w:val="both"/>
        <w:rPr>
          <w:rFonts w:hint="eastAsia" w:ascii="宋体" w:hAnsi="宋体" w:eastAsia="宋体" w:cs="宋体"/>
          <w:b w:val="0"/>
          <w:i w:val="0"/>
          <w:caps w:val="0"/>
          <w:color w:val="333333"/>
          <w:spacing w:val="0"/>
          <w:sz w:val="24"/>
          <w:szCs w:val="24"/>
          <w:u w:val="none"/>
          <w:shd w:val="clear" w:fill="FFFFFF"/>
        </w:rPr>
      </w:pPr>
    </w:p>
    <w:p w14:paraId="1ADBCB35">
      <w:pPr>
        <w:pStyle w:val="15"/>
        <w:keepNext w:val="0"/>
        <w:keepLines w:val="0"/>
        <w:widowControl/>
        <w:suppressLineNumbers w:val="0"/>
        <w:shd w:val="clear" w:fill="FFFFFF"/>
        <w:spacing w:before="180" w:beforeAutospacing="0" w:after="180" w:afterAutospacing="0" w:line="22" w:lineRule="atLeast"/>
        <w:ind w:left="0" w:right="0" w:firstLine="420"/>
        <w:jc w:val="center"/>
        <w:rPr>
          <w:rFonts w:hint="eastAsia" w:ascii="宋体" w:hAnsi="宋体" w:eastAsia="宋体" w:cs="宋体"/>
          <w:i w:val="0"/>
          <w:caps w:val="0"/>
          <w:color w:val="333333"/>
          <w:spacing w:val="0"/>
          <w:sz w:val="24"/>
          <w:szCs w:val="24"/>
        </w:rPr>
      </w:pPr>
      <w:r>
        <w:rPr>
          <w:rFonts w:hint="eastAsia" w:ascii="方正小标宋简体" w:hAnsi="黑体" w:eastAsia="方正小标宋简体"/>
          <w:bCs/>
          <w:sz w:val="44"/>
          <w:szCs w:val="44"/>
        </w:rPr>
        <w:t xml:space="preserve">第一部分 </w:t>
      </w:r>
      <w:r>
        <w:rPr>
          <w:rStyle w:val="25"/>
          <w:rFonts w:hint="eastAsia" w:ascii="方正小标宋简体" w:hAnsi="黑体" w:eastAsia="方正小标宋简体"/>
        </w:rPr>
        <w:t>部门概况</w:t>
      </w:r>
    </w:p>
    <w:p w14:paraId="360CFE4B">
      <w:pPr>
        <w:pStyle w:val="4"/>
        <w:keepNext w:val="0"/>
        <w:keepLines w:val="0"/>
        <w:pageBreakBefore w:val="0"/>
        <w:widowControl w:val="0"/>
        <w:kinsoku/>
        <w:wordWrap/>
        <w:overflowPunct/>
        <w:topLinePunct w:val="0"/>
        <w:autoSpaceDE/>
        <w:autoSpaceDN/>
        <w:bidi w:val="0"/>
        <w:adjustRightInd/>
        <w:snapToGrid/>
        <w:spacing w:beforeAutospacing="0" w:afterAutospacing="0" w:line="556" w:lineRule="exact"/>
        <w:ind w:firstLine="720" w:firstLineChars="200"/>
        <w:textAlignment w:val="auto"/>
        <w:rPr>
          <w:rStyle w:val="24"/>
          <w:rFonts w:hint="eastAsia" w:ascii="仿宋" w:hAnsi="仿宋" w:eastAsia="仿宋"/>
          <w:b w:val="0"/>
        </w:rPr>
      </w:pPr>
      <w:bookmarkStart w:id="13" w:name="_Toc15377198"/>
      <w:bookmarkEnd w:id="13"/>
      <w:bookmarkStart w:id="14" w:name="_Toc15377197"/>
      <w:bookmarkEnd w:id="14"/>
      <w:bookmarkStart w:id="15" w:name="_Toc15396600"/>
      <w:bookmarkStart w:id="16" w:name="_Toc15378445"/>
      <w:r>
        <w:rPr>
          <w:rFonts w:hint="eastAsia" w:ascii="黑体" w:eastAsia="黑体"/>
          <w:b w:val="0"/>
          <w:bCs/>
          <w:color w:val="000000"/>
        </w:rPr>
        <w:t>一、</w:t>
      </w:r>
      <w:bookmarkEnd w:id="15"/>
      <w:r>
        <w:rPr>
          <w:rFonts w:hint="eastAsia" w:ascii="黑体" w:hAnsi="黑体" w:eastAsia="黑体"/>
          <w:b w:val="0"/>
          <w:color w:val="auto"/>
          <w:highlight w:val="none"/>
          <w:lang w:eastAsia="zh-CN"/>
        </w:rPr>
        <w:t>部门职责</w:t>
      </w:r>
    </w:p>
    <w:bookmarkEnd w:id="16"/>
    <w:p w14:paraId="6EFCA555">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17" w:name="_Toc15378446"/>
      <w:bookmarkEnd w:id="17"/>
      <w:bookmarkStart w:id="18" w:name="_Toc15377199"/>
      <w:bookmarkEnd w:id="18"/>
      <w:r>
        <w:rPr>
          <w:rFonts w:hint="eastAsia" w:ascii="Times New Roman" w:hAnsi="Times New Roman" w:eastAsia="仿宋_GB2312" w:cs="Times New Roman"/>
          <w:color w:val="auto"/>
          <w:sz w:val="32"/>
          <w:szCs w:val="32"/>
          <w:lang w:val="en-US" w:eastAsia="zh-CN"/>
        </w:rPr>
        <w:t>负责县委全会、县政府全委会、县委常委会、县政府常务会等重要会议贯彻落实情况的督查工作。负责县委、县政府办公室重要文件贯彻落实情况的督查工作。负责上级党委、政府领导同志以及县委、县政府领导同志重要批示事项贯彻落实情况的督查工作。牵头组织开展县委、县政府专项督查活动。负责全县目标绩效管理工作。负责县委、县政府民生工程的日常联络和督促检查工作。组织办理涉及党委、政府工作的人大代表议案、建议和政协委员提案、建议。协调督促有关方面落实县委优化营商环境工作领导小组决定事项、工作部署和要求;与上级营商环境治理机构的工作协调联系;完成上级交办的其他任务。</w:t>
      </w:r>
    </w:p>
    <w:p w14:paraId="7AF4881E">
      <w:pPr>
        <w:pStyle w:val="21"/>
        <w:spacing w:line="576" w:lineRule="exact"/>
        <w:rPr>
          <w:rStyle w:val="24"/>
          <w:rFonts w:hint="eastAsia"/>
          <w:b w:val="0"/>
        </w:rPr>
      </w:pPr>
      <w:r>
        <w:rPr>
          <w:rFonts w:hint="eastAsia" w:ascii="黑体" w:eastAsia="黑体"/>
          <w:b w:val="0"/>
          <w:bCs/>
          <w:color w:val="000000"/>
          <w:lang w:val="en-US" w:eastAsia="zh-CN"/>
        </w:rPr>
        <w:t>二、</w:t>
      </w:r>
      <w:r>
        <w:rPr>
          <w:rFonts w:hint="eastAsia" w:ascii="黑体" w:eastAsia="黑体"/>
          <w:b w:val="0"/>
          <w:bCs/>
          <w:color w:val="000000"/>
        </w:rPr>
        <w:t>机</w:t>
      </w:r>
      <w:r>
        <w:rPr>
          <w:rStyle w:val="24"/>
          <w:rFonts w:hint="eastAsia" w:ascii="黑体" w:eastAsia="黑体"/>
          <w:b w:val="0"/>
        </w:rPr>
        <w:t>构设置</w:t>
      </w:r>
    </w:p>
    <w:p w14:paraId="52EBE185">
      <w:pPr>
        <w:pStyle w:val="15"/>
        <w:keepNext w:val="0"/>
        <w:keepLines w:val="0"/>
        <w:widowControl/>
        <w:suppressLineNumbers w:val="0"/>
        <w:shd w:val="clear" w:fill="FFFFFF"/>
        <w:spacing w:before="180" w:beforeAutospacing="0" w:after="180" w:afterAutospacing="0" w:line="22" w:lineRule="atLeast"/>
        <w:ind w:left="0" w:right="0" w:firstLine="42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中共蓬溪县委目标绩效管理办公室下属二级单位0个，其中行政单位1个，参照公务员法管理的事业单位0个，其他事业单位1个。</w:t>
      </w:r>
    </w:p>
    <w:p w14:paraId="699E4B49">
      <w:pPr>
        <w:widowControl/>
        <w:spacing w:line="576" w:lineRule="exact"/>
        <w:jc w:val="center"/>
        <w:rPr>
          <w:rFonts w:hint="eastAsia" w:ascii="宋体" w:hAnsi="宋体" w:eastAsia="宋体" w:cs="宋体"/>
          <w:i w:val="0"/>
          <w:caps w:val="0"/>
          <w:color w:val="333333"/>
          <w:spacing w:val="0"/>
          <w:sz w:val="24"/>
          <w:szCs w:val="24"/>
          <w:shd w:val="clear" w:fill="FFFFFF"/>
        </w:rPr>
      </w:pPr>
      <w:bookmarkStart w:id="19" w:name="_Toc15377432"/>
      <w:bookmarkEnd w:id="19"/>
      <w:bookmarkStart w:id="20" w:name="_Toc15377201"/>
      <w:bookmarkEnd w:id="20"/>
      <w:bookmarkStart w:id="21" w:name="_Toc15306275"/>
      <w:bookmarkEnd w:id="21"/>
    </w:p>
    <w:p w14:paraId="30429590">
      <w:pPr>
        <w:widowControl/>
        <w:spacing w:line="576" w:lineRule="exact"/>
        <w:jc w:val="center"/>
        <w:rPr>
          <w:rFonts w:hint="eastAsia" w:ascii="宋体" w:hAnsi="宋体" w:eastAsia="宋体" w:cs="宋体"/>
          <w:i w:val="0"/>
          <w:caps w:val="0"/>
          <w:color w:val="333333"/>
          <w:spacing w:val="0"/>
          <w:sz w:val="24"/>
          <w:szCs w:val="24"/>
          <w:shd w:val="clear" w:fill="FFFFFF"/>
        </w:rPr>
      </w:pPr>
    </w:p>
    <w:p w14:paraId="40304920">
      <w:pPr>
        <w:widowControl/>
        <w:spacing w:line="576" w:lineRule="exact"/>
        <w:jc w:val="center"/>
        <w:rPr>
          <w:rFonts w:hint="eastAsia" w:ascii="宋体" w:hAnsi="宋体" w:eastAsia="宋体" w:cs="宋体"/>
          <w:i w:val="0"/>
          <w:caps w:val="0"/>
          <w:color w:val="333333"/>
          <w:spacing w:val="0"/>
          <w:sz w:val="24"/>
          <w:szCs w:val="24"/>
          <w:shd w:val="clear" w:fill="FFFFFF"/>
        </w:rPr>
      </w:pPr>
    </w:p>
    <w:p w14:paraId="7998B39C">
      <w:pPr>
        <w:widowControl/>
        <w:spacing w:line="576" w:lineRule="exact"/>
        <w:jc w:val="center"/>
        <w:rPr>
          <w:rFonts w:hint="eastAsia" w:ascii="宋体" w:hAnsi="宋体" w:eastAsia="宋体" w:cs="宋体"/>
          <w:i w:val="0"/>
          <w:caps w:val="0"/>
          <w:color w:val="333333"/>
          <w:spacing w:val="0"/>
          <w:sz w:val="24"/>
          <w:szCs w:val="24"/>
          <w:shd w:val="clear" w:fill="FFFFFF"/>
        </w:rPr>
      </w:pPr>
    </w:p>
    <w:p w14:paraId="604F44B5">
      <w:pPr>
        <w:widowControl/>
        <w:spacing w:line="576" w:lineRule="exact"/>
        <w:jc w:val="both"/>
        <w:rPr>
          <w:rFonts w:hint="eastAsia" w:ascii="宋体" w:hAnsi="宋体" w:eastAsia="宋体" w:cs="宋体"/>
          <w:i w:val="0"/>
          <w:caps w:val="0"/>
          <w:color w:val="333333"/>
          <w:spacing w:val="0"/>
          <w:sz w:val="24"/>
          <w:szCs w:val="24"/>
          <w:shd w:val="clear" w:fill="FFFFFF"/>
        </w:rPr>
      </w:pPr>
    </w:p>
    <w:p w14:paraId="7BDB0660">
      <w:pPr>
        <w:widowControl/>
        <w:spacing w:line="576" w:lineRule="exact"/>
        <w:jc w:val="center"/>
        <w:rPr>
          <w:rStyle w:val="25"/>
          <w:rFonts w:hint="eastAsia" w:ascii="方正小标宋简体" w:hAnsi="黑体" w:eastAsia="方正小标宋简体"/>
        </w:rPr>
      </w:pPr>
      <w:bookmarkStart w:id="22" w:name="_Toc15377204"/>
      <w:bookmarkEnd w:id="22"/>
      <w:bookmarkStart w:id="23" w:name="_Toc15396602"/>
      <w:r>
        <w:rPr>
          <w:rFonts w:hint="eastAsia" w:ascii="方正小标宋简体" w:hAnsi="黑体" w:eastAsia="方正小标宋简体"/>
          <w:bCs/>
          <w:color w:val="000000"/>
          <w:sz w:val="44"/>
          <w:szCs w:val="44"/>
        </w:rPr>
        <w:t>第二部分</w:t>
      </w:r>
      <w:bookmarkEnd w:id="23"/>
      <w:r>
        <w:rPr>
          <w:rFonts w:hint="eastAsia" w:ascii="方正小标宋简体" w:hAnsi="黑体" w:eastAsia="方正小标宋简体"/>
          <w:color w:val="000000"/>
          <w:sz w:val="44"/>
          <w:szCs w:val="44"/>
        </w:rPr>
        <w:t xml:space="preserve"> </w:t>
      </w:r>
      <w:r>
        <w:rPr>
          <w:rStyle w:val="25"/>
          <w:rFonts w:hint="eastAsia" w:ascii="方正小标宋简体" w:hAnsi="黑体" w:eastAsia="方正小标宋简体"/>
        </w:rPr>
        <w:t>20</w:t>
      </w:r>
      <w:r>
        <w:rPr>
          <w:rStyle w:val="25"/>
          <w:rFonts w:hint="eastAsia" w:ascii="方正小标宋简体" w:hAnsi="黑体" w:eastAsia="方正小标宋简体"/>
          <w:lang w:val="en-US" w:eastAsia="zh-CN"/>
        </w:rPr>
        <w:t>24</w:t>
      </w:r>
      <w:r>
        <w:rPr>
          <w:rStyle w:val="25"/>
          <w:rFonts w:hint="eastAsia" w:ascii="方正小标宋简体" w:hAnsi="黑体" w:eastAsia="方正小标宋简体"/>
        </w:rPr>
        <w:t>年度部门决算情况说明</w:t>
      </w:r>
    </w:p>
    <w:p w14:paraId="1EBADE21">
      <w:pPr>
        <w:pStyle w:val="13"/>
        <w:widowControl w:val="0"/>
        <w:numPr>
          <w:ilvl w:val="0"/>
          <w:numId w:val="0"/>
        </w:numPr>
        <w:snapToGrid w:val="0"/>
        <w:jc w:val="left"/>
        <w:rPr>
          <w:rFonts w:hint="eastAsia"/>
          <w:lang w:val="en-US" w:eastAsia="zh-CN"/>
        </w:rPr>
      </w:pPr>
      <w:bookmarkStart w:id="24" w:name="_Toc15377205"/>
      <w:bookmarkEnd w:id="24"/>
    </w:p>
    <w:p w14:paraId="3796C746">
      <w:pPr>
        <w:pStyle w:val="27"/>
        <w:numPr>
          <w:ilvl w:val="0"/>
          <w:numId w:val="1"/>
        </w:numPr>
        <w:spacing w:line="600" w:lineRule="exact"/>
        <w:ind w:firstLineChars="0"/>
        <w:outlineLvl w:val="1"/>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收入支出决算总体情况说明</w:t>
      </w:r>
    </w:p>
    <w:p w14:paraId="26CBAD90">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344.37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39.64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color w:val="auto"/>
          <w:sz w:val="32"/>
          <w:szCs w:val="32"/>
          <w:lang w:val="en-US" w:eastAsia="zh-CN"/>
        </w:rPr>
        <w:t>增加人员和督查督办工作</w:t>
      </w:r>
      <w:r>
        <w:rPr>
          <w:rFonts w:hint="eastAsia" w:ascii="仿宋" w:hAnsi="仿宋" w:eastAsia="仿宋"/>
          <w:color w:val="auto"/>
          <w:sz w:val="32"/>
          <w:szCs w:val="32"/>
          <w:highlight w:val="none"/>
          <w:lang w:eastAsia="zh-CN"/>
        </w:rPr>
        <w:t>。</w:t>
      </w:r>
    </w:p>
    <w:p w14:paraId="3970199C">
      <w:pPr>
        <w:pStyle w:val="15"/>
        <w:keepNext w:val="0"/>
        <w:keepLines w:val="0"/>
        <w:widowControl/>
        <w:suppressLineNumbers w:val="0"/>
        <w:shd w:val="clear" w:fill="FFFFFF"/>
        <w:spacing w:before="180" w:beforeAutospacing="0" w:after="180" w:afterAutospacing="0" w:line="22"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（图1：收、支决算总计变动情况图）</w:t>
      </w:r>
    </w:p>
    <w:p w14:paraId="22CB53FB">
      <w:pPr>
        <w:spacing w:line="576" w:lineRule="exact"/>
        <w:ind w:firstLine="640" w:firstLineChars="200"/>
        <w:outlineLvl w:val="2"/>
        <w:rPr>
          <w:rFonts w:hint="eastAsia" w:ascii="黑体" w:hAnsi="黑体" w:eastAsia="黑体" w:cs="黑体"/>
          <w:b/>
          <w:bCs/>
          <w:color w:val="000000"/>
          <w:sz w:val="32"/>
          <w:szCs w:val="32"/>
          <w:lang w:val="en-US" w:eastAsia="zh-CN"/>
        </w:rPr>
      </w:pPr>
      <w:bookmarkStart w:id="25" w:name="_Toc15377206"/>
      <w:bookmarkEnd w:id="25"/>
      <w:bookmarkStart w:id="26" w:name="_Toc15396604"/>
      <w:r>
        <w:rPr>
          <w:rFonts w:hint="eastAsia" w:ascii="Times New Roman" w:hAnsi="Times New Roman" w:eastAsia="仿宋_GB2312" w:cs="Times New Roman"/>
          <w:color w:val="auto"/>
          <w:sz w:val="32"/>
          <w:szCs w:val="32"/>
          <w:lang w:eastAsia="zh-CN"/>
        </w:rPr>
        <w:drawing>
          <wp:anchor distT="0" distB="0" distL="114300" distR="114300" simplePos="0" relativeHeight="251661312" behindDoc="0" locked="0" layoutInCell="1" allowOverlap="1">
            <wp:simplePos x="0" y="0"/>
            <wp:positionH relativeFrom="column">
              <wp:posOffset>125730</wp:posOffset>
            </wp:positionH>
            <wp:positionV relativeFrom="paragraph">
              <wp:posOffset>45720</wp:posOffset>
            </wp:positionV>
            <wp:extent cx="5058410" cy="2810510"/>
            <wp:effectExtent l="4445" t="4445" r="12065" b="1968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4BC8451B">
      <w:pPr>
        <w:spacing w:line="576" w:lineRule="exact"/>
        <w:ind w:firstLine="643" w:firstLineChars="200"/>
        <w:outlineLvl w:val="2"/>
        <w:rPr>
          <w:rFonts w:hint="eastAsia" w:ascii="黑体" w:hAnsi="黑体" w:eastAsia="黑体" w:cs="黑体"/>
          <w:b/>
          <w:bCs/>
          <w:color w:val="000000"/>
          <w:sz w:val="32"/>
          <w:szCs w:val="32"/>
          <w:lang w:val="en-US" w:eastAsia="zh-CN"/>
        </w:rPr>
      </w:pPr>
    </w:p>
    <w:p w14:paraId="642131C5">
      <w:pPr>
        <w:spacing w:line="576" w:lineRule="exact"/>
        <w:ind w:firstLine="643" w:firstLineChars="200"/>
        <w:outlineLvl w:val="2"/>
        <w:rPr>
          <w:rFonts w:hint="eastAsia" w:ascii="黑体" w:hAnsi="黑体" w:eastAsia="黑体" w:cs="黑体"/>
          <w:b/>
          <w:bCs/>
          <w:color w:val="000000"/>
          <w:sz w:val="32"/>
          <w:szCs w:val="32"/>
          <w:lang w:val="en-US" w:eastAsia="zh-CN"/>
        </w:rPr>
      </w:pPr>
    </w:p>
    <w:p w14:paraId="11093F45">
      <w:pPr>
        <w:spacing w:line="576" w:lineRule="exact"/>
        <w:ind w:firstLine="643" w:firstLineChars="200"/>
        <w:outlineLvl w:val="2"/>
        <w:rPr>
          <w:rFonts w:hint="eastAsia" w:ascii="黑体" w:hAnsi="黑体" w:eastAsia="黑体" w:cs="黑体"/>
          <w:b/>
          <w:bCs/>
          <w:color w:val="000000"/>
          <w:sz w:val="32"/>
          <w:szCs w:val="32"/>
          <w:lang w:val="en-US" w:eastAsia="zh-CN"/>
        </w:rPr>
      </w:pPr>
    </w:p>
    <w:p w14:paraId="7E9FF1AA">
      <w:pPr>
        <w:spacing w:line="576" w:lineRule="exact"/>
        <w:ind w:firstLine="643" w:firstLineChars="200"/>
        <w:outlineLvl w:val="2"/>
        <w:rPr>
          <w:rFonts w:hint="eastAsia" w:ascii="黑体" w:hAnsi="黑体" w:eastAsia="黑体" w:cs="黑体"/>
          <w:b/>
          <w:bCs/>
          <w:color w:val="000000"/>
          <w:sz w:val="32"/>
          <w:szCs w:val="32"/>
          <w:lang w:val="en-US" w:eastAsia="zh-CN"/>
        </w:rPr>
      </w:pPr>
    </w:p>
    <w:p w14:paraId="33E32157">
      <w:pPr>
        <w:spacing w:line="576" w:lineRule="exact"/>
        <w:ind w:firstLine="643" w:firstLineChars="200"/>
        <w:outlineLvl w:val="2"/>
        <w:rPr>
          <w:rFonts w:hint="eastAsia" w:ascii="黑体" w:hAnsi="黑体" w:eastAsia="黑体" w:cs="黑体"/>
          <w:b/>
          <w:bCs/>
          <w:color w:val="000000"/>
          <w:sz w:val="32"/>
          <w:szCs w:val="32"/>
          <w:lang w:val="en-US" w:eastAsia="zh-CN"/>
        </w:rPr>
      </w:pPr>
    </w:p>
    <w:p w14:paraId="3F4774C7">
      <w:pPr>
        <w:spacing w:line="576" w:lineRule="exact"/>
        <w:ind w:firstLine="643" w:firstLineChars="200"/>
        <w:outlineLvl w:val="2"/>
        <w:rPr>
          <w:rFonts w:hint="eastAsia" w:ascii="黑体" w:hAnsi="黑体" w:eastAsia="黑体" w:cs="黑体"/>
          <w:b/>
          <w:bCs/>
          <w:color w:val="000000"/>
          <w:sz w:val="32"/>
          <w:szCs w:val="32"/>
          <w:lang w:val="en-US" w:eastAsia="zh-CN"/>
        </w:rPr>
      </w:pPr>
    </w:p>
    <w:p w14:paraId="6046D40D">
      <w:pPr>
        <w:spacing w:line="576" w:lineRule="exact"/>
        <w:ind w:firstLine="643" w:firstLineChars="200"/>
        <w:outlineLvl w:val="2"/>
        <w:rPr>
          <w:rFonts w:hint="eastAsia" w:ascii="黑体" w:hAnsi="黑体" w:eastAsia="黑体" w:cs="黑体"/>
          <w:b/>
          <w:bCs/>
          <w:color w:val="000000"/>
          <w:sz w:val="32"/>
          <w:szCs w:val="32"/>
          <w:lang w:val="en-US" w:eastAsia="zh-CN"/>
        </w:rPr>
      </w:pPr>
    </w:p>
    <w:p w14:paraId="52134C8E">
      <w:pPr>
        <w:spacing w:line="576" w:lineRule="exact"/>
        <w:ind w:firstLine="643" w:firstLineChars="200"/>
        <w:outlineLvl w:val="2"/>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二、收</w:t>
      </w:r>
      <w:bookmarkEnd w:id="26"/>
      <w:r>
        <w:rPr>
          <w:rFonts w:hint="eastAsia" w:ascii="黑体" w:hAnsi="黑体" w:eastAsia="黑体" w:cs="黑体"/>
          <w:b/>
          <w:bCs/>
          <w:color w:val="000000"/>
          <w:sz w:val="32"/>
          <w:szCs w:val="32"/>
          <w:lang w:val="en-US" w:eastAsia="zh-CN"/>
        </w:rPr>
        <w:t>入决算情况说明</w:t>
      </w:r>
    </w:p>
    <w:p w14:paraId="0CEA9D15">
      <w:pPr>
        <w:spacing w:line="576" w:lineRule="exact"/>
        <w:ind w:firstLine="640" w:firstLineChars="200"/>
        <w:outlineLvl w:val="2"/>
        <w:rPr>
          <w:rFonts w:hint="eastAsia" w:ascii="仿宋_GB2312" w:hAnsi="仿宋" w:eastAsia="仿宋_GB2312" w:cs="Times New Roman"/>
          <w:color w:val="000000"/>
          <w:kern w:val="2"/>
          <w:sz w:val="32"/>
          <w:szCs w:val="32"/>
          <w:lang w:val="en-US" w:eastAsia="zh-CN" w:bidi="ar-SA"/>
        </w:rPr>
      </w:pPr>
      <w:r>
        <w:rPr>
          <w:rFonts w:hint="eastAsia" w:ascii="仿宋" w:hAnsi="仿宋" w:eastAsia="仿宋" w:cs="仿宋"/>
          <w:b w:val="0"/>
          <w:bCs w:val="0"/>
          <w:color w:val="000000"/>
          <w:sz w:val="32"/>
          <w:szCs w:val="32"/>
          <w:lang w:val="en-US" w:eastAsia="zh-CN"/>
        </w:rPr>
        <w:t>2024年本年收入合计</w:t>
      </w:r>
      <w:r>
        <w:rPr>
          <w:rFonts w:hint="eastAsia" w:ascii="仿宋" w:hAnsi="仿宋" w:eastAsia="仿宋"/>
          <w:color w:val="auto"/>
          <w:sz w:val="32"/>
          <w:szCs w:val="32"/>
          <w:highlight w:val="none"/>
          <w:lang w:val="en-US" w:eastAsia="zh-CN"/>
        </w:rPr>
        <w:t>344.37</w:t>
      </w:r>
      <w:r>
        <w:rPr>
          <w:rFonts w:hint="eastAsia" w:ascii="仿宋" w:hAnsi="仿宋" w:eastAsia="仿宋" w:cs="仿宋"/>
          <w:b w:val="0"/>
          <w:bCs w:val="0"/>
          <w:color w:val="000000"/>
          <w:sz w:val="32"/>
          <w:szCs w:val="32"/>
          <w:lang w:val="en-US" w:eastAsia="zh-CN"/>
        </w:rPr>
        <w:t>万元，其中：一般公共预算财政拨款收入</w:t>
      </w:r>
      <w:r>
        <w:rPr>
          <w:rFonts w:hint="eastAsia" w:ascii="仿宋" w:hAnsi="仿宋" w:eastAsia="仿宋"/>
          <w:color w:val="auto"/>
          <w:sz w:val="32"/>
          <w:szCs w:val="32"/>
          <w:highlight w:val="none"/>
          <w:lang w:val="en-US" w:eastAsia="zh-CN"/>
        </w:rPr>
        <w:t>344.37</w:t>
      </w:r>
      <w:r>
        <w:rPr>
          <w:rFonts w:hint="eastAsia" w:ascii="仿宋" w:hAnsi="仿宋" w:eastAsia="仿宋" w:cs="仿宋"/>
          <w:b w:val="0"/>
          <w:bCs w:val="0"/>
          <w:color w:val="000000"/>
          <w:sz w:val="32"/>
          <w:szCs w:val="32"/>
          <w:lang w:val="en-US" w:eastAsia="zh-CN"/>
        </w:rPr>
        <w:t>万元，占100</w:t>
      </w:r>
      <w:r>
        <w:rPr>
          <w:rFonts w:hint="eastAsia" w:ascii="仿宋" w:hAnsi="仿宋" w:eastAsia="仿宋" w:cs="仿宋"/>
          <w:b w:val="0"/>
          <w:bCs w:val="0"/>
          <w:color w:val="000000"/>
          <w:kern w:val="2"/>
          <w:sz w:val="32"/>
          <w:szCs w:val="32"/>
          <w:lang w:val="en-US" w:eastAsia="zh-CN" w:bidi="ar-SA"/>
        </w:rPr>
        <w:t>%；</w:t>
      </w:r>
      <w:r>
        <w:rPr>
          <w:rFonts w:hint="eastAsia" w:ascii="仿宋_GB2312" w:hAnsi="仿宋" w:eastAsia="仿宋_GB2312" w:cs="Times New Roman"/>
          <w:color w:val="000000"/>
          <w:kern w:val="2"/>
          <w:sz w:val="32"/>
          <w:szCs w:val="32"/>
          <w:lang w:val="en-US" w:eastAsia="zh-CN" w:bidi="ar-SA"/>
        </w:rPr>
        <w:t>政府性基金预算财政拨款收入0万元，占0%；国有资本经营预算财政拨款收入0万元，占0%；事业收入0万元，占0%；经营收入0万元，占0%；附属单位上缴收入0万元，占0%；其他收入0万元，占0%。</w:t>
      </w:r>
    </w:p>
    <w:p w14:paraId="20463D8A">
      <w:pPr>
        <w:pStyle w:val="15"/>
        <w:keepNext w:val="0"/>
        <w:keepLines w:val="0"/>
        <w:widowControl/>
        <w:suppressLineNumbers w:val="0"/>
        <w:shd w:val="clear" w:fill="FFFFFF"/>
        <w:spacing w:before="180" w:beforeAutospacing="0" w:after="180" w:afterAutospacing="0" w:line="22" w:lineRule="atLeast"/>
        <w:ind w:left="0" w:right="0" w:firstLine="0"/>
        <w:jc w:val="both"/>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（图2：收入决算结构图） </w:t>
      </w:r>
    </w:p>
    <w:p w14:paraId="7DCB6B4D">
      <w:pPr>
        <w:spacing w:line="576" w:lineRule="exact"/>
        <w:ind w:firstLine="640" w:firstLineChars="200"/>
        <w:outlineLvl w:val="2"/>
        <w:rPr>
          <w:rFonts w:hint="eastAsia" w:ascii="黑体" w:hAnsi="黑体" w:eastAsia="黑体" w:cs="黑体"/>
          <w:b/>
          <w:bCs/>
          <w:color w:val="000000"/>
          <w:sz w:val="32"/>
          <w:szCs w:val="32"/>
          <w:lang w:val="en-US" w:eastAsia="zh-CN"/>
        </w:rPr>
      </w:pPr>
      <w:bookmarkStart w:id="27" w:name="_Toc15377207"/>
      <w:bookmarkEnd w:id="27"/>
      <w:bookmarkStart w:id="28" w:name="_Toc15396605"/>
      <w:r>
        <w:rPr>
          <w:rFonts w:hint="eastAsia" w:ascii="Times New Roman" w:hAnsi="Times New Roman" w:eastAsia="仿宋_GB2312" w:cs="Times New Roman"/>
          <w:color w:val="auto"/>
          <w:sz w:val="32"/>
          <w:szCs w:val="32"/>
          <w:lang w:eastAsia="zh-CN"/>
        </w:rPr>
        <w:drawing>
          <wp:anchor distT="0" distB="0" distL="114300" distR="114300" simplePos="0" relativeHeight="251662336" behindDoc="0" locked="0" layoutInCell="1" allowOverlap="1">
            <wp:simplePos x="0" y="0"/>
            <wp:positionH relativeFrom="column">
              <wp:posOffset>111760</wp:posOffset>
            </wp:positionH>
            <wp:positionV relativeFrom="paragraph">
              <wp:posOffset>253365</wp:posOffset>
            </wp:positionV>
            <wp:extent cx="5154930" cy="2466340"/>
            <wp:effectExtent l="4445" t="4445" r="6985" b="1333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b/>
          <w:bCs/>
          <w:color w:val="000000"/>
          <w:sz w:val="32"/>
          <w:szCs w:val="32"/>
          <w:lang w:val="en-US" w:eastAsia="zh-CN"/>
        </w:rPr>
        <w:t>三、</w:t>
      </w:r>
      <w:bookmarkEnd w:id="28"/>
      <w:r>
        <w:rPr>
          <w:rFonts w:hint="eastAsia" w:ascii="黑体" w:hAnsi="黑体" w:eastAsia="黑体" w:cs="黑体"/>
          <w:b/>
          <w:bCs/>
          <w:color w:val="000000"/>
          <w:sz w:val="32"/>
          <w:szCs w:val="32"/>
          <w:lang w:val="en-US" w:eastAsia="zh-CN"/>
        </w:rPr>
        <w:t>支出决算情况说明</w:t>
      </w:r>
    </w:p>
    <w:p w14:paraId="2373D05E">
      <w:pPr>
        <w:spacing w:line="576" w:lineRule="exact"/>
        <w:ind w:firstLine="640" w:firstLineChars="200"/>
        <w:outlineLvl w:val="2"/>
        <w:rPr>
          <w:rFonts w:hint="eastAsia" w:ascii="宋体" w:hAnsi="宋体" w:eastAsia="宋体" w:cs="宋体"/>
          <w:i w:val="0"/>
          <w:caps w:val="0"/>
          <w:color w:val="333333"/>
          <w:spacing w:val="0"/>
          <w:sz w:val="24"/>
          <w:szCs w:val="24"/>
          <w:shd w:val="clear" w:fill="FFFFFF"/>
        </w:rPr>
      </w:pPr>
      <w:r>
        <w:rPr>
          <w:rFonts w:hint="eastAsia" w:ascii="仿宋" w:hAnsi="仿宋" w:eastAsia="仿宋" w:cs="仿宋"/>
          <w:b w:val="0"/>
          <w:bCs w:val="0"/>
          <w:color w:val="000000"/>
          <w:sz w:val="32"/>
          <w:szCs w:val="32"/>
          <w:lang w:val="en-US" w:eastAsia="zh-CN"/>
        </w:rPr>
        <w:t>2024年本年支出合计</w:t>
      </w:r>
      <w:r>
        <w:rPr>
          <w:rFonts w:hint="eastAsia" w:ascii="仿宋" w:hAnsi="仿宋" w:eastAsia="仿宋"/>
          <w:color w:val="auto"/>
          <w:sz w:val="32"/>
          <w:szCs w:val="32"/>
          <w:highlight w:val="none"/>
          <w:lang w:val="en-US" w:eastAsia="zh-CN"/>
        </w:rPr>
        <w:t>344.37</w:t>
      </w:r>
      <w:r>
        <w:rPr>
          <w:rFonts w:hint="eastAsia" w:ascii="仿宋" w:hAnsi="仿宋" w:eastAsia="仿宋" w:cs="仿宋"/>
          <w:b w:val="0"/>
          <w:bCs w:val="0"/>
          <w:color w:val="000000"/>
          <w:sz w:val="32"/>
          <w:szCs w:val="32"/>
          <w:lang w:val="en-US" w:eastAsia="zh-CN"/>
        </w:rPr>
        <w:t>万元，其中：基本支出280.92万元，占81.58%；项目支出63.45万元，占18.42%；上缴上级支出0万元，占0%；经营支出0</w:t>
      </w:r>
      <w:r>
        <w:rPr>
          <w:rFonts w:hint="eastAsia" w:ascii="仿宋" w:hAnsi="仿宋" w:eastAsia="仿宋" w:cs="仿宋"/>
          <w:color w:val="000000"/>
          <w:kern w:val="2"/>
          <w:sz w:val="32"/>
          <w:szCs w:val="32"/>
          <w:lang w:val="en-US" w:eastAsia="zh-CN" w:bidi="ar-SA"/>
        </w:rPr>
        <w:t>万</w:t>
      </w:r>
      <w:r>
        <w:rPr>
          <w:rFonts w:hint="eastAsia" w:ascii="仿宋_GB2312" w:hAnsi="仿宋" w:eastAsia="仿宋_GB2312" w:cs="Times New Roman"/>
          <w:color w:val="000000"/>
          <w:kern w:val="2"/>
          <w:sz w:val="32"/>
          <w:szCs w:val="32"/>
          <w:lang w:val="en-US" w:eastAsia="zh-CN" w:bidi="ar-SA"/>
        </w:rPr>
        <w:t>元，占0%；对附属单位补助支出0万元，占0%。</w:t>
      </w:r>
      <w:r>
        <w:rPr>
          <w:rFonts w:hint="eastAsia" w:ascii="宋体" w:hAnsi="宋体" w:eastAsia="宋体" w:cs="宋体"/>
          <w:i w:val="0"/>
          <w:caps w:val="0"/>
          <w:color w:val="333333"/>
          <w:spacing w:val="0"/>
          <w:sz w:val="24"/>
          <w:szCs w:val="24"/>
          <w:shd w:val="clear" w:fill="FFFFFF"/>
        </w:rPr>
        <w:t>（图3：支出决算结构图） </w:t>
      </w:r>
    </w:p>
    <w:p w14:paraId="032C8E54">
      <w:pPr>
        <w:spacing w:line="576" w:lineRule="exact"/>
        <w:ind w:firstLine="640" w:firstLineChars="200"/>
        <w:outlineLvl w:val="2"/>
        <w:rPr>
          <w:rFonts w:hint="eastAsia" w:ascii="黑体" w:hAnsi="黑体" w:eastAsia="黑体" w:cs="黑体"/>
          <w:b/>
          <w:bCs/>
          <w:color w:val="000000"/>
          <w:sz w:val="32"/>
          <w:szCs w:val="32"/>
          <w:lang w:val="en-US" w:eastAsia="zh-CN"/>
        </w:rPr>
      </w:pPr>
      <w:bookmarkStart w:id="29" w:name="_Toc15377208"/>
      <w:bookmarkEnd w:id="29"/>
      <w:bookmarkStart w:id="30" w:name="_Toc15396606"/>
      <w:r>
        <w:rPr>
          <w:rFonts w:hint="eastAsia" w:ascii="Times New Roman" w:hAnsi="Times New Roman" w:eastAsia="仿宋_GB2312" w:cs="Times New Roman"/>
          <w:color w:val="auto"/>
          <w:sz w:val="32"/>
          <w:szCs w:val="32"/>
          <w:lang w:eastAsia="zh-CN"/>
        </w:rPr>
        <w:drawing>
          <wp:anchor distT="0" distB="0" distL="114300" distR="114300" simplePos="0" relativeHeight="251663360" behindDoc="0" locked="0" layoutInCell="1" allowOverlap="1">
            <wp:simplePos x="0" y="0"/>
            <wp:positionH relativeFrom="column">
              <wp:posOffset>334010</wp:posOffset>
            </wp:positionH>
            <wp:positionV relativeFrom="paragraph">
              <wp:posOffset>254000</wp:posOffset>
            </wp:positionV>
            <wp:extent cx="4796790" cy="2646680"/>
            <wp:effectExtent l="4445" t="4445" r="14605" b="1587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4E2EB8F">
      <w:pPr>
        <w:spacing w:line="576" w:lineRule="exact"/>
        <w:ind w:firstLine="643" w:firstLineChars="200"/>
        <w:outlineLvl w:val="2"/>
        <w:rPr>
          <w:rFonts w:hint="eastAsia" w:ascii="黑体" w:hAnsi="黑体" w:eastAsia="黑体" w:cs="黑体"/>
          <w:b/>
          <w:bCs/>
          <w:color w:val="000000"/>
          <w:sz w:val="32"/>
          <w:szCs w:val="32"/>
          <w:lang w:val="en-US" w:eastAsia="zh-CN"/>
        </w:rPr>
      </w:pPr>
    </w:p>
    <w:p w14:paraId="084D945B">
      <w:pPr>
        <w:spacing w:line="576" w:lineRule="exact"/>
        <w:ind w:firstLine="643" w:firstLineChars="200"/>
        <w:outlineLvl w:val="2"/>
        <w:rPr>
          <w:rFonts w:hint="eastAsia" w:ascii="黑体" w:hAnsi="黑体" w:eastAsia="黑体" w:cs="黑体"/>
          <w:b/>
          <w:bCs/>
          <w:color w:val="000000"/>
          <w:sz w:val="32"/>
          <w:szCs w:val="32"/>
          <w:lang w:val="en-US" w:eastAsia="zh-CN"/>
        </w:rPr>
      </w:pPr>
    </w:p>
    <w:p w14:paraId="35FC55AF">
      <w:pPr>
        <w:spacing w:line="576" w:lineRule="exact"/>
        <w:ind w:firstLine="643" w:firstLineChars="200"/>
        <w:outlineLvl w:val="2"/>
        <w:rPr>
          <w:rFonts w:hint="eastAsia" w:ascii="黑体" w:hAnsi="黑体" w:eastAsia="黑体" w:cs="黑体"/>
          <w:b/>
          <w:bCs/>
          <w:color w:val="000000"/>
          <w:sz w:val="32"/>
          <w:szCs w:val="32"/>
          <w:lang w:val="en-US" w:eastAsia="zh-CN"/>
        </w:rPr>
      </w:pPr>
    </w:p>
    <w:p w14:paraId="05F0AB73">
      <w:pPr>
        <w:spacing w:line="576" w:lineRule="exact"/>
        <w:ind w:firstLine="643" w:firstLineChars="200"/>
        <w:outlineLvl w:val="2"/>
        <w:rPr>
          <w:rFonts w:hint="eastAsia" w:ascii="黑体" w:hAnsi="黑体" w:eastAsia="黑体" w:cs="黑体"/>
          <w:b/>
          <w:bCs/>
          <w:color w:val="000000"/>
          <w:sz w:val="32"/>
          <w:szCs w:val="32"/>
          <w:lang w:val="en-US" w:eastAsia="zh-CN"/>
        </w:rPr>
      </w:pPr>
    </w:p>
    <w:p w14:paraId="208CE6C5">
      <w:pPr>
        <w:spacing w:line="576" w:lineRule="exact"/>
        <w:ind w:firstLine="643" w:firstLineChars="200"/>
        <w:outlineLvl w:val="2"/>
        <w:rPr>
          <w:rFonts w:hint="eastAsia" w:ascii="黑体" w:hAnsi="黑体" w:eastAsia="黑体" w:cs="黑体"/>
          <w:b/>
          <w:bCs/>
          <w:color w:val="000000"/>
          <w:sz w:val="32"/>
          <w:szCs w:val="32"/>
          <w:lang w:val="en-US" w:eastAsia="zh-CN"/>
        </w:rPr>
      </w:pPr>
    </w:p>
    <w:p w14:paraId="3756672D">
      <w:pPr>
        <w:spacing w:line="576" w:lineRule="exact"/>
        <w:ind w:firstLine="643" w:firstLineChars="200"/>
        <w:outlineLvl w:val="2"/>
        <w:rPr>
          <w:rFonts w:hint="eastAsia" w:ascii="黑体" w:hAnsi="黑体" w:eastAsia="黑体" w:cs="黑体"/>
          <w:b/>
          <w:bCs/>
          <w:color w:val="000000"/>
          <w:sz w:val="32"/>
          <w:szCs w:val="32"/>
          <w:lang w:val="en-US" w:eastAsia="zh-CN"/>
        </w:rPr>
      </w:pPr>
    </w:p>
    <w:p w14:paraId="3F27678A">
      <w:pPr>
        <w:spacing w:line="576" w:lineRule="exact"/>
        <w:ind w:firstLine="643" w:firstLineChars="200"/>
        <w:outlineLvl w:val="2"/>
        <w:rPr>
          <w:rFonts w:hint="eastAsia" w:ascii="黑体" w:hAnsi="黑体" w:eastAsia="黑体" w:cs="黑体"/>
          <w:b/>
          <w:bCs/>
          <w:color w:val="000000"/>
          <w:sz w:val="32"/>
          <w:szCs w:val="32"/>
          <w:lang w:val="en-US" w:eastAsia="zh-CN"/>
        </w:rPr>
      </w:pPr>
    </w:p>
    <w:p w14:paraId="38DF31DA">
      <w:pPr>
        <w:spacing w:line="576" w:lineRule="exact"/>
        <w:ind w:firstLine="643" w:firstLineChars="200"/>
        <w:outlineLvl w:val="2"/>
        <w:rPr>
          <w:rFonts w:hint="eastAsia" w:ascii="黑体" w:hAnsi="黑体" w:eastAsia="黑体" w:cs="黑体"/>
          <w:b/>
          <w:bCs/>
          <w:color w:val="000000"/>
          <w:sz w:val="32"/>
          <w:szCs w:val="32"/>
          <w:lang w:val="en-US" w:eastAsia="zh-CN"/>
        </w:rPr>
      </w:pPr>
    </w:p>
    <w:p w14:paraId="321985F3">
      <w:pPr>
        <w:spacing w:line="576" w:lineRule="exact"/>
        <w:ind w:firstLine="643" w:firstLineChars="200"/>
        <w:outlineLvl w:val="2"/>
        <w:rPr>
          <w:rFonts w:hint="eastAsia" w:ascii="黑体" w:hAnsi="黑体" w:eastAsia="黑体" w:cs="黑体"/>
          <w:b/>
          <w:bCs/>
          <w:color w:val="000000"/>
          <w:sz w:val="32"/>
          <w:szCs w:val="32"/>
          <w:lang w:val="en-US" w:eastAsia="zh-CN"/>
        </w:rPr>
      </w:pPr>
    </w:p>
    <w:p w14:paraId="78C35ABD">
      <w:pPr>
        <w:spacing w:line="576" w:lineRule="exact"/>
        <w:ind w:firstLine="643" w:firstLineChars="200"/>
        <w:outlineLvl w:val="2"/>
        <w:rPr>
          <w:rFonts w:hint="eastAsia" w:ascii="黑体" w:hAnsi="黑体" w:eastAsia="黑体" w:cs="黑体"/>
          <w:b/>
          <w:bCs/>
          <w:color w:val="000000"/>
          <w:sz w:val="32"/>
          <w:szCs w:val="32"/>
          <w:lang w:val="en-US" w:eastAsia="zh-CN"/>
        </w:rPr>
      </w:pPr>
    </w:p>
    <w:p w14:paraId="78441977">
      <w:pPr>
        <w:spacing w:line="576" w:lineRule="exact"/>
        <w:ind w:firstLine="643" w:firstLineChars="200"/>
        <w:outlineLvl w:val="2"/>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四、财</w:t>
      </w:r>
      <w:bookmarkEnd w:id="30"/>
      <w:r>
        <w:rPr>
          <w:rFonts w:hint="eastAsia" w:ascii="黑体" w:hAnsi="黑体" w:eastAsia="黑体" w:cs="黑体"/>
          <w:b/>
          <w:bCs/>
          <w:color w:val="000000"/>
          <w:sz w:val="32"/>
          <w:szCs w:val="32"/>
          <w:lang w:val="en-US" w:eastAsia="zh-CN"/>
        </w:rPr>
        <w:t>政拨款收入支出决算总体情况说明</w:t>
      </w:r>
    </w:p>
    <w:p w14:paraId="60E18DAA">
      <w:pPr>
        <w:pStyle w:val="15"/>
        <w:keepNext w:val="0"/>
        <w:keepLines w:val="0"/>
        <w:widowControl/>
        <w:suppressLineNumbers w:val="0"/>
        <w:shd w:val="clear" w:fill="FFFFFF"/>
        <w:spacing w:before="180" w:beforeAutospacing="0" w:after="180" w:afterAutospacing="0" w:line="22" w:lineRule="atLeast"/>
        <w:ind w:left="0" w:right="0" w:firstLine="420"/>
        <w:jc w:val="both"/>
        <w:rPr>
          <w:rFonts w:hint="eastAsia" w:ascii="宋体" w:hAnsi="宋体" w:eastAsia="宋体" w:cs="宋体"/>
          <w:i w:val="0"/>
          <w:caps w:val="0"/>
          <w:color w:val="333333"/>
          <w:spacing w:val="0"/>
          <w:sz w:val="24"/>
          <w:szCs w:val="24"/>
          <w:shd w:val="clear" w:fill="FFFFFF"/>
          <w:lang w:val="en-US" w:eastAsia="zh-CN"/>
        </w:rPr>
      </w:pPr>
      <w:r>
        <w:rPr>
          <w:rFonts w:hint="eastAsia" w:ascii="仿宋" w:hAnsi="仿宋" w:eastAsia="仿宋" w:cs="仿宋"/>
          <w:b w:val="0"/>
          <w:bCs w:val="0"/>
          <w:color w:val="000000"/>
          <w:kern w:val="0"/>
          <w:sz w:val="32"/>
          <w:szCs w:val="32"/>
          <w:lang w:val="en-US" w:eastAsia="zh-CN" w:bidi="ar"/>
        </w:rPr>
        <w:t>2024年度财政拨款收、支总计均为344.37万元。与2023年度相比，财政拨款收、支总计各增加39.64万元，增长13.01%。主要变动原因是增加人员和督查督办工作。</w:t>
      </w:r>
      <w:r>
        <w:rPr>
          <w:rFonts w:hint="eastAsia" w:ascii="宋体" w:hAnsi="宋体" w:eastAsia="宋体" w:cs="宋体"/>
          <w:i w:val="0"/>
          <w:caps w:val="0"/>
          <w:color w:val="333333"/>
          <w:spacing w:val="0"/>
          <w:sz w:val="24"/>
          <w:szCs w:val="24"/>
          <w:shd w:val="clear" w:fill="FFFFFF"/>
          <w:lang w:val="en-US" w:eastAsia="zh-CN"/>
        </w:rPr>
        <w:t>（图4：财政拨款收、支决算总计变动情况）</w:t>
      </w:r>
    </w:p>
    <w:p w14:paraId="72BE8065">
      <w:pPr>
        <w:spacing w:line="576" w:lineRule="exact"/>
        <w:ind w:firstLine="640" w:firstLineChars="200"/>
        <w:outlineLvl w:val="2"/>
        <w:rPr>
          <w:rFonts w:hint="eastAsia" w:ascii="仿宋_GB2312" w:hAnsi="仿宋" w:eastAsia="仿宋_GB2312" w:cs="Times New Roman"/>
          <w:color w:val="FF0000"/>
          <w:kern w:val="2"/>
          <w:sz w:val="32"/>
          <w:szCs w:val="32"/>
          <w:lang w:val="en-US" w:eastAsia="zh-CN" w:bidi="ar-SA"/>
        </w:rPr>
      </w:pPr>
      <w:r>
        <w:rPr>
          <w:rFonts w:hint="eastAsia" w:ascii="Times New Roman" w:hAnsi="Times New Roman" w:eastAsia="仿宋_GB2312" w:cs="Times New Roman"/>
          <w:color w:val="auto"/>
          <w:sz w:val="32"/>
          <w:szCs w:val="32"/>
          <w:lang w:eastAsia="zh-CN"/>
        </w:rPr>
        <w:drawing>
          <wp:anchor distT="0" distB="0" distL="114300" distR="114300" simplePos="0" relativeHeight="251664384" behindDoc="0" locked="0" layoutInCell="1" allowOverlap="1">
            <wp:simplePos x="0" y="0"/>
            <wp:positionH relativeFrom="column">
              <wp:posOffset>229870</wp:posOffset>
            </wp:positionH>
            <wp:positionV relativeFrom="paragraph">
              <wp:posOffset>36830</wp:posOffset>
            </wp:positionV>
            <wp:extent cx="4949190" cy="2253615"/>
            <wp:effectExtent l="5080" t="4445" r="13970" b="1270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6EEB6E2">
      <w:pPr>
        <w:pStyle w:val="21"/>
        <w:rPr>
          <w:rFonts w:hint="eastAsia" w:ascii="仿宋_GB2312" w:hAnsi="仿宋" w:eastAsia="仿宋_GB2312" w:cs="Times New Roman"/>
          <w:color w:val="FF0000"/>
          <w:kern w:val="2"/>
          <w:sz w:val="32"/>
          <w:szCs w:val="32"/>
          <w:lang w:val="en-US" w:eastAsia="zh-CN" w:bidi="ar-SA"/>
        </w:rPr>
      </w:pPr>
    </w:p>
    <w:p w14:paraId="161E9844">
      <w:pPr>
        <w:rPr>
          <w:rFonts w:hint="eastAsia" w:ascii="仿宋_GB2312" w:hAnsi="仿宋" w:eastAsia="仿宋_GB2312" w:cs="Times New Roman"/>
          <w:color w:val="FF0000"/>
          <w:kern w:val="2"/>
          <w:sz w:val="32"/>
          <w:szCs w:val="32"/>
          <w:lang w:val="en-US" w:eastAsia="zh-CN" w:bidi="ar-SA"/>
        </w:rPr>
      </w:pPr>
    </w:p>
    <w:p w14:paraId="3084230C">
      <w:pPr>
        <w:pStyle w:val="21"/>
        <w:rPr>
          <w:rFonts w:hint="eastAsia" w:ascii="仿宋_GB2312" w:hAnsi="仿宋" w:eastAsia="仿宋_GB2312" w:cs="Times New Roman"/>
          <w:color w:val="FF0000"/>
          <w:kern w:val="2"/>
          <w:sz w:val="32"/>
          <w:szCs w:val="32"/>
          <w:lang w:val="en-US" w:eastAsia="zh-CN" w:bidi="ar-SA"/>
        </w:rPr>
      </w:pPr>
    </w:p>
    <w:p w14:paraId="09BD0E94">
      <w:pPr>
        <w:rPr>
          <w:rFonts w:hint="eastAsia"/>
          <w:lang w:val="en-US" w:eastAsia="zh-CN"/>
        </w:rPr>
      </w:pPr>
    </w:p>
    <w:p w14:paraId="12A7230B">
      <w:pPr>
        <w:spacing w:line="576" w:lineRule="exact"/>
        <w:ind w:firstLine="643" w:firstLineChars="200"/>
        <w:outlineLvl w:val="2"/>
        <w:rPr>
          <w:rFonts w:hint="eastAsia" w:ascii="黑体" w:hAnsi="黑体" w:eastAsia="黑体" w:cs="黑体"/>
          <w:b/>
          <w:bCs/>
          <w:color w:val="000000"/>
          <w:sz w:val="32"/>
          <w:szCs w:val="32"/>
          <w:lang w:val="en-US" w:eastAsia="zh-CN"/>
        </w:rPr>
      </w:pPr>
      <w:bookmarkStart w:id="31" w:name="_Toc15377209"/>
      <w:bookmarkEnd w:id="31"/>
      <w:bookmarkStart w:id="32" w:name="_Toc15396607"/>
    </w:p>
    <w:p w14:paraId="2D2FC453">
      <w:pPr>
        <w:spacing w:line="576" w:lineRule="exact"/>
        <w:ind w:firstLine="643" w:firstLineChars="200"/>
        <w:outlineLvl w:val="2"/>
        <w:rPr>
          <w:rFonts w:hint="eastAsia" w:ascii="黑体" w:hAnsi="黑体" w:eastAsia="黑体" w:cs="黑体"/>
          <w:b/>
          <w:bCs/>
          <w:color w:val="000000"/>
          <w:sz w:val="32"/>
          <w:szCs w:val="32"/>
          <w:lang w:val="en-US" w:eastAsia="zh-CN"/>
        </w:rPr>
      </w:pPr>
    </w:p>
    <w:p w14:paraId="5A868A88">
      <w:pPr>
        <w:spacing w:line="576" w:lineRule="exact"/>
        <w:ind w:firstLine="643" w:firstLineChars="200"/>
        <w:outlineLvl w:val="2"/>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w:t>
      </w:r>
      <w:bookmarkEnd w:id="32"/>
      <w:r>
        <w:rPr>
          <w:rFonts w:hint="eastAsia" w:ascii="黑体" w:hAnsi="黑体" w:eastAsia="黑体" w:cs="黑体"/>
          <w:b/>
          <w:bCs/>
          <w:color w:val="000000"/>
          <w:sz w:val="32"/>
          <w:szCs w:val="32"/>
          <w:lang w:val="en-US" w:eastAsia="zh-CN"/>
        </w:rPr>
        <w:t>一般公共预算财政拨款支出决算情况说明</w:t>
      </w:r>
    </w:p>
    <w:p w14:paraId="304B227F">
      <w:pPr>
        <w:spacing w:line="576" w:lineRule="exact"/>
        <w:ind w:firstLine="643" w:firstLineChars="200"/>
        <w:outlineLvl w:val="2"/>
        <w:rPr>
          <w:rFonts w:hint="eastAsia" w:ascii="仿宋" w:hAnsi="仿宋" w:eastAsia="仿宋" w:cs="Times New Roman"/>
          <w:b/>
          <w:bCs/>
          <w:color w:val="000000"/>
          <w:sz w:val="32"/>
          <w:szCs w:val="32"/>
          <w:lang w:val="en-US" w:eastAsia="zh-CN"/>
        </w:rPr>
      </w:pPr>
      <w:bookmarkStart w:id="33" w:name="_Toc15377210"/>
      <w:bookmarkEnd w:id="33"/>
      <w:r>
        <w:rPr>
          <w:rFonts w:hint="eastAsia" w:ascii="仿宋" w:hAnsi="仿宋" w:eastAsia="仿宋" w:cs="Times New Roman"/>
          <w:b/>
          <w:bCs/>
          <w:color w:val="000000"/>
          <w:sz w:val="32"/>
          <w:szCs w:val="32"/>
          <w:lang w:val="en-US" w:eastAsia="zh-CN"/>
        </w:rPr>
        <w:t>（一）一般公共预算财政拨款支出决算总体情况</w:t>
      </w:r>
    </w:p>
    <w:p w14:paraId="3ECAE75B">
      <w:pPr>
        <w:pStyle w:val="15"/>
        <w:keepNext w:val="0"/>
        <w:keepLines w:val="0"/>
        <w:widowControl/>
        <w:suppressLineNumbers w:val="0"/>
        <w:shd w:val="clear" w:fill="FFFFFF"/>
        <w:spacing w:before="180" w:beforeAutospacing="0" w:after="180" w:afterAutospacing="0" w:line="22" w:lineRule="atLeast"/>
        <w:ind w:left="0" w:right="0" w:firstLine="420"/>
        <w:jc w:val="both"/>
        <w:rPr>
          <w:rFonts w:hint="eastAsia" w:ascii="宋体" w:hAnsi="宋体" w:eastAsia="宋体" w:cs="宋体"/>
          <w:i w:val="0"/>
          <w:caps w:val="0"/>
          <w:color w:val="333333"/>
          <w:spacing w:val="0"/>
          <w:sz w:val="24"/>
          <w:szCs w:val="24"/>
          <w:shd w:val="clear" w:fill="FFFFFF"/>
          <w:lang w:val="en-US" w:eastAsia="zh-CN"/>
        </w:rPr>
      </w:pPr>
      <w:r>
        <w:rPr>
          <w:rFonts w:hint="eastAsia" w:ascii="Times New Roman" w:hAnsi="Times New Roman" w:eastAsia="仿宋_GB2312" w:cs="Times New Roman"/>
          <w:color w:val="auto"/>
          <w:sz w:val="32"/>
          <w:szCs w:val="32"/>
          <w:lang w:eastAsia="zh-CN"/>
        </w:rPr>
        <w:drawing>
          <wp:anchor distT="0" distB="0" distL="114300" distR="114300" simplePos="0" relativeHeight="251666432" behindDoc="0" locked="0" layoutInCell="1" allowOverlap="1">
            <wp:simplePos x="0" y="0"/>
            <wp:positionH relativeFrom="column">
              <wp:posOffset>246380</wp:posOffset>
            </wp:positionH>
            <wp:positionV relativeFrom="paragraph">
              <wp:posOffset>1864995</wp:posOffset>
            </wp:positionV>
            <wp:extent cx="5080000" cy="1891665"/>
            <wp:effectExtent l="4445" t="4445" r="20955" b="889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 w:eastAsia="仿宋_GB2312" w:cs="Times New Roman"/>
          <w:color w:val="000000"/>
          <w:kern w:val="2"/>
          <w:sz w:val="32"/>
          <w:szCs w:val="32"/>
          <w:lang w:val="en-US" w:eastAsia="zh-CN" w:bidi="ar-SA"/>
        </w:rPr>
        <w:t>2024年一般公共预算财政拨款支出</w:t>
      </w:r>
      <w:r>
        <w:rPr>
          <w:rFonts w:hint="eastAsia" w:ascii="仿宋" w:hAnsi="仿宋" w:eastAsia="仿宋"/>
          <w:color w:val="auto"/>
          <w:sz w:val="32"/>
          <w:szCs w:val="32"/>
          <w:highlight w:val="none"/>
          <w:lang w:val="en-US" w:eastAsia="zh-CN"/>
        </w:rPr>
        <w:t>344.37</w:t>
      </w:r>
      <w:r>
        <w:rPr>
          <w:rFonts w:hint="eastAsia" w:ascii="仿宋_GB2312" w:hAnsi="仿宋" w:eastAsia="仿宋_GB2312" w:cs="Times New Roman"/>
          <w:color w:val="000000"/>
          <w:kern w:val="2"/>
          <w:sz w:val="32"/>
          <w:szCs w:val="32"/>
          <w:lang w:val="en-US" w:eastAsia="zh-CN" w:bidi="ar-SA"/>
        </w:rPr>
        <w:t>万元，占本年支出合计的100%。与2023年相比，一般公共预算财政拨款增加39.64万元，增加13.01%。</w:t>
      </w:r>
      <w:r>
        <w:rPr>
          <w:rFonts w:hint="eastAsia" w:ascii="Times New Roman" w:hAnsi="Times New Roman" w:eastAsia="仿宋_GB2312" w:cs="Times New Roman"/>
          <w:color w:val="auto"/>
          <w:sz w:val="32"/>
          <w:szCs w:val="32"/>
        </w:rPr>
        <w:t>主要变动原因</w:t>
      </w:r>
      <w:r>
        <w:rPr>
          <w:rFonts w:hint="eastAsia" w:ascii="仿宋_GB2312" w:hAnsi="仿宋" w:eastAsia="仿宋_GB2312" w:cs="Times New Roman"/>
          <w:color w:val="000000"/>
          <w:kern w:val="2"/>
          <w:sz w:val="32"/>
          <w:szCs w:val="32"/>
          <w:lang w:val="en-US" w:eastAsia="zh-CN" w:bidi="ar-SA"/>
        </w:rPr>
        <w:t>是增加人员和督查督办工作。</w:t>
      </w:r>
      <w:r>
        <w:rPr>
          <w:rFonts w:hint="eastAsia" w:ascii="宋体" w:hAnsi="宋体" w:eastAsia="宋体" w:cs="宋体"/>
          <w:i w:val="0"/>
          <w:caps w:val="0"/>
          <w:color w:val="333333"/>
          <w:spacing w:val="0"/>
          <w:sz w:val="24"/>
          <w:szCs w:val="24"/>
          <w:shd w:val="clear" w:fill="FFFFFF"/>
          <w:lang w:val="en-US" w:eastAsia="zh-CN"/>
        </w:rPr>
        <w:t>（图5：一般公共预算财政拨款支出决算变动情况）</w:t>
      </w:r>
    </w:p>
    <w:p w14:paraId="138301B3">
      <w:pPr>
        <w:spacing w:line="576" w:lineRule="exact"/>
        <w:ind w:firstLine="643" w:firstLineChars="200"/>
        <w:outlineLvl w:val="2"/>
        <w:rPr>
          <w:rFonts w:hint="eastAsia" w:ascii="仿宋" w:hAnsi="仿宋" w:eastAsia="仿宋" w:cs="Times New Roman"/>
          <w:b/>
          <w:bCs/>
          <w:color w:val="000000"/>
          <w:sz w:val="32"/>
          <w:szCs w:val="32"/>
          <w:lang w:val="en-US" w:eastAsia="zh-CN"/>
        </w:rPr>
      </w:pPr>
      <w:bookmarkStart w:id="34" w:name="_Toc15377211"/>
      <w:bookmarkEnd w:id="34"/>
      <w:r>
        <w:rPr>
          <w:rFonts w:hint="eastAsia" w:ascii="仿宋" w:hAnsi="仿宋" w:eastAsia="仿宋" w:cs="Times New Roman"/>
          <w:b/>
          <w:bCs/>
          <w:color w:val="000000"/>
          <w:sz w:val="32"/>
          <w:szCs w:val="32"/>
          <w:lang w:val="en-US" w:eastAsia="zh-CN"/>
        </w:rPr>
        <w:t>（二）一般公共预算财政拨款支出决算结构情况</w:t>
      </w:r>
    </w:p>
    <w:p w14:paraId="0626C09A">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2023年一般公共预算财政拨款支出</w:t>
      </w:r>
      <w:r>
        <w:rPr>
          <w:rFonts w:hint="eastAsia" w:ascii="仿宋" w:hAnsi="仿宋" w:eastAsia="仿宋"/>
          <w:color w:val="auto"/>
          <w:sz w:val="32"/>
          <w:szCs w:val="32"/>
          <w:highlight w:val="none"/>
          <w:lang w:val="en-US" w:eastAsia="zh-CN"/>
        </w:rPr>
        <w:t>344.37</w:t>
      </w:r>
      <w:r>
        <w:rPr>
          <w:rFonts w:hint="eastAsia" w:ascii="仿宋" w:hAnsi="仿宋" w:eastAsia="仿宋" w:cs="Times New Roman"/>
          <w:b w:val="0"/>
          <w:bCs w:val="0"/>
          <w:color w:val="000000"/>
          <w:sz w:val="32"/>
          <w:szCs w:val="32"/>
          <w:lang w:val="en-US" w:eastAsia="zh-CN"/>
        </w:rPr>
        <w:t>万元，主要用于以下方面:一般公共服务支出278.79万元，占80.95%；社会保障和就业支出33.87万元，占9.84%；卫生健康支出9.22万元，占2.68%；住房保障支出22.49万元，占6.53%。</w:t>
      </w:r>
    </w:p>
    <w:p w14:paraId="02371004">
      <w:pPr>
        <w:pStyle w:val="15"/>
        <w:keepNext w:val="0"/>
        <w:keepLines w:val="0"/>
        <w:widowControl/>
        <w:suppressLineNumbers w:val="0"/>
        <w:shd w:val="clear" w:fill="FFFFFF"/>
        <w:spacing w:before="180" w:beforeAutospacing="0" w:after="180" w:afterAutospacing="0" w:line="22" w:lineRule="atLeast"/>
        <w:ind w:left="0" w:right="0" w:firstLine="420"/>
        <w:jc w:val="both"/>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drawing>
          <wp:anchor distT="0" distB="0" distL="114300" distR="114300" simplePos="0" relativeHeight="251660288" behindDoc="0" locked="0" layoutInCell="1" allowOverlap="1">
            <wp:simplePos x="0" y="0"/>
            <wp:positionH relativeFrom="column">
              <wp:posOffset>328295</wp:posOffset>
            </wp:positionH>
            <wp:positionV relativeFrom="paragraph">
              <wp:posOffset>456565</wp:posOffset>
            </wp:positionV>
            <wp:extent cx="4675505" cy="3062605"/>
            <wp:effectExtent l="4445" t="4445" r="13970" b="1143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宋体" w:hAnsi="宋体" w:eastAsia="宋体" w:cs="宋体"/>
          <w:i w:val="0"/>
          <w:caps w:val="0"/>
          <w:color w:val="auto"/>
          <w:spacing w:val="0"/>
          <w:sz w:val="24"/>
          <w:szCs w:val="24"/>
          <w:shd w:val="clear" w:fill="FFFFFF"/>
          <w:lang w:val="en-US" w:eastAsia="zh-CN"/>
        </w:rPr>
        <w:t>（图6：一般公共预算财政拨款支出决算结构） </w:t>
      </w:r>
    </w:p>
    <w:p w14:paraId="09DA04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bookmarkStart w:id="35" w:name="_Toc15377212"/>
      <w:bookmarkEnd w:id="35"/>
      <w:r>
        <w:rPr>
          <w:rFonts w:hint="eastAsia" w:ascii="仿宋" w:hAnsi="仿宋" w:eastAsia="仿宋" w:cs="Times New Roman"/>
          <w:b/>
          <w:bCs/>
          <w:color w:val="000000"/>
          <w:sz w:val="32"/>
          <w:szCs w:val="32"/>
          <w:lang w:val="en-US" w:eastAsia="zh-CN"/>
        </w:rPr>
        <w:t>（三）一般公共预算财政拨款支出决算具体情况</w:t>
      </w:r>
    </w:p>
    <w:p w14:paraId="48FE48F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b/>
          <w:bCs/>
          <w:color w:val="000000"/>
          <w:sz w:val="32"/>
          <w:szCs w:val="32"/>
          <w:lang w:eastAsia="zh-CN"/>
        </w:rPr>
      </w:pPr>
      <w:bookmarkStart w:id="36" w:name="_Toc15377213"/>
      <w:bookmarkEnd w:id="36"/>
      <w:bookmarkStart w:id="37" w:name="_Toc15377444"/>
      <w:bookmarkEnd w:id="37"/>
      <w:r>
        <w:rPr>
          <w:rFonts w:hint="eastAsia" w:ascii="仿宋_GB2312" w:hAnsi="仿宋" w:eastAsia="仿宋_GB2312" w:cs="Times New Roman"/>
          <w:b/>
          <w:bCs/>
          <w:color w:val="000000"/>
          <w:sz w:val="32"/>
          <w:szCs w:val="32"/>
          <w:lang w:val="en-US" w:eastAsia="zh-CN"/>
        </w:rPr>
        <w:t>2024年一般公共预算支出决算数为</w:t>
      </w:r>
      <w:r>
        <w:rPr>
          <w:rFonts w:hint="eastAsia" w:ascii="仿宋" w:hAnsi="仿宋" w:eastAsia="仿宋"/>
          <w:color w:val="auto"/>
          <w:sz w:val="32"/>
          <w:szCs w:val="32"/>
          <w:highlight w:val="none"/>
          <w:lang w:val="en-US" w:eastAsia="zh-CN"/>
        </w:rPr>
        <w:t>344.37</w:t>
      </w:r>
      <w:r>
        <w:rPr>
          <w:rFonts w:hint="eastAsia" w:ascii="仿宋_GB2312" w:hAnsi="仿宋" w:eastAsia="仿宋_GB2312" w:cs="Times New Roman"/>
          <w:b/>
          <w:bCs/>
          <w:color w:val="000000"/>
          <w:sz w:val="32"/>
          <w:szCs w:val="32"/>
          <w:lang w:val="en-US" w:eastAsia="zh-CN"/>
        </w:rPr>
        <w:t>万元，完成预算100%。其中：</w:t>
      </w:r>
    </w:p>
    <w:p w14:paraId="6C0349A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1.</w:t>
      </w:r>
      <w:r>
        <w:rPr>
          <w:rFonts w:hint="eastAsia" w:ascii="仿宋_GB2312" w:hAnsi="仿宋" w:eastAsia="仿宋_GB2312" w:cs="Times New Roman"/>
          <w:b/>
          <w:bCs/>
          <w:color w:val="000000"/>
          <w:sz w:val="32"/>
          <w:szCs w:val="32"/>
          <w:lang w:eastAsia="zh-CN"/>
        </w:rPr>
        <w:t>一般公共服务（类）</w:t>
      </w:r>
      <w:r>
        <w:rPr>
          <w:rFonts w:hint="eastAsia" w:ascii="仿宋_GB2312" w:hAnsi="仿宋" w:eastAsia="仿宋_GB2312" w:cs="Times New Roman"/>
          <w:b/>
          <w:bCs/>
          <w:color w:val="000000"/>
          <w:sz w:val="32"/>
          <w:szCs w:val="32"/>
          <w:lang w:val="en-US" w:eastAsia="zh-CN"/>
        </w:rPr>
        <w:t>党委办公厅（室）及相关机构事务</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行政运行</w:t>
      </w:r>
      <w:r>
        <w:rPr>
          <w:rFonts w:hint="eastAsia" w:ascii="仿宋_GB2312" w:hAnsi="仿宋" w:eastAsia="仿宋_GB2312" w:cs="Times New Roman"/>
          <w:b/>
          <w:bCs/>
          <w:color w:val="000000"/>
          <w:sz w:val="32"/>
          <w:szCs w:val="32"/>
          <w:lang w:eastAsia="zh-CN"/>
        </w:rPr>
        <w:t xml:space="preserve">（项）: </w:t>
      </w:r>
      <w:r>
        <w:rPr>
          <w:rFonts w:hint="eastAsia" w:ascii="仿宋_GB2312" w:hAnsi="仿宋" w:eastAsia="仿宋_GB2312" w:cs="Times New Roman"/>
          <w:color w:val="000000"/>
          <w:kern w:val="2"/>
          <w:sz w:val="32"/>
          <w:szCs w:val="32"/>
          <w:lang w:val="en-US" w:eastAsia="zh-CN" w:bidi="ar-SA"/>
        </w:rPr>
        <w:t>支出决算为97.78万元，完成预算100%。</w:t>
      </w:r>
    </w:p>
    <w:p w14:paraId="32D40F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2.</w:t>
      </w:r>
      <w:r>
        <w:rPr>
          <w:rFonts w:hint="eastAsia" w:ascii="仿宋_GB2312" w:hAnsi="仿宋" w:eastAsia="仿宋_GB2312" w:cs="Times New Roman"/>
          <w:b/>
          <w:bCs/>
          <w:color w:val="000000"/>
          <w:sz w:val="32"/>
          <w:szCs w:val="32"/>
          <w:lang w:eastAsia="zh-CN"/>
        </w:rPr>
        <w:t>一般公共服务（类）</w:t>
      </w:r>
      <w:r>
        <w:rPr>
          <w:rFonts w:hint="eastAsia" w:ascii="仿宋_GB2312" w:hAnsi="仿宋" w:eastAsia="仿宋_GB2312" w:cs="Times New Roman"/>
          <w:b/>
          <w:bCs/>
          <w:color w:val="000000"/>
          <w:sz w:val="32"/>
          <w:szCs w:val="32"/>
          <w:lang w:val="en-US" w:eastAsia="zh-CN"/>
        </w:rPr>
        <w:t>党委办公厅（室）及相关机构事务</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一般行政管理事务（项）：</w:t>
      </w:r>
      <w:r>
        <w:rPr>
          <w:rFonts w:hint="eastAsia" w:ascii="仿宋_GB2312" w:hAnsi="仿宋" w:eastAsia="仿宋_GB2312" w:cs="Times New Roman"/>
          <w:color w:val="000000"/>
          <w:kern w:val="2"/>
          <w:sz w:val="32"/>
          <w:szCs w:val="32"/>
          <w:lang w:val="en-US" w:eastAsia="zh-CN" w:bidi="ar-SA"/>
        </w:rPr>
        <w:t>支出决算为63.45万元，完成预算100%，</w:t>
      </w:r>
    </w:p>
    <w:p w14:paraId="39CA59F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3.一般公共服务（类）党委办公厅（室）及相关机构事务（款）事业运行（项）：</w:t>
      </w:r>
      <w:r>
        <w:rPr>
          <w:rFonts w:hint="eastAsia" w:ascii="仿宋_GB2312" w:hAnsi="仿宋" w:eastAsia="仿宋_GB2312" w:cs="Times New Roman"/>
          <w:color w:val="000000"/>
          <w:kern w:val="2"/>
          <w:sz w:val="32"/>
          <w:szCs w:val="32"/>
          <w:lang w:val="en-US" w:eastAsia="zh-CN" w:bidi="ar-SA"/>
        </w:rPr>
        <w:t>支出决算为117.56万元，完成预算100%。</w:t>
      </w:r>
    </w:p>
    <w:p w14:paraId="7E112B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4</w:t>
      </w:r>
      <w:r>
        <w:rPr>
          <w:rFonts w:hint="eastAsia" w:ascii="仿宋_GB2312" w:hAnsi="仿宋" w:eastAsia="仿宋_GB2312" w:cs="Times New Roman"/>
          <w:b/>
          <w:bCs/>
          <w:color w:val="000000"/>
          <w:sz w:val="32"/>
          <w:szCs w:val="32"/>
          <w:lang w:eastAsia="zh-CN"/>
        </w:rPr>
        <w:t>.社会保障和就业（类）</w:t>
      </w:r>
      <w:r>
        <w:rPr>
          <w:rFonts w:hint="eastAsia" w:ascii="仿宋_GB2312" w:hAnsi="仿宋" w:eastAsia="仿宋_GB2312" w:cs="Times New Roman"/>
          <w:b/>
          <w:bCs/>
          <w:color w:val="000000"/>
          <w:sz w:val="32"/>
          <w:szCs w:val="32"/>
          <w:lang w:val="en-US" w:eastAsia="zh-CN"/>
        </w:rPr>
        <w:t>行政事业单位养老支出</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机关事业单位基本养老保险缴费支出</w:t>
      </w:r>
      <w:r>
        <w:rPr>
          <w:rFonts w:hint="eastAsia" w:ascii="仿宋_GB2312" w:hAnsi="仿宋" w:eastAsia="仿宋_GB2312" w:cs="Times New Roman"/>
          <w:b/>
          <w:bCs/>
          <w:color w:val="000000"/>
          <w:sz w:val="32"/>
          <w:szCs w:val="32"/>
          <w:lang w:eastAsia="zh-CN"/>
        </w:rPr>
        <w:t xml:space="preserve">（项）: </w:t>
      </w:r>
      <w:r>
        <w:rPr>
          <w:rFonts w:hint="eastAsia" w:ascii="仿宋_GB2312" w:hAnsi="仿宋" w:eastAsia="仿宋_GB2312" w:cs="Times New Roman"/>
          <w:color w:val="000000"/>
          <w:kern w:val="2"/>
          <w:sz w:val="32"/>
          <w:szCs w:val="32"/>
          <w:lang w:val="en-US" w:eastAsia="zh-CN" w:bidi="ar-SA"/>
        </w:rPr>
        <w:t>支出决算为25.05万元，完成预算100%。</w:t>
      </w:r>
    </w:p>
    <w:p w14:paraId="1C267F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b/>
          <w:bCs/>
          <w:color w:val="000000"/>
          <w:sz w:val="32"/>
          <w:szCs w:val="32"/>
          <w:lang w:val="en-US" w:eastAsia="zh-CN"/>
        </w:rPr>
      </w:pPr>
      <w:r>
        <w:rPr>
          <w:rFonts w:hint="eastAsia" w:ascii="仿宋_GB2312" w:hAnsi="仿宋" w:eastAsia="仿宋_GB2312" w:cs="Times New Roman"/>
          <w:b/>
          <w:bCs/>
          <w:color w:val="000000"/>
          <w:sz w:val="32"/>
          <w:szCs w:val="32"/>
          <w:lang w:val="en-US" w:eastAsia="zh-CN"/>
        </w:rPr>
        <w:t>5</w:t>
      </w:r>
      <w:r>
        <w:rPr>
          <w:rFonts w:hint="eastAsia" w:ascii="仿宋_GB2312" w:hAnsi="仿宋" w:eastAsia="仿宋_GB2312" w:cs="Times New Roman"/>
          <w:b/>
          <w:bCs/>
          <w:color w:val="000000"/>
          <w:sz w:val="32"/>
          <w:szCs w:val="32"/>
          <w:lang w:eastAsia="zh-CN"/>
        </w:rPr>
        <w:t>.社会保障和就业（类）</w:t>
      </w:r>
      <w:r>
        <w:rPr>
          <w:rFonts w:hint="eastAsia" w:ascii="仿宋_GB2312" w:hAnsi="仿宋" w:eastAsia="仿宋_GB2312" w:cs="Times New Roman"/>
          <w:b/>
          <w:bCs/>
          <w:color w:val="000000"/>
          <w:sz w:val="32"/>
          <w:szCs w:val="32"/>
          <w:lang w:val="en-US" w:eastAsia="zh-CN"/>
        </w:rPr>
        <w:t>行政事业单位养老支出</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机关事业单位职业年金缴费支出</w:t>
      </w:r>
      <w:r>
        <w:rPr>
          <w:rFonts w:hint="eastAsia" w:ascii="仿宋_GB2312" w:hAnsi="仿宋" w:eastAsia="仿宋_GB2312" w:cs="Times New Roman"/>
          <w:b/>
          <w:bCs/>
          <w:color w:val="000000"/>
          <w:sz w:val="32"/>
          <w:szCs w:val="32"/>
          <w:lang w:eastAsia="zh-CN"/>
        </w:rPr>
        <w:t xml:space="preserve">（项）: </w:t>
      </w:r>
      <w:r>
        <w:rPr>
          <w:rFonts w:hint="eastAsia" w:ascii="仿宋_GB2312" w:hAnsi="仿宋" w:eastAsia="仿宋_GB2312" w:cs="Times New Roman"/>
          <w:color w:val="000000"/>
          <w:kern w:val="2"/>
          <w:sz w:val="32"/>
          <w:szCs w:val="32"/>
          <w:lang w:val="en-US" w:eastAsia="zh-CN" w:bidi="ar-SA"/>
        </w:rPr>
        <w:t>支出决算为8.18万元，完成预算100%。</w:t>
      </w:r>
    </w:p>
    <w:p w14:paraId="5EABF2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6.</w:t>
      </w:r>
      <w:r>
        <w:rPr>
          <w:rStyle w:val="18"/>
          <w:rFonts w:hint="eastAsia" w:ascii="仿宋" w:hAnsi="仿宋" w:eastAsia="仿宋"/>
          <w:b/>
          <w:bCs w:val="0"/>
          <w:color w:val="auto"/>
          <w:sz w:val="32"/>
          <w:szCs w:val="32"/>
        </w:rPr>
        <w:t>社会保障和就业支出（类）</w:t>
      </w:r>
      <w:r>
        <w:rPr>
          <w:rStyle w:val="18"/>
          <w:rFonts w:hint="eastAsia" w:ascii="仿宋" w:hAnsi="仿宋" w:eastAsia="仿宋"/>
          <w:b/>
          <w:bCs w:val="0"/>
          <w:color w:val="auto"/>
          <w:sz w:val="32"/>
          <w:szCs w:val="32"/>
          <w:lang w:val="en-US" w:eastAsia="zh-CN"/>
        </w:rPr>
        <w:t>其他社会保障和就业支出</w:t>
      </w:r>
      <w:r>
        <w:rPr>
          <w:rStyle w:val="18"/>
          <w:rFonts w:hint="eastAsia" w:ascii="仿宋" w:hAnsi="仿宋" w:eastAsia="仿宋"/>
          <w:b/>
          <w:bCs w:val="0"/>
          <w:color w:val="auto"/>
          <w:sz w:val="32"/>
          <w:szCs w:val="32"/>
        </w:rPr>
        <w:t>（款）</w:t>
      </w:r>
      <w:r>
        <w:rPr>
          <w:rStyle w:val="18"/>
          <w:rFonts w:hint="eastAsia" w:ascii="仿宋" w:hAnsi="仿宋" w:eastAsia="仿宋"/>
          <w:b/>
          <w:bCs w:val="0"/>
          <w:color w:val="auto"/>
          <w:sz w:val="32"/>
          <w:szCs w:val="32"/>
          <w:lang w:val="en-US" w:eastAsia="zh-CN"/>
        </w:rPr>
        <w:t>其他社会保障和就业支出</w:t>
      </w:r>
      <w:r>
        <w:rPr>
          <w:rStyle w:val="18"/>
          <w:rFonts w:hint="eastAsia" w:ascii="仿宋" w:hAnsi="仿宋" w:eastAsia="仿宋"/>
          <w:b/>
          <w:bCs w:val="0"/>
          <w:color w:val="auto"/>
          <w:sz w:val="32"/>
          <w:szCs w:val="32"/>
        </w:rPr>
        <w:t>（项）:</w:t>
      </w:r>
      <w:r>
        <w:rPr>
          <w:rStyle w:val="18"/>
          <w:rFonts w:hint="eastAsia" w:ascii="仿宋" w:hAnsi="仿宋" w:eastAsia="仿宋"/>
          <w:b w:val="0"/>
          <w:bCs/>
          <w:color w:val="auto"/>
          <w:sz w:val="32"/>
          <w:szCs w:val="32"/>
        </w:rPr>
        <w:t>支出决算为</w:t>
      </w:r>
      <w:r>
        <w:rPr>
          <w:rStyle w:val="18"/>
          <w:rFonts w:hint="eastAsia" w:ascii="仿宋" w:hAnsi="仿宋" w:eastAsia="仿宋"/>
          <w:b w:val="0"/>
          <w:bCs/>
          <w:color w:val="auto"/>
          <w:sz w:val="32"/>
          <w:szCs w:val="32"/>
          <w:lang w:val="en-US" w:eastAsia="zh-CN"/>
        </w:rPr>
        <w:t>0.65</w:t>
      </w:r>
      <w:r>
        <w:rPr>
          <w:rStyle w:val="18"/>
          <w:rFonts w:hint="eastAsia" w:ascii="仿宋" w:hAnsi="仿宋" w:eastAsia="仿宋"/>
          <w:b w:val="0"/>
          <w:bCs/>
          <w:color w:val="auto"/>
          <w:sz w:val="32"/>
          <w:szCs w:val="32"/>
        </w:rPr>
        <w:t>万元，</w:t>
      </w:r>
      <w:r>
        <w:rPr>
          <w:rStyle w:val="18"/>
          <w:rFonts w:hint="eastAsia" w:ascii="仿宋" w:hAnsi="仿宋" w:eastAsia="仿宋"/>
          <w:b w:val="0"/>
          <w:bCs/>
          <w:color w:val="auto"/>
          <w:sz w:val="32"/>
          <w:szCs w:val="32"/>
          <w:lang w:eastAsia="zh-CN"/>
        </w:rPr>
        <w:t>完成预算</w:t>
      </w:r>
      <w:r>
        <w:rPr>
          <w:rStyle w:val="18"/>
          <w:rFonts w:hint="eastAsia" w:ascii="仿宋" w:hAnsi="仿宋" w:eastAsia="仿宋"/>
          <w:b w:val="0"/>
          <w:bCs/>
          <w:color w:val="auto"/>
          <w:sz w:val="32"/>
          <w:szCs w:val="32"/>
          <w:lang w:val="en-US" w:eastAsia="zh-CN"/>
        </w:rPr>
        <w:t>100%</w:t>
      </w:r>
      <w:r>
        <w:rPr>
          <w:rStyle w:val="18"/>
          <w:rFonts w:hint="eastAsia" w:ascii="仿宋" w:hAnsi="仿宋" w:eastAsia="仿宋"/>
          <w:b w:val="0"/>
          <w:bCs/>
          <w:color w:val="auto"/>
          <w:sz w:val="32"/>
          <w:szCs w:val="32"/>
        </w:rPr>
        <w:t>。</w:t>
      </w:r>
    </w:p>
    <w:p w14:paraId="351CF2C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Style w:val="18"/>
          <w:rFonts w:hint="eastAsia" w:ascii="仿宋" w:hAnsi="仿宋" w:eastAsia="仿宋"/>
          <w:b/>
          <w:bCs w:val="0"/>
          <w:color w:val="auto"/>
          <w:sz w:val="32"/>
          <w:szCs w:val="32"/>
          <w:lang w:val="en-US" w:eastAsia="zh-CN"/>
        </w:rPr>
        <w:t>7.卫生健康支出</w:t>
      </w:r>
      <w:r>
        <w:rPr>
          <w:rFonts w:hint="eastAsia" w:ascii="仿宋_GB2312" w:hAnsi="仿宋" w:eastAsia="仿宋_GB2312" w:cs="Times New Roman"/>
          <w:b/>
          <w:bCs/>
          <w:color w:val="000000"/>
          <w:sz w:val="32"/>
          <w:szCs w:val="32"/>
          <w:lang w:eastAsia="zh-CN"/>
        </w:rPr>
        <w:t>（类）</w:t>
      </w:r>
      <w:r>
        <w:rPr>
          <w:rFonts w:hint="eastAsia" w:ascii="仿宋_GB2312" w:hAnsi="仿宋" w:eastAsia="仿宋_GB2312" w:cs="Times New Roman"/>
          <w:b/>
          <w:bCs/>
          <w:color w:val="000000"/>
          <w:sz w:val="32"/>
          <w:szCs w:val="32"/>
          <w:lang w:val="en-US" w:eastAsia="zh-CN"/>
        </w:rPr>
        <w:t>行政事业单位医疗</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行政单位医疗</w:t>
      </w:r>
      <w:r>
        <w:rPr>
          <w:rFonts w:hint="eastAsia" w:ascii="仿宋_GB2312" w:hAnsi="仿宋" w:eastAsia="仿宋_GB2312" w:cs="Times New Roman"/>
          <w:b/>
          <w:bCs/>
          <w:color w:val="000000"/>
          <w:sz w:val="32"/>
          <w:szCs w:val="32"/>
          <w:lang w:eastAsia="zh-CN"/>
        </w:rPr>
        <w:t>（项）:</w:t>
      </w:r>
      <w:r>
        <w:rPr>
          <w:rFonts w:hint="eastAsia" w:ascii="仿宋_GB2312" w:hAnsi="仿宋" w:eastAsia="仿宋_GB2312" w:cs="Times New Roman"/>
          <w:color w:val="000000"/>
          <w:kern w:val="2"/>
          <w:sz w:val="32"/>
          <w:szCs w:val="32"/>
          <w:lang w:val="en-US" w:eastAsia="zh-CN" w:bidi="ar-SA"/>
        </w:rPr>
        <w:t>支出决算为3.61万元，完成预算100%。</w:t>
      </w:r>
    </w:p>
    <w:p w14:paraId="57C335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8.</w:t>
      </w:r>
      <w:r>
        <w:rPr>
          <w:rStyle w:val="18"/>
          <w:rFonts w:hint="eastAsia" w:ascii="仿宋" w:hAnsi="仿宋" w:eastAsia="仿宋"/>
          <w:b/>
          <w:bCs w:val="0"/>
          <w:color w:val="auto"/>
          <w:sz w:val="32"/>
          <w:szCs w:val="32"/>
          <w:lang w:val="en-US" w:eastAsia="zh-CN"/>
        </w:rPr>
        <w:t>卫生健康支出</w:t>
      </w:r>
      <w:r>
        <w:rPr>
          <w:rFonts w:hint="eastAsia" w:ascii="仿宋_GB2312" w:hAnsi="仿宋" w:eastAsia="仿宋_GB2312" w:cs="Times New Roman"/>
          <w:b/>
          <w:bCs/>
          <w:color w:val="000000"/>
          <w:sz w:val="32"/>
          <w:szCs w:val="32"/>
          <w:lang w:eastAsia="zh-CN"/>
        </w:rPr>
        <w:t>（类）</w:t>
      </w:r>
      <w:r>
        <w:rPr>
          <w:rFonts w:hint="eastAsia" w:ascii="仿宋_GB2312" w:hAnsi="仿宋" w:eastAsia="仿宋_GB2312" w:cs="Times New Roman"/>
          <w:b/>
          <w:bCs/>
          <w:color w:val="000000"/>
          <w:sz w:val="32"/>
          <w:szCs w:val="32"/>
          <w:lang w:val="en-US" w:eastAsia="zh-CN"/>
        </w:rPr>
        <w:t>行政事业单位医疗</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事业单位医疗</w:t>
      </w:r>
      <w:r>
        <w:rPr>
          <w:rFonts w:hint="eastAsia" w:ascii="仿宋_GB2312" w:hAnsi="仿宋" w:eastAsia="仿宋_GB2312" w:cs="Times New Roman"/>
          <w:b/>
          <w:bCs/>
          <w:color w:val="000000"/>
          <w:sz w:val="32"/>
          <w:szCs w:val="32"/>
          <w:lang w:eastAsia="zh-CN"/>
        </w:rPr>
        <w:t>（项）:</w:t>
      </w:r>
      <w:r>
        <w:rPr>
          <w:rFonts w:hint="eastAsia" w:ascii="仿宋_GB2312" w:hAnsi="仿宋" w:eastAsia="仿宋_GB2312" w:cs="Times New Roman"/>
          <w:color w:val="000000"/>
          <w:kern w:val="2"/>
          <w:sz w:val="32"/>
          <w:szCs w:val="32"/>
          <w:lang w:val="en-US" w:eastAsia="zh-CN" w:bidi="ar-SA"/>
        </w:rPr>
        <w:t>支出决算为5.25万元，完成预算100%。</w:t>
      </w:r>
    </w:p>
    <w:p w14:paraId="57D724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9.</w:t>
      </w:r>
      <w:r>
        <w:rPr>
          <w:rStyle w:val="18"/>
          <w:rFonts w:hint="eastAsia" w:ascii="仿宋" w:hAnsi="仿宋" w:eastAsia="仿宋"/>
          <w:b/>
          <w:bCs w:val="0"/>
          <w:color w:val="auto"/>
          <w:sz w:val="32"/>
          <w:szCs w:val="32"/>
          <w:lang w:val="en-US" w:eastAsia="zh-CN"/>
        </w:rPr>
        <w:t>卫生健康支出</w:t>
      </w:r>
      <w:r>
        <w:rPr>
          <w:rFonts w:hint="eastAsia" w:ascii="仿宋_GB2312" w:hAnsi="仿宋" w:eastAsia="仿宋_GB2312" w:cs="Times New Roman"/>
          <w:b/>
          <w:bCs/>
          <w:color w:val="000000"/>
          <w:sz w:val="32"/>
          <w:szCs w:val="32"/>
          <w:lang w:eastAsia="zh-CN"/>
        </w:rPr>
        <w:t>（类）</w:t>
      </w:r>
      <w:r>
        <w:rPr>
          <w:rFonts w:hint="eastAsia" w:ascii="仿宋_GB2312" w:hAnsi="仿宋" w:eastAsia="仿宋_GB2312" w:cs="Times New Roman"/>
          <w:b/>
          <w:bCs/>
          <w:color w:val="000000"/>
          <w:sz w:val="32"/>
          <w:szCs w:val="32"/>
          <w:lang w:val="en-US" w:eastAsia="zh-CN"/>
        </w:rPr>
        <w:t>行政事业单位医疗</w:t>
      </w:r>
      <w:r>
        <w:rPr>
          <w:rFonts w:hint="eastAsia" w:ascii="仿宋_GB2312" w:hAnsi="仿宋" w:eastAsia="仿宋_GB2312" w:cs="Times New Roman"/>
          <w:b/>
          <w:bCs/>
          <w:color w:val="000000"/>
          <w:sz w:val="32"/>
          <w:szCs w:val="32"/>
          <w:lang w:eastAsia="zh-CN"/>
        </w:rPr>
        <w:t>（款）</w:t>
      </w:r>
      <w:r>
        <w:rPr>
          <w:rFonts w:hint="eastAsia" w:ascii="仿宋_GB2312" w:hAnsi="仿宋" w:eastAsia="仿宋_GB2312" w:cs="Times New Roman"/>
          <w:b/>
          <w:bCs/>
          <w:color w:val="000000"/>
          <w:sz w:val="32"/>
          <w:szCs w:val="32"/>
          <w:lang w:val="en-US" w:eastAsia="zh-CN"/>
        </w:rPr>
        <w:t>其他行政事业单位医疗支出</w:t>
      </w:r>
      <w:r>
        <w:rPr>
          <w:rFonts w:hint="eastAsia" w:ascii="仿宋_GB2312" w:hAnsi="仿宋" w:eastAsia="仿宋_GB2312" w:cs="Times New Roman"/>
          <w:b/>
          <w:bCs/>
          <w:color w:val="000000"/>
          <w:sz w:val="32"/>
          <w:szCs w:val="32"/>
          <w:lang w:eastAsia="zh-CN"/>
        </w:rPr>
        <w:t>（项）:</w:t>
      </w:r>
      <w:r>
        <w:rPr>
          <w:rFonts w:hint="eastAsia" w:ascii="仿宋_GB2312" w:hAnsi="仿宋" w:eastAsia="仿宋_GB2312" w:cs="Times New Roman"/>
          <w:color w:val="000000"/>
          <w:kern w:val="2"/>
          <w:sz w:val="32"/>
          <w:szCs w:val="32"/>
          <w:lang w:val="en-US" w:eastAsia="zh-CN" w:bidi="ar-SA"/>
        </w:rPr>
        <w:t>支出决算为0.35万元，完成预算100%。</w:t>
      </w:r>
    </w:p>
    <w:p w14:paraId="4745AAD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sz w:val="32"/>
          <w:szCs w:val="32"/>
          <w:lang w:val="en-US" w:eastAsia="zh-CN"/>
        </w:rPr>
        <w:t>10.</w:t>
      </w:r>
      <w:r>
        <w:rPr>
          <w:rFonts w:hint="eastAsia" w:ascii="仿宋_GB2312" w:hAnsi="仿宋" w:eastAsia="仿宋_GB2312" w:cs="Times New Roman"/>
          <w:b/>
          <w:bCs/>
          <w:color w:val="000000"/>
          <w:sz w:val="32"/>
          <w:szCs w:val="32"/>
          <w:lang w:eastAsia="zh-CN"/>
        </w:rPr>
        <w:t>住房保障支出（类）住房改革支出（款）住房公积金（项）:</w:t>
      </w:r>
      <w:r>
        <w:rPr>
          <w:rFonts w:hint="eastAsia" w:ascii="仿宋_GB2312" w:hAnsi="仿宋" w:eastAsia="仿宋_GB2312" w:cs="Times New Roman"/>
          <w:color w:val="000000"/>
          <w:kern w:val="2"/>
          <w:sz w:val="32"/>
          <w:szCs w:val="32"/>
          <w:lang w:val="en-US" w:eastAsia="zh-CN" w:bidi="ar-SA"/>
        </w:rPr>
        <w:t>支出决算数为22.49万元，完成预算100%。</w:t>
      </w:r>
    </w:p>
    <w:p w14:paraId="08C134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b w:val="0"/>
          <w:bCs w:val="0"/>
          <w:color w:val="auto"/>
          <w:sz w:val="32"/>
          <w:szCs w:val="32"/>
          <w:lang w:val="en-US" w:eastAsia="zh-CN"/>
        </w:rPr>
      </w:pPr>
      <w:bookmarkStart w:id="38" w:name="_Toc15377214"/>
      <w:bookmarkEnd w:id="38"/>
      <w:bookmarkStart w:id="39" w:name="_Toc15396608"/>
      <w:r>
        <w:rPr>
          <w:rFonts w:hint="eastAsia" w:ascii="黑体" w:hAnsi="黑体" w:eastAsia="黑体" w:cs="黑体"/>
          <w:b w:val="0"/>
          <w:bCs w:val="0"/>
          <w:color w:val="auto"/>
          <w:sz w:val="32"/>
          <w:szCs w:val="32"/>
          <w:lang w:val="en-US" w:eastAsia="zh-CN"/>
        </w:rPr>
        <w:t>六</w:t>
      </w:r>
      <w:bookmarkEnd w:id="39"/>
      <w:r>
        <w:rPr>
          <w:rFonts w:hint="eastAsia" w:ascii="黑体" w:hAnsi="黑体" w:eastAsia="黑体" w:cs="黑体"/>
          <w:b w:val="0"/>
          <w:bCs w:val="0"/>
          <w:color w:val="auto"/>
          <w:sz w:val="32"/>
          <w:szCs w:val="32"/>
          <w:lang w:val="en-US" w:eastAsia="zh-CN"/>
        </w:rPr>
        <w:t>、一般公共预算财政拨款基本支出决算情况说明</w:t>
      </w:r>
    </w:p>
    <w:p w14:paraId="70D693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2024年一般公共预算财政拨款基本支出280.92万元，其中：</w:t>
      </w:r>
    </w:p>
    <w:p w14:paraId="6613A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人员经费244.41万元，主要包括：基本工资、津贴补贴、奖金、绩效工资、机关事业单位基本养老保险缴费、职业年金缴费、</w:t>
      </w:r>
      <w:r>
        <w:rPr>
          <w:rFonts w:hint="eastAsia" w:ascii="仿宋" w:hAnsi="仿宋" w:eastAsia="仿宋"/>
          <w:color w:val="auto"/>
          <w:sz w:val="32"/>
          <w:szCs w:val="32"/>
          <w:lang w:val="en-US" w:eastAsia="zh-CN"/>
        </w:rPr>
        <w:t>职工基本医疗保险缴费、</w:t>
      </w:r>
      <w:r>
        <w:rPr>
          <w:rFonts w:hint="eastAsia" w:ascii="仿宋" w:hAnsi="仿宋" w:eastAsia="仿宋" w:cs="Times New Roman"/>
          <w:b w:val="0"/>
          <w:bCs w:val="0"/>
          <w:color w:val="000000"/>
          <w:sz w:val="32"/>
          <w:szCs w:val="32"/>
          <w:lang w:val="en-US" w:eastAsia="zh-CN"/>
        </w:rPr>
        <w:t>其他社会保障缴费、住房公积金、对个人和家庭的补助等。</w:t>
      </w:r>
      <w:r>
        <w:rPr>
          <w:rFonts w:hint="eastAsia" w:ascii="仿宋" w:hAnsi="仿宋" w:eastAsia="仿宋" w:cs="Times New Roman"/>
          <w:b w:val="0"/>
          <w:bCs w:val="0"/>
          <w:color w:val="000000"/>
          <w:sz w:val="32"/>
          <w:szCs w:val="32"/>
          <w:lang w:val="en-US" w:eastAsia="zh-CN"/>
        </w:rPr>
        <w:br w:type="textWrapping"/>
      </w:r>
      <w:r>
        <w:rPr>
          <w:rFonts w:hint="eastAsia" w:ascii="仿宋" w:hAnsi="仿宋" w:eastAsia="仿宋" w:cs="Times New Roman"/>
          <w:b w:val="0"/>
          <w:bCs w:val="0"/>
          <w:color w:val="000000"/>
          <w:sz w:val="32"/>
          <w:szCs w:val="32"/>
          <w:lang w:val="en-US" w:eastAsia="zh-CN"/>
        </w:rPr>
        <w:t>     公用经费36.51万元，主要包括：办公费、印刷费、水费、邮电费、差旅费、维修（护）费、会议费、公务接待费、劳务费、工会经费、福利费、公务用车运行维护费、其他交通费、其他商品和服务支出等。</w:t>
      </w:r>
    </w:p>
    <w:p w14:paraId="00744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b w:val="0"/>
          <w:bCs w:val="0"/>
          <w:color w:val="000000"/>
          <w:sz w:val="32"/>
          <w:szCs w:val="32"/>
          <w:lang w:val="en-US" w:eastAsia="zh-CN"/>
        </w:rPr>
      </w:pPr>
      <w:bookmarkStart w:id="40" w:name="_Toc15377215"/>
      <w:bookmarkEnd w:id="40"/>
      <w:bookmarkStart w:id="41" w:name="_Toc15396609"/>
      <w:r>
        <w:rPr>
          <w:rFonts w:hint="eastAsia" w:ascii="黑体" w:hAnsi="黑体" w:eastAsia="黑体" w:cs="黑体"/>
          <w:b w:val="0"/>
          <w:bCs w:val="0"/>
          <w:color w:val="000000"/>
          <w:sz w:val="32"/>
          <w:szCs w:val="32"/>
          <w:lang w:val="en-US" w:eastAsia="zh-CN"/>
        </w:rPr>
        <w:t>七、</w:t>
      </w:r>
      <w:bookmarkEnd w:id="41"/>
      <w:r>
        <w:rPr>
          <w:rFonts w:hint="eastAsia" w:ascii="黑体" w:hAnsi="黑体" w:eastAsia="黑体" w:cs="黑体"/>
          <w:b w:val="0"/>
          <w:bCs w:val="0"/>
          <w:color w:val="000000"/>
          <w:sz w:val="32"/>
          <w:szCs w:val="32"/>
          <w:lang w:val="en-US" w:eastAsia="zh-CN"/>
        </w:rPr>
        <w:t>“三公”经费财政拨款支出决算情况说明</w:t>
      </w:r>
    </w:p>
    <w:p w14:paraId="131E13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bookmarkStart w:id="42" w:name="_Toc15377216"/>
      <w:bookmarkEnd w:id="42"/>
      <w:r>
        <w:rPr>
          <w:rFonts w:hint="eastAsia" w:ascii="仿宋" w:hAnsi="仿宋" w:eastAsia="仿宋" w:cs="Times New Roman"/>
          <w:b/>
          <w:bCs/>
          <w:color w:val="000000"/>
          <w:sz w:val="32"/>
          <w:szCs w:val="32"/>
          <w:lang w:val="en-US" w:eastAsia="zh-CN"/>
        </w:rPr>
        <w:t>（一）“三公”经费财政拨款支出决算总体情况说明</w:t>
      </w:r>
    </w:p>
    <w:p w14:paraId="63BE7AEA">
      <w:pPr>
        <w:spacing w:line="600" w:lineRule="exact"/>
        <w:ind w:firstLine="640"/>
        <w:rPr>
          <w:rFonts w:hint="eastAsia" w:ascii="仿宋" w:hAnsi="仿宋" w:eastAsia="仿宋"/>
          <w:color w:val="FF0000"/>
          <w:sz w:val="32"/>
          <w:szCs w:val="32"/>
          <w:highlight w:val="none"/>
          <w:lang w:eastAsia="zh-CN"/>
        </w:rPr>
      </w:pPr>
      <w:r>
        <w:rPr>
          <w:rFonts w:hint="eastAsia" w:ascii="仿宋" w:hAnsi="仿宋" w:eastAsia="仿宋" w:cs="Times New Roman"/>
          <w:b w:val="0"/>
          <w:bCs w:val="0"/>
          <w:color w:val="auto"/>
          <w:sz w:val="32"/>
          <w:szCs w:val="32"/>
          <w:lang w:val="en-US" w:eastAsia="zh-CN"/>
        </w:rPr>
        <w:t>2024年“三公”经费财政拨款支出决算为4.53万元，完成预算87.11%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增加1.22万元，增长36.86%。</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val="en-US" w:eastAsia="zh-CN"/>
        </w:rPr>
        <w:t>大</w:t>
      </w:r>
      <w:r>
        <w:rPr>
          <w:rFonts w:hint="eastAsia" w:ascii="仿宋" w:hAnsi="仿宋" w:eastAsia="仿宋"/>
          <w:color w:val="auto"/>
          <w:sz w:val="32"/>
          <w:szCs w:val="32"/>
          <w:highlight w:val="none"/>
        </w:rPr>
        <w:t>于预算数的主要原因</w:t>
      </w:r>
      <w:r>
        <w:rPr>
          <w:rFonts w:hint="eastAsia" w:ascii="仿宋" w:hAnsi="仿宋" w:eastAsia="仿宋"/>
          <w:color w:val="auto"/>
          <w:sz w:val="32"/>
          <w:szCs w:val="32"/>
          <w:lang w:val="en-US" w:eastAsia="zh-CN"/>
        </w:rPr>
        <w:t>增加督查工作等。</w:t>
      </w:r>
    </w:p>
    <w:p w14:paraId="30455D0A">
      <w:pPr>
        <w:pStyle w:val="13"/>
        <w:rPr>
          <w:rFonts w:hint="eastAsia"/>
          <w:lang w:val="en-US" w:eastAsia="zh-CN"/>
        </w:rPr>
      </w:pPr>
    </w:p>
    <w:p w14:paraId="258126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bookmarkStart w:id="43" w:name="_Toc15377217"/>
      <w:bookmarkEnd w:id="43"/>
      <w:r>
        <w:rPr>
          <w:rFonts w:hint="eastAsia" w:ascii="仿宋" w:hAnsi="仿宋" w:eastAsia="仿宋" w:cs="Times New Roman"/>
          <w:b/>
          <w:bCs/>
          <w:color w:val="000000"/>
          <w:sz w:val="32"/>
          <w:szCs w:val="32"/>
          <w:lang w:val="en-US" w:eastAsia="zh-CN"/>
        </w:rPr>
        <w:t>（二）“三公”经费财政拨款支出决算具体情况说明</w:t>
      </w:r>
    </w:p>
    <w:p w14:paraId="219D7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2024年“三公”经费财政拨款支出决算中，因公出国（境）费支出决算0万元，占0%；公务用车购置及运行维护费支出决算4.28万元，占94.48%；公务接待费支出决算0.25万元，占5.52%。具体情况如下：</w:t>
      </w:r>
      <w:r>
        <w:rPr>
          <w:rFonts w:hint="eastAsia" w:ascii="宋体" w:hAnsi="宋体" w:eastAsia="宋体" w:cs="宋体"/>
          <w:i w:val="0"/>
          <w:caps w:val="0"/>
          <w:color w:val="333333"/>
          <w:spacing w:val="0"/>
          <w:sz w:val="24"/>
          <w:szCs w:val="24"/>
          <w:shd w:val="clear" w:fill="FFFFFF"/>
          <w:lang w:val="en-US" w:eastAsia="zh-CN"/>
        </w:rPr>
        <w:t>（图8：“三公”经费财政拨款支出结构）</w:t>
      </w:r>
    </w:p>
    <w:p w14:paraId="49908C75">
      <w:pPr>
        <w:keepNext w:val="0"/>
        <w:keepLines w:val="0"/>
        <w:pageBreakBefore w:val="0"/>
        <w:widowControl w:val="0"/>
        <w:kinsoku/>
        <w:wordWrap/>
        <w:overflowPunct/>
        <w:topLinePunct w:val="0"/>
        <w:autoSpaceDE/>
        <w:autoSpaceDN/>
        <w:bidi w:val="0"/>
        <w:adjustRightInd/>
        <w:snapToGrid/>
        <w:spacing w:line="576" w:lineRule="exact"/>
        <w:ind w:firstLine="720" w:firstLineChars="300"/>
        <w:textAlignment w:val="auto"/>
        <w:outlineLvl w:val="2"/>
        <w:rPr>
          <w:rFonts w:hint="eastAsia" w:ascii="仿宋" w:hAnsi="仿宋" w:eastAsia="仿宋" w:cs="Times New Roman"/>
          <w:b w:val="0"/>
          <w:bCs w:val="0"/>
          <w:color w:val="000000"/>
          <w:sz w:val="32"/>
          <w:szCs w:val="32"/>
          <w:lang w:val="en-US" w:eastAsia="zh-CN"/>
        </w:rPr>
      </w:pPr>
      <w:r>
        <w:rPr>
          <w:rFonts w:hint="eastAsia" w:ascii="宋体" w:hAnsi="宋体" w:eastAsia="宋体" w:cs="宋体"/>
          <w:i w:val="0"/>
          <w:caps w:val="0"/>
          <w:color w:val="333333"/>
          <w:spacing w:val="0"/>
          <w:sz w:val="24"/>
          <w:szCs w:val="24"/>
          <w:shd w:val="clear" w:fill="FFFFFF"/>
          <w:lang w:val="en-US" w:eastAsia="zh-CN"/>
        </w:rPr>
        <w:drawing>
          <wp:anchor distT="0" distB="0" distL="114300" distR="114300" simplePos="0" relativeHeight="251665408" behindDoc="0" locked="0" layoutInCell="1" allowOverlap="1">
            <wp:simplePos x="0" y="0"/>
            <wp:positionH relativeFrom="column">
              <wp:posOffset>603885</wp:posOffset>
            </wp:positionH>
            <wp:positionV relativeFrom="paragraph">
              <wp:posOffset>246380</wp:posOffset>
            </wp:positionV>
            <wp:extent cx="4181475" cy="2299970"/>
            <wp:effectExtent l="4445" t="4445" r="5080" b="1206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Times New Roman"/>
          <w:b/>
          <w:bCs/>
          <w:color w:val="000000"/>
          <w:sz w:val="32"/>
          <w:szCs w:val="32"/>
          <w:lang w:val="en-US" w:eastAsia="zh-CN"/>
        </w:rPr>
        <w:t>1.因公出国（境）经费支出</w:t>
      </w:r>
      <w:r>
        <w:rPr>
          <w:rFonts w:hint="eastAsia" w:ascii="仿宋" w:hAnsi="仿宋" w:eastAsia="仿宋" w:cs="Times New Roman"/>
          <w:b w:val="0"/>
          <w:bCs w:val="0"/>
          <w:color w:val="000000"/>
          <w:sz w:val="32"/>
          <w:szCs w:val="32"/>
          <w:lang w:val="en-US" w:eastAsia="zh-CN"/>
        </w:rPr>
        <w:t>0万元，完成预算0%。全年安排因公出国（境）团组0次，出国（境）0人。因公出国（境）支出决算比2023年减少0万元，下降0%。主要原因是无因公出国（境）。</w:t>
      </w:r>
    </w:p>
    <w:p w14:paraId="1EA31E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开支内容包括：无。</w:t>
      </w:r>
    </w:p>
    <w:p w14:paraId="7C116F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bCs/>
          <w:color w:val="000000"/>
          <w:sz w:val="32"/>
          <w:szCs w:val="32"/>
          <w:lang w:val="en-US" w:eastAsia="zh-CN"/>
        </w:rPr>
        <w:t>2.公务用车购置及运行维护费支出</w:t>
      </w:r>
      <w:r>
        <w:rPr>
          <w:rFonts w:hint="eastAsia" w:ascii="仿宋" w:hAnsi="仿宋" w:eastAsia="仿宋" w:cs="Times New Roman"/>
          <w:b w:val="0"/>
          <w:bCs w:val="0"/>
          <w:color w:val="000000"/>
          <w:sz w:val="32"/>
          <w:szCs w:val="32"/>
          <w:lang w:val="en-US" w:eastAsia="zh-CN"/>
        </w:rPr>
        <w:t>4.28万元。公务用车购置及运行维护费支出决算比2023年</w:t>
      </w:r>
      <w:r>
        <w:rPr>
          <w:rFonts w:hint="eastAsia" w:ascii="仿宋_GB2312" w:eastAsia="仿宋_GB2312"/>
          <w:color w:val="auto"/>
          <w:sz w:val="32"/>
          <w:szCs w:val="32"/>
          <w:highlight w:val="none"/>
        </w:rPr>
        <w:t>增加</w:t>
      </w:r>
      <w:r>
        <w:rPr>
          <w:rFonts w:hint="eastAsia" w:ascii="仿宋" w:hAnsi="仿宋" w:eastAsia="仿宋" w:cs="Times New Roman"/>
          <w:b w:val="0"/>
          <w:bCs w:val="0"/>
          <w:color w:val="000000"/>
          <w:sz w:val="32"/>
          <w:szCs w:val="32"/>
          <w:lang w:val="en-US" w:eastAsia="zh-CN"/>
        </w:rPr>
        <w:t>1.37万元，</w:t>
      </w:r>
      <w:r>
        <w:rPr>
          <w:rFonts w:hint="eastAsia" w:ascii="仿宋_GB2312" w:eastAsia="仿宋_GB2312"/>
          <w:color w:val="auto"/>
          <w:sz w:val="32"/>
          <w:szCs w:val="32"/>
          <w:highlight w:val="none"/>
        </w:rPr>
        <w:t>增长</w:t>
      </w:r>
      <w:r>
        <w:rPr>
          <w:rFonts w:hint="eastAsia" w:ascii="仿宋" w:hAnsi="仿宋" w:eastAsia="仿宋" w:cs="Times New Roman"/>
          <w:b w:val="0"/>
          <w:bCs w:val="0"/>
          <w:color w:val="000000"/>
          <w:sz w:val="32"/>
          <w:szCs w:val="32"/>
          <w:lang w:val="en-US" w:eastAsia="zh-CN"/>
        </w:rPr>
        <w:t>47.08%。主要原因是增加督查工作。</w:t>
      </w:r>
    </w:p>
    <w:p w14:paraId="4A5578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其中：</w:t>
      </w:r>
      <w:r>
        <w:rPr>
          <w:rFonts w:hint="eastAsia" w:ascii="仿宋" w:hAnsi="仿宋" w:eastAsia="仿宋" w:cs="Times New Roman"/>
          <w:b/>
          <w:bCs/>
          <w:color w:val="000000"/>
          <w:sz w:val="32"/>
          <w:szCs w:val="32"/>
          <w:lang w:val="en-US" w:eastAsia="zh-CN"/>
        </w:rPr>
        <w:t>公务用车购置支出0万元。</w:t>
      </w:r>
      <w:r>
        <w:rPr>
          <w:rFonts w:hint="eastAsia" w:ascii="仿宋" w:hAnsi="仿宋" w:eastAsia="仿宋" w:cs="Times New Roman"/>
          <w:b w:val="0"/>
          <w:bCs w:val="0"/>
          <w:color w:val="000000"/>
          <w:sz w:val="32"/>
          <w:szCs w:val="32"/>
          <w:lang w:val="en-US" w:eastAsia="zh-CN"/>
        </w:rPr>
        <w:t>全年按规定更新购置公务用车0辆。截至2024年12月底，单位共有公务用车1辆，其中：轿车0辆、越野车1辆、载客汽车0辆。</w:t>
      </w:r>
    </w:p>
    <w:p w14:paraId="1AD5862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bCs/>
          <w:color w:val="000000"/>
          <w:sz w:val="32"/>
          <w:szCs w:val="32"/>
          <w:lang w:val="en-US" w:eastAsia="zh-CN"/>
        </w:rPr>
        <w:t>公务用车运行维护费支出</w:t>
      </w:r>
      <w:r>
        <w:rPr>
          <w:rFonts w:hint="eastAsia" w:ascii="仿宋" w:hAnsi="仿宋" w:eastAsia="仿宋" w:cs="Times New Roman"/>
          <w:b w:val="0"/>
          <w:bCs w:val="0"/>
          <w:color w:val="000000"/>
          <w:sz w:val="32"/>
          <w:szCs w:val="32"/>
          <w:lang w:val="en-US" w:eastAsia="zh-CN"/>
        </w:rPr>
        <w:t>4.28万元。主要用于各项督查等所需的公务用车燃料费、维修费、过路过桥费、保险费等支出。</w:t>
      </w:r>
    </w:p>
    <w:p w14:paraId="2032EC38">
      <w:pPr>
        <w:spacing w:line="600" w:lineRule="exact"/>
        <w:ind w:firstLine="640"/>
        <w:rPr>
          <w:rFonts w:ascii="仿宋_GB2312" w:eastAsia="仿宋_GB2312"/>
          <w:color w:val="auto"/>
          <w:sz w:val="32"/>
          <w:szCs w:val="32"/>
          <w:highlight w:val="none"/>
        </w:rPr>
      </w:pPr>
      <w:r>
        <w:rPr>
          <w:rFonts w:hint="eastAsia" w:ascii="仿宋" w:hAnsi="仿宋" w:eastAsia="仿宋" w:cs="Times New Roman"/>
          <w:b/>
          <w:bCs/>
          <w:color w:val="000000"/>
          <w:sz w:val="32"/>
          <w:szCs w:val="32"/>
          <w:lang w:val="en-US" w:eastAsia="zh-CN"/>
        </w:rPr>
        <w:t>3.公务接待费支出</w:t>
      </w:r>
      <w:r>
        <w:rPr>
          <w:rFonts w:hint="eastAsia" w:ascii="仿宋" w:hAnsi="仿宋" w:eastAsia="仿宋" w:cs="Times New Roman"/>
          <w:b w:val="0"/>
          <w:bCs w:val="0"/>
          <w:color w:val="000000"/>
          <w:sz w:val="32"/>
          <w:szCs w:val="32"/>
          <w:lang w:val="en-US" w:eastAsia="zh-CN"/>
        </w:rPr>
        <w:t>0.25万元，</w:t>
      </w:r>
      <w:r>
        <w:rPr>
          <w:rFonts w:hint="eastAsia" w:ascii="仿宋" w:hAnsi="仿宋" w:eastAsia="仿宋" w:cs="Times New Roman"/>
          <w:b w:val="0"/>
          <w:bCs w:val="0"/>
          <w:color w:val="auto"/>
          <w:sz w:val="32"/>
          <w:szCs w:val="32"/>
          <w:lang w:val="en-US" w:eastAsia="zh-CN"/>
        </w:rPr>
        <w:t>完成预算62.5%。</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37.5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rPr>
        <w:t>严格执行中央八项规定</w:t>
      </w:r>
      <w:r>
        <w:rPr>
          <w:rFonts w:hint="eastAsia" w:ascii="仿宋" w:hAnsi="仿宋" w:eastAsia="仿宋"/>
          <w:color w:val="auto"/>
          <w:sz w:val="32"/>
          <w:szCs w:val="32"/>
          <w:highlight w:val="none"/>
          <w:lang w:val="en-US" w:eastAsia="zh-CN"/>
        </w:rPr>
        <w:t>精神，</w:t>
      </w:r>
      <w:r>
        <w:rPr>
          <w:rFonts w:hint="eastAsia" w:ascii="仿宋" w:hAnsi="仿宋" w:eastAsia="仿宋"/>
          <w:color w:val="auto"/>
          <w:sz w:val="32"/>
          <w:szCs w:val="32"/>
          <w:highlight w:val="none"/>
        </w:rPr>
        <w:t>厉行节约</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减少开支</w:t>
      </w:r>
      <w:r>
        <w:rPr>
          <w:rFonts w:hint="eastAsia" w:ascii="仿宋" w:hAnsi="仿宋" w:eastAsia="仿宋"/>
          <w:color w:val="auto"/>
          <w:sz w:val="32"/>
          <w:szCs w:val="32"/>
          <w:highlight w:val="none"/>
          <w:lang w:eastAsia="zh-CN"/>
        </w:rPr>
        <w:t>。</w:t>
      </w:r>
    </w:p>
    <w:p w14:paraId="322CFF6C">
      <w:pPr>
        <w:spacing w:line="600" w:lineRule="exact"/>
        <w:ind w:firstLine="0"/>
        <w:rPr>
          <w:rFonts w:ascii="仿宋_GB2312" w:eastAsia="仿宋_GB2312"/>
          <w:color w:val="auto"/>
          <w:sz w:val="32"/>
          <w:szCs w:val="32"/>
          <w:highlight w:val="none"/>
        </w:rPr>
      </w:pPr>
      <w:r>
        <w:rPr>
          <w:rFonts w:hint="eastAsia" w:ascii="仿宋_GB2312" w:eastAsia="仿宋_GB2312"/>
          <w:color w:val="auto"/>
          <w:sz w:val="32"/>
          <w:szCs w:val="32"/>
          <w:highlight w:val="none"/>
        </w:rPr>
        <w:t>其中：</w:t>
      </w:r>
    </w:p>
    <w:p w14:paraId="1914EC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仿宋" w:hAnsi="仿宋" w:eastAsia="仿宋" w:cs="Times New Roman"/>
          <w:b w:val="0"/>
          <w:bCs w:val="0"/>
          <w:color w:val="FF0000"/>
          <w:sz w:val="32"/>
          <w:szCs w:val="32"/>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0.25</w:t>
      </w:r>
      <w:r>
        <w:rPr>
          <w:rFonts w:hint="eastAsia" w:ascii="仿宋_GB2312" w:eastAsia="仿宋_GB2312"/>
          <w:color w:val="auto"/>
          <w:sz w:val="32"/>
          <w:szCs w:val="32"/>
          <w:highlight w:val="none"/>
        </w:rPr>
        <w:t>万元，</w:t>
      </w:r>
    </w:p>
    <w:p w14:paraId="78F3A8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主要用于执行公务、开展业务活动开支的交通费、住宿费、用餐费等。国内公务接待3批次，27人次（不包括陪同人员），共计支出0.25万元，具体内容包括：</w:t>
      </w:r>
      <w:r>
        <w:rPr>
          <w:rFonts w:hint="eastAsia" w:ascii="仿宋" w:hAnsi="仿宋" w:eastAsia="仿宋"/>
          <w:color w:val="auto"/>
          <w:sz w:val="32"/>
          <w:szCs w:val="32"/>
          <w:lang w:val="en-US" w:eastAsia="zh-CN"/>
        </w:rPr>
        <w:t>用于市委绩效办督查组督查指导等公务接待</w:t>
      </w:r>
      <w:r>
        <w:rPr>
          <w:rFonts w:hint="eastAsia" w:ascii="仿宋" w:hAnsi="仿宋" w:eastAsia="仿宋"/>
          <w:color w:val="auto"/>
          <w:sz w:val="32"/>
          <w:szCs w:val="32"/>
          <w:lang w:eastAsia="zh-CN"/>
        </w:rPr>
        <w:t>。</w:t>
      </w:r>
    </w:p>
    <w:p w14:paraId="66AEA8D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bCs/>
          <w:color w:val="000000"/>
          <w:sz w:val="32"/>
          <w:szCs w:val="32"/>
          <w:lang w:val="en-US" w:eastAsia="zh-CN"/>
        </w:rPr>
        <w:t>外事接待支出</w:t>
      </w:r>
      <w:r>
        <w:rPr>
          <w:rFonts w:hint="eastAsia" w:ascii="仿宋" w:hAnsi="仿宋" w:eastAsia="仿宋" w:cs="Times New Roman"/>
          <w:b w:val="0"/>
          <w:bCs w:val="0"/>
          <w:color w:val="000000"/>
          <w:sz w:val="32"/>
          <w:szCs w:val="32"/>
          <w:lang w:val="en-US" w:eastAsia="zh-CN"/>
        </w:rPr>
        <w:t>0万元，外事接待0批次，0人，共计支出0万元。</w:t>
      </w:r>
    </w:p>
    <w:p w14:paraId="2AB21D9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bCs/>
          <w:color w:val="000000"/>
          <w:sz w:val="32"/>
          <w:szCs w:val="32"/>
          <w:lang w:val="en-US" w:eastAsia="zh-CN"/>
        </w:rPr>
        <w:t>其他国内公务接待支出0万元。</w:t>
      </w:r>
    </w:p>
    <w:p w14:paraId="02C55DD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lang w:val="en-US" w:eastAsia="zh-CN"/>
        </w:rPr>
        <w:t>八、政府性基金预算支出决算情况说明</w:t>
      </w:r>
    </w:p>
    <w:p w14:paraId="7C42B4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2024年政府性基金预算拨款支出0万元。</w:t>
      </w:r>
    </w:p>
    <w:p w14:paraId="446D908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黑体" w:hAnsi="Times New Roman" w:eastAsia="黑体" w:cs="Times New Roman"/>
          <w:color w:val="000000"/>
          <w:sz w:val="32"/>
          <w:szCs w:val="32"/>
          <w:lang w:val="en-US" w:eastAsia="zh-CN"/>
        </w:rPr>
      </w:pPr>
      <w:bookmarkStart w:id="44" w:name="_Toc15396611"/>
      <w:r>
        <w:rPr>
          <w:rFonts w:hint="eastAsia" w:ascii="黑体" w:hAnsi="Times New Roman" w:eastAsia="黑体" w:cs="Times New Roman"/>
          <w:color w:val="000000"/>
          <w:sz w:val="32"/>
          <w:szCs w:val="32"/>
          <w:lang w:val="en-US" w:eastAsia="zh-CN"/>
        </w:rPr>
        <w:t> 九、</w:t>
      </w:r>
      <w:bookmarkEnd w:id="44"/>
      <w:r>
        <w:rPr>
          <w:rFonts w:hint="eastAsia" w:ascii="黑体" w:hAnsi="Times New Roman" w:eastAsia="黑体" w:cs="Times New Roman"/>
          <w:color w:val="000000"/>
          <w:sz w:val="32"/>
          <w:szCs w:val="32"/>
          <w:lang w:val="en-US" w:eastAsia="zh-CN"/>
        </w:rPr>
        <w:t>国有资本经营预算支出决算情况说明</w:t>
      </w:r>
    </w:p>
    <w:p w14:paraId="6A614C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2024年国有资本经营预算拨款支出0万元。</w:t>
      </w:r>
    </w:p>
    <w:p w14:paraId="028A2DE4">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outlineLvl w:val="1"/>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lang w:val="en-US" w:eastAsia="zh-CN"/>
        </w:rPr>
        <w:t>预算绩效情况说明</w:t>
      </w:r>
    </w:p>
    <w:p w14:paraId="1C8571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r>
        <w:rPr>
          <w:rFonts w:hint="eastAsia" w:ascii="仿宋" w:hAnsi="仿宋" w:eastAsia="仿宋" w:cs="Times New Roman"/>
          <w:b/>
          <w:bCs/>
          <w:color w:val="000000"/>
          <w:sz w:val="32"/>
          <w:szCs w:val="32"/>
          <w:lang w:val="en-US" w:eastAsia="zh-CN"/>
        </w:rPr>
        <w:t>（一）机关运行经费支出情况</w:t>
      </w:r>
    </w:p>
    <w:p w14:paraId="7716AF77">
      <w:pPr>
        <w:spacing w:line="600" w:lineRule="exact"/>
        <w:ind w:firstLine="640"/>
        <w:rPr>
          <w:rFonts w:hint="default" w:ascii="仿宋" w:hAnsi="仿宋" w:eastAsia="仿宋"/>
          <w:color w:val="auto"/>
          <w:sz w:val="32"/>
          <w:szCs w:val="32"/>
          <w:lang w:val="en-US" w:eastAsia="zh-CN"/>
        </w:rPr>
      </w:pPr>
      <w:r>
        <w:rPr>
          <w:rFonts w:hint="eastAsia" w:ascii="仿宋" w:hAnsi="仿宋" w:eastAsia="仿宋" w:cs="Times New Roman"/>
          <w:b w:val="0"/>
          <w:bCs w:val="0"/>
          <w:color w:val="000000"/>
          <w:sz w:val="32"/>
          <w:szCs w:val="32"/>
          <w:lang w:val="en-US" w:eastAsia="zh-CN"/>
        </w:rPr>
        <w:t>2024年，中共蓬溪县委目标绩效管理办公室机关运行经费支出36.51万元，比2023年增加10.86万元，增长42.34%。主要原因</w:t>
      </w:r>
      <w:r>
        <w:rPr>
          <w:rFonts w:hint="eastAsia" w:ascii="仿宋" w:hAnsi="仿宋" w:eastAsia="仿宋"/>
          <w:color w:val="auto"/>
          <w:sz w:val="32"/>
          <w:szCs w:val="32"/>
          <w:lang w:val="en-US" w:eastAsia="zh-CN"/>
        </w:rPr>
        <w:t>机关人员增加，增加督查工作等。</w:t>
      </w:r>
    </w:p>
    <w:p w14:paraId="3B649CB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r>
        <w:rPr>
          <w:rFonts w:hint="eastAsia" w:ascii="仿宋" w:hAnsi="仿宋" w:eastAsia="仿宋" w:cs="Times New Roman"/>
          <w:b/>
          <w:bCs/>
          <w:color w:val="000000"/>
          <w:sz w:val="32"/>
          <w:szCs w:val="32"/>
          <w:lang w:val="en-US" w:eastAsia="zh-CN"/>
        </w:rPr>
        <w:t>（二）政府采购支出情况</w:t>
      </w:r>
    </w:p>
    <w:p w14:paraId="37B934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000000"/>
          <w:sz w:val="32"/>
          <w:szCs w:val="32"/>
          <w:lang w:val="en-US" w:eastAsia="zh-CN"/>
        </w:rPr>
        <w:t>2024年，中共蓬溪县委目标绩效管理办公室政府采购支出总额1.82万元，其中：政府采购货物支出0.82万元、政府采购工程支出0万元、政府采购服务支出1万元。</w:t>
      </w:r>
      <w:r>
        <w:rPr>
          <w:rFonts w:hint="eastAsia" w:ascii="仿宋" w:hAnsi="仿宋" w:eastAsia="仿宋"/>
          <w:color w:val="auto"/>
          <w:sz w:val="32"/>
          <w:szCs w:val="32"/>
          <w:lang w:eastAsia="zh-CN"/>
        </w:rPr>
        <w:t>主要用于</w:t>
      </w:r>
      <w:r>
        <w:rPr>
          <w:rFonts w:hint="eastAsia" w:ascii="仿宋" w:hAnsi="仿宋" w:eastAsia="仿宋"/>
          <w:color w:val="auto"/>
          <w:sz w:val="32"/>
          <w:szCs w:val="32"/>
          <w:lang w:val="en-US" w:eastAsia="zh-CN"/>
        </w:rPr>
        <w:t>电脑、打印机、公车燃油</w:t>
      </w:r>
      <w:r>
        <w:rPr>
          <w:rFonts w:hint="eastAsia" w:ascii="仿宋" w:hAnsi="仿宋" w:eastAsia="仿宋"/>
          <w:color w:val="auto"/>
          <w:sz w:val="32"/>
          <w:szCs w:val="32"/>
          <w:lang w:eastAsia="zh-CN"/>
        </w:rPr>
        <w:t>。</w:t>
      </w:r>
      <w:r>
        <w:rPr>
          <w:rFonts w:hint="eastAsia" w:ascii="仿宋" w:hAnsi="仿宋" w:eastAsia="仿宋" w:cs="Times New Roman"/>
          <w:b w:val="0"/>
          <w:bCs w:val="0"/>
          <w:color w:val="auto"/>
          <w:sz w:val="32"/>
          <w:szCs w:val="32"/>
          <w:lang w:val="en-US" w:eastAsia="zh-CN"/>
        </w:rPr>
        <w:t>授予中小企业合同金额0万元，占政府采购支出总额的0%，其中：授予小微企业合同金额0万元，占政府采购支出总额的0%。</w:t>
      </w:r>
    </w:p>
    <w:p w14:paraId="47B3565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000000"/>
          <w:sz w:val="32"/>
          <w:szCs w:val="32"/>
          <w:lang w:val="en-US" w:eastAsia="zh-CN"/>
        </w:rPr>
      </w:pPr>
      <w:r>
        <w:rPr>
          <w:rFonts w:hint="eastAsia" w:ascii="仿宋" w:hAnsi="仿宋" w:eastAsia="仿宋" w:cs="Times New Roman"/>
          <w:b/>
          <w:bCs/>
          <w:color w:val="000000"/>
          <w:sz w:val="32"/>
          <w:szCs w:val="32"/>
          <w:lang w:val="en-US" w:eastAsia="zh-CN"/>
        </w:rPr>
        <w:t>（三）国有资产占有使用情况</w:t>
      </w:r>
    </w:p>
    <w:p w14:paraId="2875EC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截至2024年12月31日，中共蓬溪县委目标绩效管理办公室共有车辆1辆，其中：部级领导干部用车0辆、一般公务用车1辆、一般执法执勤用车0辆、特种专业技术用车0辆、其他用车0辆，单价50万元以上通用设备0台（套），单价100万元以上专用设备0台（套）。</w:t>
      </w:r>
    </w:p>
    <w:p w14:paraId="380B6452">
      <w:pPr>
        <w:keepNext w:val="0"/>
        <w:keepLines w:val="0"/>
        <w:widowControl w:val="0"/>
        <w:numPr>
          <w:ilvl w:val="0"/>
          <w:numId w:val="3"/>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3" w:firstLineChars="200"/>
        <w:jc w:val="both"/>
        <w:rPr>
          <w:rFonts w:hint="eastAsia" w:ascii="仿宋" w:hAnsi="仿宋" w:eastAsia="仿宋"/>
          <w:b/>
          <w:bCs/>
          <w:color w:val="auto"/>
          <w:sz w:val="32"/>
          <w:szCs w:val="32"/>
          <w:lang w:eastAsia="zh-CN"/>
        </w:rPr>
      </w:pPr>
      <w:bookmarkStart w:id="45" w:name="_Toc15377221"/>
      <w:bookmarkEnd w:id="45"/>
      <w:bookmarkStart w:id="46" w:name="_Toc15396612"/>
      <w:r>
        <w:rPr>
          <w:rFonts w:hint="eastAsia" w:ascii="仿宋" w:hAnsi="仿宋" w:eastAsia="仿宋"/>
          <w:b/>
          <w:bCs/>
          <w:color w:val="auto"/>
          <w:sz w:val="32"/>
          <w:szCs w:val="32"/>
          <w:lang w:eastAsia="zh-CN"/>
        </w:rPr>
        <w:t>预算绩效管理工作开展情况</w:t>
      </w:r>
    </w:p>
    <w:p w14:paraId="658284FA">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营商环境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综合事务</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2A3DB66C">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s="Times New Roman"/>
          <w:b w:val="0"/>
          <w:bCs w:val="0"/>
          <w:color w:val="000000"/>
          <w:sz w:val="32"/>
          <w:szCs w:val="32"/>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全面开展绩效自评，形成中共蓬溪县委目标绩效管理办公室</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绩效自评报告，其中，县委绩效办部门整体（含部门预算项目）绩效自评得分为93.42分，绩效自评综述：</w:t>
      </w:r>
      <w:r>
        <w:rPr>
          <w:rFonts w:hint="eastAsia" w:ascii="仿宋_GB2312" w:hAnsi="仿宋_GB2312" w:eastAsia="仿宋_GB2312" w:cs="仿宋_GB2312"/>
          <w:color w:val="auto"/>
          <w:sz w:val="32"/>
          <w:szCs w:val="32"/>
          <w:highlight w:val="none"/>
          <w:lang w:eastAsia="zh-CN"/>
        </w:rPr>
        <w:t>本部门按要求对202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年部门整体支出开展绩效自评，从评价情况来看，202</w:t>
      </w:r>
      <w:r>
        <w:rPr>
          <w:rFonts w:hint="eastAsia" w:ascii="仿宋_GB2312" w:hAnsi="仿宋_GB2312" w:eastAsia="仿宋_GB2312" w:cs="仿宋_GB2312"/>
          <w:color w:val="auto"/>
          <w:sz w:val="32"/>
          <w:szCs w:val="32"/>
          <w:highlight w:val="none"/>
          <w:lang w:val="en-US" w:eastAsia="zh-CN"/>
        </w:rPr>
        <w:t>4年</w:t>
      </w:r>
      <w:r>
        <w:rPr>
          <w:rFonts w:hint="default" w:ascii="仿宋_GB2312" w:hAnsi="仿宋_GB2312" w:eastAsia="仿宋_GB2312" w:cs="仿宋_GB2312"/>
          <w:color w:val="auto"/>
          <w:sz w:val="32"/>
          <w:szCs w:val="32"/>
          <w:highlight w:val="none"/>
          <w:lang w:eastAsia="zh-CN"/>
        </w:rPr>
        <w:t>度支出绩效较好，预算编制比较精确、合理;</w:t>
      </w:r>
      <w:r>
        <w:rPr>
          <w:rFonts w:hint="eastAsia" w:ascii="仿宋_GB2312" w:hAnsi="仿宋_GB2312" w:eastAsia="仿宋_GB2312" w:cs="仿宋_GB2312"/>
          <w:color w:val="auto"/>
          <w:sz w:val="32"/>
          <w:szCs w:val="32"/>
          <w:highlight w:val="none"/>
          <w:lang w:val="en-US" w:eastAsia="zh-CN"/>
        </w:rPr>
        <w:t>严格</w:t>
      </w:r>
      <w:r>
        <w:rPr>
          <w:rFonts w:hint="default" w:ascii="仿宋_GB2312" w:hAnsi="仿宋_GB2312" w:eastAsia="仿宋_GB2312" w:cs="仿宋_GB2312"/>
          <w:color w:val="auto"/>
          <w:sz w:val="32"/>
          <w:szCs w:val="32"/>
          <w:highlight w:val="none"/>
          <w:lang w:eastAsia="zh-CN"/>
        </w:rPr>
        <w:t>落实中央八项规定</w:t>
      </w:r>
      <w:r>
        <w:rPr>
          <w:rFonts w:hint="eastAsia" w:ascii="仿宋_GB2312" w:hAnsi="仿宋_GB2312" w:eastAsia="仿宋_GB2312" w:cs="仿宋_GB2312"/>
          <w:color w:val="auto"/>
          <w:sz w:val="32"/>
          <w:szCs w:val="32"/>
          <w:highlight w:val="none"/>
          <w:lang w:eastAsia="zh-CN"/>
        </w:rPr>
        <w:t>精神</w:t>
      </w:r>
      <w:r>
        <w:rPr>
          <w:rFonts w:hint="default" w:ascii="仿宋_GB2312" w:hAnsi="仿宋_GB2312" w:eastAsia="仿宋_GB2312" w:cs="仿宋_GB2312"/>
          <w:color w:val="auto"/>
          <w:sz w:val="32"/>
          <w:szCs w:val="32"/>
          <w:highlight w:val="none"/>
          <w:lang w:eastAsia="zh-CN"/>
        </w:rPr>
        <w:t>，厉行节约、反对浪费，压缩了“三公”经费及一般性支出;</w:t>
      </w:r>
      <w:r>
        <w:rPr>
          <w:rFonts w:hint="default" w:ascii="仿宋_GB2312" w:hAnsi="仿宋_GB2312" w:eastAsia="仿宋_GB2312" w:cs="仿宋_GB2312"/>
          <w:color w:val="auto"/>
          <w:sz w:val="32"/>
          <w:szCs w:val="32"/>
          <w:highlight w:val="none"/>
          <w:lang w:val="en-US" w:eastAsia="zh-CN"/>
        </w:rPr>
        <w:t>科学分析</w:t>
      </w:r>
      <w:r>
        <w:rPr>
          <w:rFonts w:hint="default" w:ascii="仿宋_GB2312" w:hAnsi="仿宋_GB2312" w:eastAsia="仿宋_GB2312" w:cs="仿宋_GB2312"/>
          <w:color w:val="auto"/>
          <w:sz w:val="32"/>
          <w:szCs w:val="32"/>
          <w:highlight w:val="none"/>
          <w:lang w:eastAsia="zh-CN"/>
        </w:rPr>
        <w:t>优化了年度预算安排，保障了在经费压缩情况下的高效运转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绩效自评报告详见附件。</w:t>
      </w:r>
      <w:bookmarkEnd w:id="46"/>
    </w:p>
    <w:p w14:paraId="39CFE962">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 </w:t>
      </w:r>
    </w:p>
    <w:p w14:paraId="5B30721C">
      <w:pPr>
        <w:pStyle w:val="20"/>
        <w:rPr>
          <w:rFonts w:hint="eastAsia" w:ascii="仿宋" w:hAnsi="仿宋" w:eastAsia="仿宋" w:cs="Times New Roman"/>
          <w:b w:val="0"/>
          <w:bCs w:val="0"/>
          <w:color w:val="000000"/>
          <w:sz w:val="32"/>
          <w:szCs w:val="32"/>
          <w:lang w:val="en-US" w:eastAsia="zh-CN"/>
        </w:rPr>
      </w:pPr>
    </w:p>
    <w:p w14:paraId="42EA2EA1">
      <w:pPr>
        <w:rPr>
          <w:rFonts w:hint="eastAsia" w:ascii="仿宋" w:hAnsi="仿宋" w:eastAsia="仿宋" w:cs="Times New Roman"/>
          <w:b w:val="0"/>
          <w:bCs w:val="0"/>
          <w:color w:val="000000"/>
          <w:sz w:val="32"/>
          <w:szCs w:val="32"/>
          <w:lang w:val="en-US" w:eastAsia="zh-CN"/>
        </w:rPr>
      </w:pPr>
    </w:p>
    <w:p w14:paraId="5CF75441">
      <w:pPr>
        <w:pStyle w:val="20"/>
        <w:rPr>
          <w:rFonts w:hint="eastAsia" w:ascii="仿宋" w:hAnsi="仿宋" w:eastAsia="仿宋" w:cs="Times New Roman"/>
          <w:b w:val="0"/>
          <w:bCs w:val="0"/>
          <w:color w:val="000000"/>
          <w:sz w:val="32"/>
          <w:szCs w:val="32"/>
          <w:lang w:val="en-US" w:eastAsia="zh-CN"/>
        </w:rPr>
      </w:pPr>
    </w:p>
    <w:p w14:paraId="2F792303">
      <w:pPr>
        <w:rPr>
          <w:rFonts w:hint="eastAsia" w:ascii="仿宋" w:hAnsi="仿宋" w:eastAsia="仿宋" w:cs="Times New Roman"/>
          <w:b w:val="0"/>
          <w:bCs w:val="0"/>
          <w:color w:val="000000"/>
          <w:sz w:val="32"/>
          <w:szCs w:val="32"/>
          <w:lang w:val="en-US" w:eastAsia="zh-CN"/>
        </w:rPr>
      </w:pPr>
    </w:p>
    <w:p w14:paraId="7F839EA9">
      <w:pPr>
        <w:pStyle w:val="20"/>
        <w:rPr>
          <w:rFonts w:hint="eastAsia" w:ascii="仿宋" w:hAnsi="仿宋" w:eastAsia="仿宋" w:cs="Times New Roman"/>
          <w:b w:val="0"/>
          <w:bCs w:val="0"/>
          <w:color w:val="000000"/>
          <w:sz w:val="32"/>
          <w:szCs w:val="32"/>
          <w:lang w:val="en-US" w:eastAsia="zh-CN"/>
        </w:rPr>
      </w:pPr>
    </w:p>
    <w:p w14:paraId="2A43AC91">
      <w:pPr>
        <w:rPr>
          <w:rFonts w:hint="eastAsia" w:ascii="仿宋" w:hAnsi="仿宋" w:eastAsia="仿宋" w:cs="Times New Roman"/>
          <w:b w:val="0"/>
          <w:bCs w:val="0"/>
          <w:color w:val="000000"/>
          <w:sz w:val="32"/>
          <w:szCs w:val="32"/>
          <w:lang w:val="en-US" w:eastAsia="zh-CN"/>
        </w:rPr>
      </w:pPr>
    </w:p>
    <w:p w14:paraId="704D895B">
      <w:pPr>
        <w:pStyle w:val="20"/>
        <w:rPr>
          <w:rFonts w:hint="eastAsia"/>
          <w:lang w:val="en-US" w:eastAsia="zh-CN"/>
        </w:rPr>
      </w:pPr>
    </w:p>
    <w:p w14:paraId="039F2654">
      <w:pPr>
        <w:spacing w:line="576" w:lineRule="exact"/>
        <w:ind w:firstLine="0" w:firstLineChars="0"/>
        <w:jc w:val="center"/>
        <w:outlineLvl w:val="2"/>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第三部分 名词解释</w:t>
      </w:r>
    </w:p>
    <w:p w14:paraId="57202FB8">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 </w:t>
      </w:r>
    </w:p>
    <w:p w14:paraId="55F389F4">
      <w:pPr>
        <w:keepNext w:val="0"/>
        <w:keepLines w:val="0"/>
        <w:widowControl/>
        <w:suppressLineNumbers w:val="0"/>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1.财政拨款收入：指单位从同级财政部门取得的财政预算资 </w:t>
      </w:r>
    </w:p>
    <w:p w14:paraId="033EAA83">
      <w:pPr>
        <w:keepNext w:val="0"/>
        <w:keepLines w:val="0"/>
        <w:widowControl/>
        <w:suppressLineNumbers w:val="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金。</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2.其他收入：指除上述“财政拨款收入”、“事业收入”、“事业单位经营收入”等以外的收入。主要是按规定动用的售房收入、存款利息收入以及捐赠收入等。</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3.上年结转：指以前年度尚未完成、结转到本年仍按原规定用途继续使用的资金。</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4.一般公共服务支出（类）政府办公厅（室）及相关机构事务（款）行政运行（项）：指行政单位用于保障机构正常运行、开展日常工作的基本支出。</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5.一般公共服务支出（类）政府办公厅（室）及相关机构事务（款）一般行政管理事务（项）：指政府办公厅（室）及所属事业单位的项目支出。</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6.一般公共服务支出（类）政府事务（款）事业运行（项）：指政府办公厅（室）事业单位用于保障机构正常运行、开展日常工作的基本支出。</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7.社会保障和就业支出（类）行政事业单位离退休（款）机关事业单位基本养老保险缴费支出（项）: 指部门实施养老保险制度由单位缴纳的养老保险费的支出。</w:t>
      </w:r>
    </w:p>
    <w:p w14:paraId="2F20E752">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8.社会保障和就业支出（类）行政事业单位离退休（款）机关事业单位职业年金缴费支出（项）:反映机关事业单位实施养老保险制度由单位实际缴纳的职业年金。</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9.社会保障和就业（类）抚恤（款）死亡抚恤（项）：反映按规定用于烈士和牺牲、病故人员家属的一次性和定期抚恤金以及丧葬补助费。</w:t>
      </w:r>
    </w:p>
    <w:p w14:paraId="209308F2">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10.社会保障和就业（类）其他社会保障和就业（款）其他社会保障和就业支出（项）：反映其他用于行政事业单位离退休方面的支出。</w:t>
      </w:r>
    </w:p>
    <w:p w14:paraId="17978291">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11.卫生健康支出（类）行政事业单位医疗（款）行政单位医疗（项）：反映行政机关及参公管理事业单位用于缴纳单位基本医疗保险支出。</w:t>
      </w:r>
    </w:p>
    <w:p w14:paraId="6D8F0BCF">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12.卫生健康支出（类）行政事业单位医疗（款）其他行政事业单位医疗支出（项）：反映其他用于行政事业单位医疗方面的支出。</w:t>
      </w:r>
    </w:p>
    <w:p w14:paraId="08989800">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13.卫生健康支出（类）行政事业单位医疗（款）事业支出（项）：反映财政部门安排的事业单位基本医疗保险缴费经费，未参加医疗保险的事业单位的公费医疗经费，按国家规定享受离休人员待遇的医疗经费。</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14.住房保障支出（类）住房改革支出（款）住房公积金（项）：指按照《住房公积金管理条例》的规定，由单位缴存的在职职工住房公积金。</w:t>
      </w:r>
      <w:r>
        <w:rPr>
          <w:rFonts w:hint="eastAsia" w:ascii="仿宋" w:hAnsi="仿宋" w:eastAsia="仿宋"/>
          <w:color w:val="auto"/>
          <w:sz w:val="32"/>
          <w:szCs w:val="32"/>
          <w:lang w:val="en-US" w:eastAsia="zh-CN"/>
        </w:rPr>
        <w:br w:type="textWrapping"/>
      </w:r>
      <w:r>
        <w:rPr>
          <w:rFonts w:hint="eastAsia" w:ascii="仿宋" w:hAnsi="仿宋" w:eastAsia="仿宋"/>
          <w:color w:val="auto"/>
          <w:sz w:val="32"/>
          <w:szCs w:val="32"/>
          <w:lang w:val="en-US" w:eastAsia="zh-CN"/>
        </w:rPr>
        <w:t>　　15.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E389C7">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16.基本支出：指为保障机构正常运转、完成日常工作任务而发生的人员支出和公用支出。</w:t>
      </w:r>
    </w:p>
    <w:p w14:paraId="7B1E7F46">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17.项目支出：指在基本支出之外为完成特定行政任务和事业发展目标所发生的支出。 </w:t>
      </w:r>
    </w:p>
    <w:p w14:paraId="1C5F651F">
      <w:pPr>
        <w:keepNext w:val="0"/>
        <w:keepLines w:val="0"/>
        <w:widowControl w:val="0"/>
        <w:numPr>
          <w:ilvl w:val="0"/>
          <w:numId w:val="0"/>
        </w:numPr>
        <w:suppressLineNumbers w:val="0"/>
        <w:pBdr>
          <w:top w:val="single" w:color="FFFFFF" w:sz="4" w:space="0"/>
          <w:left w:val="single" w:color="FFFFFF" w:sz="4" w:space="31"/>
          <w:bottom w:val="single" w:color="FFFFFF" w:sz="4" w:space="31"/>
          <w:right w:val="single" w:color="FFFFFF" w:sz="4" w:space="1"/>
        </w:pBdr>
        <w:autoSpaceDE w:val="0"/>
        <w:autoSpaceDN/>
        <w:spacing w:before="0" w:beforeAutospacing="0" w:after="0" w:afterAutospacing="0" w:line="576" w:lineRule="exact"/>
        <w:ind w:right="0" w:rightChars="0"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 </w:t>
      </w:r>
    </w:p>
    <w:p w14:paraId="57711C2A">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 </w:t>
      </w:r>
    </w:p>
    <w:p w14:paraId="48A2CB6A">
      <w:pPr>
        <w:pStyle w:val="20"/>
        <w:rPr>
          <w:rFonts w:hint="eastAsia" w:ascii="仿宋" w:hAnsi="仿宋" w:eastAsia="仿宋" w:cs="Times New Roman"/>
          <w:b w:val="0"/>
          <w:bCs w:val="0"/>
          <w:color w:val="000000"/>
          <w:sz w:val="32"/>
          <w:szCs w:val="32"/>
          <w:lang w:val="en-US" w:eastAsia="zh-CN"/>
        </w:rPr>
      </w:pPr>
    </w:p>
    <w:p w14:paraId="1D77CD49">
      <w:pPr>
        <w:rPr>
          <w:rFonts w:hint="eastAsia" w:ascii="仿宋" w:hAnsi="仿宋" w:eastAsia="仿宋" w:cs="Times New Roman"/>
          <w:b w:val="0"/>
          <w:bCs w:val="0"/>
          <w:color w:val="000000"/>
          <w:sz w:val="32"/>
          <w:szCs w:val="32"/>
          <w:lang w:val="en-US" w:eastAsia="zh-CN"/>
        </w:rPr>
      </w:pPr>
    </w:p>
    <w:p w14:paraId="1EB927B3">
      <w:pPr>
        <w:pStyle w:val="20"/>
        <w:rPr>
          <w:rFonts w:hint="eastAsia" w:ascii="仿宋" w:hAnsi="仿宋" w:eastAsia="仿宋" w:cs="Times New Roman"/>
          <w:b w:val="0"/>
          <w:bCs w:val="0"/>
          <w:color w:val="000000"/>
          <w:sz w:val="32"/>
          <w:szCs w:val="32"/>
          <w:lang w:val="en-US" w:eastAsia="zh-CN"/>
        </w:rPr>
      </w:pPr>
    </w:p>
    <w:p w14:paraId="38083C88">
      <w:pPr>
        <w:pStyle w:val="20"/>
        <w:rPr>
          <w:rFonts w:hint="eastAsia" w:ascii="仿宋" w:hAnsi="仿宋" w:eastAsia="仿宋" w:cs="Times New Roman"/>
          <w:b w:val="0"/>
          <w:bCs w:val="0"/>
          <w:color w:val="000000"/>
          <w:sz w:val="32"/>
          <w:szCs w:val="32"/>
          <w:lang w:val="en-US" w:eastAsia="zh-CN"/>
        </w:rPr>
      </w:pPr>
    </w:p>
    <w:p w14:paraId="627C0B49">
      <w:pPr>
        <w:rPr>
          <w:rFonts w:hint="eastAsia" w:ascii="仿宋" w:hAnsi="仿宋" w:eastAsia="仿宋" w:cs="Times New Roman"/>
          <w:b w:val="0"/>
          <w:bCs w:val="0"/>
          <w:color w:val="000000"/>
          <w:sz w:val="32"/>
          <w:szCs w:val="32"/>
          <w:lang w:val="en-US" w:eastAsia="zh-CN"/>
        </w:rPr>
      </w:pPr>
    </w:p>
    <w:p w14:paraId="0024EA08">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p>
    <w:p w14:paraId="1133B7A9">
      <w:pPr>
        <w:pStyle w:val="4"/>
        <w:ind w:left="0" w:leftChars="0" w:firstLine="0" w:firstLineChars="0"/>
        <w:rPr>
          <w:rStyle w:val="26"/>
          <w:rFonts w:hint="eastAsia" w:ascii="仿宋" w:hAnsi="仿宋" w:eastAsia="仿宋"/>
          <w:b w:val="0"/>
          <w:bCs w:val="0"/>
          <w:sz w:val="32"/>
          <w:szCs w:val="32"/>
          <w:lang w:val="en-US" w:eastAsia="zh-CN"/>
        </w:rPr>
      </w:pPr>
      <w:bookmarkStart w:id="47" w:name="_Toc15396615"/>
      <w:r>
        <w:rPr>
          <w:rStyle w:val="26"/>
          <w:rFonts w:hint="eastAsia" w:ascii="仿宋" w:hAnsi="仿宋" w:eastAsia="仿宋"/>
          <w:b w:val="0"/>
          <w:bCs w:val="0"/>
          <w:sz w:val="32"/>
          <w:szCs w:val="32"/>
        </w:rPr>
        <w:t>附件</w:t>
      </w:r>
      <w:bookmarkEnd w:id="47"/>
      <w:r>
        <w:rPr>
          <w:rStyle w:val="26"/>
          <w:rFonts w:hint="eastAsia" w:ascii="仿宋" w:hAnsi="仿宋" w:eastAsia="仿宋"/>
          <w:b w:val="0"/>
          <w:bCs w:val="0"/>
          <w:sz w:val="32"/>
          <w:szCs w:val="32"/>
          <w:lang w:val="en-US" w:eastAsia="zh-CN"/>
        </w:rPr>
        <w:t>1</w:t>
      </w:r>
    </w:p>
    <w:p w14:paraId="22AADC2F">
      <w:pPr>
        <w:spacing w:line="600" w:lineRule="exact"/>
        <w:jc w:val="center"/>
        <w:outlineLvl w:val="0"/>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中共蓬溪县委目标绩效管理办公室</w:t>
      </w:r>
    </w:p>
    <w:p w14:paraId="5E479132">
      <w:pPr>
        <w:spacing w:line="600" w:lineRule="exact"/>
        <w:jc w:val="center"/>
        <w:outlineLvl w:val="0"/>
        <w:rPr>
          <w:rFonts w:ascii="黑体" w:hAnsi="黑体" w:eastAsia="黑体" w:cs="方正小标宋简体"/>
          <w:sz w:val="36"/>
          <w:szCs w:val="36"/>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DADAD07">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p>
    <w:p w14:paraId="65886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部门（单位）</w:t>
      </w:r>
      <w:r>
        <w:rPr>
          <w:rFonts w:hint="eastAsia" w:ascii="仿宋_GB2312" w:hAnsi="仿宋_GB2312" w:eastAsia="仿宋_GB2312" w:cs="仿宋_GB2312"/>
          <w:sz w:val="32"/>
          <w:szCs w:val="32"/>
          <w:lang w:val="en-US" w:eastAsia="zh-CN"/>
        </w:rPr>
        <w:t>基本情况</w:t>
      </w:r>
    </w:p>
    <w:p w14:paraId="6E93D0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eastAsia="zh-CN"/>
        </w:rPr>
        <w:t>（一）机构组成</w:t>
      </w:r>
    </w:p>
    <w:p w14:paraId="10AC9A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县委绩效办</w:t>
      </w:r>
      <w:r>
        <w:rPr>
          <w:rFonts w:hint="eastAsia" w:ascii="仿宋_GB2312" w:hAnsi="仿宋_GB2312" w:eastAsia="仿宋_GB2312" w:cs="仿宋_GB2312"/>
          <w:color w:val="000000"/>
          <w:sz w:val="32"/>
          <w:szCs w:val="32"/>
          <w:highlight w:val="none"/>
          <w:lang w:val="en-US" w:eastAsia="zh-CN" w:bidi="ar-SA"/>
        </w:rPr>
        <w:t>无下级预算单位。我部门下设4个业务股室，分别是</w:t>
      </w:r>
      <w:r>
        <w:rPr>
          <w:rFonts w:hint="eastAsia" w:ascii="仿宋_GB2312" w:hAnsi="仿宋_GB2312" w:eastAsia="仿宋_GB2312" w:cs="仿宋_GB2312"/>
          <w:sz w:val="32"/>
          <w:szCs w:val="32"/>
          <w:lang w:val="en-US" w:eastAsia="zh-CN"/>
        </w:rPr>
        <w:t>：综合股、督查股、营商环境治理股、目标绩效评估中心。</w:t>
      </w:r>
    </w:p>
    <w:p w14:paraId="191D09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en-US" w:eastAsia="zh-CN"/>
        </w:rPr>
        <w:t>二</w:t>
      </w:r>
      <w:r>
        <w:rPr>
          <w:rFonts w:hint="eastAsia" w:ascii="仿宋_GB2312" w:hAnsi="仿宋_GB2312" w:eastAsia="仿宋_GB2312" w:cs="仿宋_GB2312"/>
          <w:color w:val="000000"/>
          <w:kern w:val="0"/>
          <w:sz w:val="32"/>
          <w:szCs w:val="32"/>
          <w:shd w:val="clear" w:color="auto" w:fill="FFFFFF"/>
          <w:lang w:val="zh-CN" w:eastAsia="zh-CN"/>
        </w:rPr>
        <w:t>）机构职能</w:t>
      </w:r>
    </w:p>
    <w:p w14:paraId="2AFD71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1.负责市委、市政府下达目标任务的分解及落实情况的督促工作，以及全县目标绩效管理工作。</w:t>
      </w:r>
    </w:p>
    <w:p w14:paraId="7CDB80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2.负责县委、县政府主要领导批示交办事项和县委、县政府重要会议、重要文件和重大工作部署的督查工作。</w:t>
      </w:r>
    </w:p>
    <w:p w14:paraId="6AA6D3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3.负责统筹规范全县督查检查考核工作。</w:t>
      </w:r>
    </w:p>
    <w:p w14:paraId="084C26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4.负责中央和省委、省政府以及市委、市政府督查机构对我县督查检查考核的衔接工作。</w:t>
      </w:r>
    </w:p>
    <w:p w14:paraId="697879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5.负责职责范围内的安全生产和职业健康、生态环境保护等工作。</w:t>
      </w:r>
    </w:p>
    <w:p w14:paraId="1A4D35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6.完成县委和县政府交办的其他任务。</w:t>
      </w:r>
    </w:p>
    <w:p w14:paraId="12C994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（三）人员概况</w:t>
      </w:r>
    </w:p>
    <w:p w14:paraId="300FD9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highlight w:val="none"/>
          <w:lang w:val="en-US" w:eastAsia="zh-CN" w:bidi="ar-SA"/>
        </w:rPr>
        <w:t>截至2024年12月31日，</w:t>
      </w:r>
      <w:r>
        <w:rPr>
          <w:rFonts w:hint="eastAsia" w:ascii="仿宋_GB2312" w:hAnsi="仿宋_GB2312" w:eastAsia="仿宋_GB2312" w:cs="仿宋_GB2312"/>
          <w:sz w:val="32"/>
          <w:szCs w:val="32"/>
          <w:lang w:val="en-US" w:eastAsia="zh-CN"/>
        </w:rPr>
        <w:t>县委绩效办</w:t>
      </w:r>
      <w:r>
        <w:rPr>
          <w:rFonts w:hint="eastAsia" w:ascii="仿宋_GB2312" w:hAnsi="仿宋_GB2312" w:eastAsia="仿宋_GB2312" w:cs="仿宋_GB2312"/>
          <w:sz w:val="32"/>
          <w:szCs w:val="32"/>
        </w:rPr>
        <w:t>编制1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名，其中</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事业编制10名。在编16名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其中：行政</w:t>
      </w:r>
      <w:r>
        <w:rPr>
          <w:rFonts w:hint="eastAsia" w:ascii="仿宋_GB2312" w:hAnsi="仿宋_GB2312" w:eastAsia="仿宋_GB2312" w:cs="仿宋_GB2312"/>
          <w:color w:val="auto"/>
          <w:sz w:val="32"/>
          <w:szCs w:val="32"/>
          <w:lang w:val="en-US" w:eastAsia="zh-CN"/>
        </w:rPr>
        <w:t>6名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w:t>
      </w:r>
      <w:r>
        <w:rPr>
          <w:rFonts w:hint="eastAsia" w:ascii="仿宋_GB2312" w:hAnsi="仿宋_GB2312" w:eastAsia="仿宋_GB2312" w:cs="仿宋_GB2312"/>
          <w:color w:val="auto"/>
          <w:sz w:val="32"/>
          <w:szCs w:val="32"/>
          <w:lang w:val="en-US" w:eastAsia="zh-CN"/>
        </w:rPr>
        <w:t>10名。</w:t>
      </w:r>
    </w:p>
    <w:p w14:paraId="73FBB5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二、部门资金收支情况</w:t>
      </w:r>
    </w:p>
    <w:p w14:paraId="7312EC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（一）收入情况</w:t>
      </w:r>
    </w:p>
    <w:p w14:paraId="693F4193">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我部门</w:t>
      </w:r>
      <w:r>
        <w:rPr>
          <w:rFonts w:hint="eastAsia"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sz w:val="32"/>
          <w:szCs w:val="32"/>
          <w:highlight w:val="none"/>
          <w:lang w:val="en-US"/>
        </w:rPr>
        <w:t>年年初收入预算数为</w:t>
      </w:r>
      <w:r>
        <w:rPr>
          <w:rFonts w:hint="eastAsia" w:ascii="仿宋_GB2312" w:hAnsi="仿宋_GB2312" w:eastAsia="仿宋_GB2312" w:cs="仿宋_GB2312"/>
          <w:color w:val="auto"/>
          <w:sz w:val="32"/>
          <w:szCs w:val="32"/>
          <w:lang w:val="en-US" w:eastAsia="zh-CN"/>
        </w:rPr>
        <w:t>320.91</w:t>
      </w:r>
      <w:r>
        <w:rPr>
          <w:rFonts w:hint="eastAsia" w:ascii="仿宋_GB2312" w:hAnsi="仿宋_GB2312" w:eastAsia="仿宋_GB2312" w:cs="仿宋_GB2312"/>
          <w:color w:val="auto"/>
          <w:sz w:val="32"/>
          <w:szCs w:val="32"/>
        </w:rPr>
        <w:t>万元，其中：上年结转</w:t>
      </w:r>
      <w:r>
        <w:rPr>
          <w:rFonts w:hint="eastAsia" w:ascii="仿宋_GB2312" w:hAnsi="仿宋_GB2312" w:eastAsia="仿宋_GB2312" w:cs="仿宋_GB2312"/>
          <w:color w:val="auto"/>
          <w:sz w:val="32"/>
          <w:szCs w:val="32"/>
          <w:lang w:val="en-US" w:eastAsia="zh-CN"/>
        </w:rPr>
        <w:t>8.45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%；一般公共预算拨款收入</w:t>
      </w:r>
      <w:r>
        <w:rPr>
          <w:rFonts w:hint="eastAsia" w:ascii="仿宋_GB2312" w:hAnsi="仿宋_GB2312" w:eastAsia="仿宋_GB2312" w:cs="仿宋_GB2312"/>
          <w:color w:val="auto"/>
          <w:sz w:val="32"/>
          <w:szCs w:val="32"/>
          <w:lang w:val="en-US" w:eastAsia="zh-CN"/>
        </w:rPr>
        <w:t>312.46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97.4</w:t>
      </w:r>
      <w:r>
        <w:rPr>
          <w:rFonts w:hint="eastAsia" w:ascii="仿宋_GB2312" w:hAnsi="仿宋_GB2312" w:eastAsia="仿宋_GB2312" w:cs="仿宋_GB2312"/>
          <w:color w:val="auto"/>
          <w:sz w:val="32"/>
          <w:szCs w:val="32"/>
        </w:rPr>
        <w:t>%。</w:t>
      </w:r>
    </w:p>
    <w:p w14:paraId="23510C82">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我部门</w:t>
      </w:r>
      <w:r>
        <w:rPr>
          <w:rFonts w:hint="eastAsia"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sz w:val="32"/>
          <w:szCs w:val="32"/>
          <w:highlight w:val="none"/>
          <w:lang w:val="en-US"/>
        </w:rPr>
        <w:t>年收入决算数为</w:t>
      </w:r>
      <w:r>
        <w:rPr>
          <w:rFonts w:hint="eastAsia" w:ascii="仿宋_GB2312" w:hAnsi="仿宋_GB2312" w:eastAsia="仿宋_GB2312" w:cs="仿宋_GB2312"/>
          <w:sz w:val="32"/>
          <w:szCs w:val="32"/>
          <w:lang w:val="en-US" w:eastAsia="zh-CN"/>
        </w:rPr>
        <w:t>344.37</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highlight w:val="none"/>
          <w:lang w:val="en-US"/>
        </w:rPr>
        <w:t>一般公共预算财政拨款收入</w:t>
      </w:r>
      <w:r>
        <w:rPr>
          <w:rFonts w:hint="eastAsia" w:ascii="仿宋_GB2312" w:hAnsi="仿宋_GB2312" w:eastAsia="仿宋_GB2312" w:cs="仿宋_GB2312"/>
          <w:sz w:val="32"/>
          <w:szCs w:val="32"/>
          <w:lang w:val="en-US" w:eastAsia="zh-CN"/>
        </w:rPr>
        <w:t>344.37</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lang w:eastAsia="zh-CN"/>
        </w:rPr>
        <w:t>。</w:t>
      </w:r>
    </w:p>
    <w:p w14:paraId="0FFE1326">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（二）支出情况</w:t>
      </w:r>
    </w:p>
    <w:p w14:paraId="08634EF1">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我部门</w:t>
      </w:r>
      <w:r>
        <w:rPr>
          <w:rFonts w:hint="eastAsia"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sz w:val="32"/>
          <w:szCs w:val="32"/>
          <w:highlight w:val="none"/>
          <w:lang w:val="en-US" w:eastAsia="zh-CN"/>
        </w:rPr>
        <w:t>年年初支出预算数为</w:t>
      </w:r>
      <w:r>
        <w:rPr>
          <w:rFonts w:hint="eastAsia" w:ascii="仿宋_GB2312" w:hAnsi="仿宋_GB2312" w:eastAsia="仿宋_GB2312" w:cs="仿宋_GB2312"/>
          <w:color w:val="auto"/>
          <w:sz w:val="32"/>
          <w:szCs w:val="32"/>
          <w:lang w:val="en-US" w:eastAsia="zh-CN"/>
        </w:rPr>
        <w:t>320.91</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257.46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63.45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w:t>
      </w:r>
    </w:p>
    <w:p w14:paraId="562CDE8B">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我部门</w:t>
      </w:r>
      <w:r>
        <w:rPr>
          <w:rFonts w:hint="eastAsia"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sz w:val="32"/>
          <w:szCs w:val="32"/>
          <w:highlight w:val="none"/>
          <w:lang w:val="en-US" w:eastAsia="zh-CN"/>
        </w:rPr>
        <w:t>年支出决算数为</w:t>
      </w:r>
      <w:r>
        <w:rPr>
          <w:rFonts w:hint="eastAsia" w:ascii="仿宋_GB2312" w:hAnsi="仿宋_GB2312" w:eastAsia="仿宋_GB2312" w:cs="仿宋_GB2312"/>
          <w:sz w:val="32"/>
          <w:szCs w:val="32"/>
          <w:lang w:val="en-US" w:eastAsia="zh-CN"/>
        </w:rPr>
        <w:t>344.37</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sz w:val="32"/>
          <w:szCs w:val="32"/>
          <w:lang w:val="en-US" w:eastAsia="zh-CN"/>
        </w:rPr>
        <w:t>280.92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81.58</w:t>
      </w:r>
      <w:r>
        <w:rPr>
          <w:rFonts w:hint="eastAsia" w:ascii="仿宋_GB2312" w:hAnsi="仿宋_GB2312" w:eastAsia="仿宋_GB2312" w:cs="仿宋_GB2312"/>
          <w:sz w:val="32"/>
          <w:szCs w:val="32"/>
        </w:rPr>
        <w:t>%；项目支</w:t>
      </w:r>
      <w:r>
        <w:rPr>
          <w:rFonts w:hint="eastAsia" w:ascii="仿宋_GB2312" w:hAnsi="仿宋_GB2312" w:eastAsia="仿宋_GB2312" w:cs="仿宋_GB2312"/>
          <w:sz w:val="32"/>
          <w:szCs w:val="32"/>
          <w:lang w:val="en-US" w:eastAsia="zh-CN"/>
        </w:rPr>
        <w:t>63.45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w:t>
      </w:r>
    </w:p>
    <w:p w14:paraId="6365696C">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结余分配和结转结余情况</w:t>
      </w:r>
      <w:r>
        <w:rPr>
          <w:rFonts w:hint="eastAsia" w:ascii="仿宋_GB2312" w:hAnsi="仿宋_GB2312" w:eastAsia="仿宋_GB2312" w:cs="仿宋_GB2312"/>
          <w:b w:val="0"/>
          <w:bCs w:val="0"/>
          <w:sz w:val="32"/>
          <w:szCs w:val="32"/>
          <w:lang w:eastAsia="zh-CN"/>
        </w:rPr>
        <w:t>。</w:t>
      </w:r>
    </w:p>
    <w:p w14:paraId="07F7E4C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根据我部门2024年决算报表，我部门2024年年末无</w:t>
      </w:r>
      <w:r>
        <w:rPr>
          <w:rFonts w:hint="eastAsia" w:ascii="仿宋_GB2312" w:hAnsi="仿宋_GB2312" w:eastAsia="仿宋_GB2312" w:cs="仿宋_GB2312"/>
          <w:color w:val="auto"/>
          <w:sz w:val="32"/>
          <w:szCs w:val="32"/>
          <w:highlight w:val="none"/>
          <w:lang w:val="en-US" w:eastAsia="zh-CN"/>
        </w:rPr>
        <w:t>结转结余；结余分配0万元。</w:t>
      </w:r>
    </w:p>
    <w:p w14:paraId="22D62287">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部门预算绩效</w:t>
      </w:r>
      <w:r>
        <w:rPr>
          <w:rFonts w:hint="eastAsia" w:ascii="仿宋_GB2312" w:hAnsi="仿宋_GB2312" w:eastAsia="仿宋_GB2312" w:cs="仿宋_GB2312"/>
          <w:color w:val="000000"/>
          <w:kern w:val="0"/>
          <w:sz w:val="32"/>
          <w:szCs w:val="32"/>
          <w:shd w:val="clear" w:color="auto" w:fill="FFFFFF"/>
          <w:lang w:val="en-US" w:eastAsia="zh-CN"/>
        </w:rPr>
        <w:t>分析</w:t>
      </w:r>
    </w:p>
    <w:p w14:paraId="032DA26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b w:val="0"/>
          <w:color w:val="auto"/>
          <w:spacing w:val="0"/>
          <w:kern w:val="0"/>
          <w:sz w:val="32"/>
          <w:szCs w:val="32"/>
          <w:lang w:val="en-US" w:eastAsia="zh-CN"/>
        </w:rPr>
      </w:pP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eastAsia="仿宋_GB2312" w:cs="仿宋_GB2312"/>
          <w:color w:val="auto"/>
          <w:kern w:val="0"/>
          <w:sz w:val="32"/>
          <w:szCs w:val="32"/>
          <w:shd w:val="clear" w:color="auto" w:fill="FFFFFF"/>
          <w:lang w:val="en-US" w:eastAsia="zh-CN"/>
        </w:rPr>
        <w:t>一</w:t>
      </w:r>
      <w:r>
        <w:rPr>
          <w:rFonts w:hint="eastAsia" w:ascii="仿宋_GB2312" w:hAnsi="仿宋_GB2312" w:eastAsia="仿宋_GB2312" w:cs="仿宋_GB2312"/>
          <w:color w:val="auto"/>
          <w:kern w:val="0"/>
          <w:sz w:val="32"/>
          <w:szCs w:val="32"/>
          <w:shd w:val="clear" w:color="auto" w:fill="FFFFFF"/>
          <w:lang w:val="zh-CN"/>
        </w:rPr>
        <w:t>）部门预算</w:t>
      </w:r>
      <w:r>
        <w:rPr>
          <w:rFonts w:hint="eastAsia" w:ascii="仿宋_GB2312" w:hAnsi="仿宋_GB2312" w:eastAsia="仿宋_GB2312" w:cs="仿宋_GB2312"/>
          <w:color w:val="auto"/>
          <w:kern w:val="0"/>
          <w:sz w:val="32"/>
          <w:szCs w:val="32"/>
          <w:shd w:val="clear" w:color="auto" w:fill="FFFFFF"/>
          <w:lang w:val="en-US" w:eastAsia="zh-CN"/>
        </w:rPr>
        <w:t>总体</w:t>
      </w:r>
      <w:r>
        <w:rPr>
          <w:rFonts w:hint="eastAsia" w:ascii="仿宋_GB2312" w:hAnsi="仿宋_GB2312" w:eastAsia="仿宋_GB2312" w:cs="仿宋_GB2312"/>
          <w:color w:val="auto"/>
          <w:kern w:val="0"/>
          <w:sz w:val="32"/>
          <w:szCs w:val="32"/>
          <w:shd w:val="clear" w:color="auto" w:fill="FFFFFF"/>
          <w:lang w:val="zh-CN"/>
        </w:rPr>
        <w:t>绩效</w:t>
      </w:r>
      <w:r>
        <w:rPr>
          <w:rFonts w:hint="eastAsia" w:ascii="仿宋_GB2312" w:hAnsi="仿宋_GB2312" w:eastAsia="仿宋_GB2312" w:cs="仿宋_GB2312"/>
          <w:color w:val="auto"/>
          <w:kern w:val="0"/>
          <w:sz w:val="32"/>
          <w:szCs w:val="32"/>
          <w:shd w:val="clear" w:color="auto" w:fill="FFFFFF"/>
          <w:lang w:val="en-US" w:eastAsia="zh-CN"/>
        </w:rPr>
        <w:t>分析</w:t>
      </w:r>
    </w:p>
    <w:p w14:paraId="71398BA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1.履职效能。</w:t>
      </w:r>
    </w:p>
    <w:p w14:paraId="332DF04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为充分反映我部门2024年度部门职能履行成效，本次绩效自评根据要求，结合部门职能职责和2024年度重点工作任务，选取了“</w:t>
      </w:r>
      <w:r>
        <w:rPr>
          <w:rFonts w:hint="eastAsia" w:ascii="仿宋_GB2312" w:hAnsi="仿宋_GB2312" w:eastAsia="仿宋_GB2312" w:cs="仿宋_GB2312"/>
          <w:sz w:val="32"/>
          <w:szCs w:val="32"/>
        </w:rPr>
        <w:t>制发检查督查通报专报、</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重要会议、</w:t>
      </w:r>
      <w:r>
        <w:rPr>
          <w:rFonts w:hint="eastAsia" w:ascii="仿宋_GB2312" w:hAnsi="仿宋_GB2312" w:eastAsia="仿宋_GB2312" w:cs="仿宋_GB2312"/>
          <w:sz w:val="32"/>
          <w:szCs w:val="32"/>
          <w:lang w:val="en-US" w:eastAsia="zh-CN"/>
        </w:rPr>
        <w:t>检查人员到岗率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督查</w:t>
      </w:r>
      <w:r>
        <w:rPr>
          <w:rFonts w:hint="eastAsia" w:ascii="仿宋_GB2312" w:hAnsi="仿宋_GB2312" w:eastAsia="仿宋_GB2312" w:cs="仿宋_GB2312"/>
          <w:color w:val="000000"/>
          <w:kern w:val="0"/>
          <w:sz w:val="32"/>
          <w:szCs w:val="32"/>
          <w:highlight w:val="none"/>
          <w:shd w:val="clear" w:color="auto" w:fill="FFFFFF"/>
          <w:lang w:val="en-US" w:eastAsia="zh-CN"/>
        </w:rPr>
        <w:t>覆盖率”4个绩效指标作为核心职能目标，各职能目标具体完成情况如下：</w:t>
      </w:r>
    </w:p>
    <w:p w14:paraId="2A92087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sz w:val="32"/>
          <w:szCs w:val="32"/>
        </w:rPr>
        <w:t>制发检查督查通报专报</w:t>
      </w:r>
    </w:p>
    <w:p w14:paraId="2F8B58D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我部门保证了</w:t>
      </w:r>
      <w:r>
        <w:rPr>
          <w:rFonts w:hint="eastAsia" w:ascii="仿宋_GB2312" w:hAnsi="仿宋_GB2312" w:eastAsia="仿宋_GB2312" w:cs="仿宋_GB2312"/>
          <w:sz w:val="32"/>
          <w:szCs w:val="32"/>
        </w:rPr>
        <w:t>检查督查通报专报</w:t>
      </w:r>
      <w:r>
        <w:rPr>
          <w:rFonts w:hint="eastAsia" w:ascii="仿宋_GB2312" w:hAnsi="仿宋_GB2312" w:eastAsia="仿宋_GB2312" w:cs="仿宋_GB2312"/>
          <w:sz w:val="32"/>
          <w:szCs w:val="32"/>
          <w:lang w:val="en-US" w:eastAsia="zh-CN"/>
        </w:rPr>
        <w:t>及时编报数量和资料</w:t>
      </w:r>
      <w:r>
        <w:rPr>
          <w:rFonts w:hint="eastAsia" w:ascii="仿宋_GB2312" w:hAnsi="仿宋_GB2312" w:eastAsia="仿宋_GB2312" w:cs="仿宋_GB2312"/>
          <w:color w:val="000000"/>
          <w:kern w:val="0"/>
          <w:sz w:val="32"/>
          <w:szCs w:val="32"/>
          <w:highlight w:val="none"/>
          <w:shd w:val="clear" w:color="auto" w:fill="FFFFFF"/>
          <w:lang w:val="en-US" w:eastAsia="zh-CN"/>
        </w:rPr>
        <w:t>，得满分。</w:t>
      </w:r>
    </w:p>
    <w:p w14:paraId="2B632F6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根据评分标准，该项指标不扣分，得3分。</w:t>
      </w:r>
    </w:p>
    <w:p w14:paraId="717AB9B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重要会议</w:t>
      </w:r>
    </w:p>
    <w:p w14:paraId="350E556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我部门2024年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高质量</w:t>
      </w:r>
      <w:r>
        <w:rPr>
          <w:rFonts w:hint="eastAsia" w:ascii="仿宋_GB2312" w:hAnsi="仿宋_GB2312" w:eastAsia="仿宋_GB2312" w:cs="仿宋_GB2312"/>
          <w:color w:val="000000"/>
          <w:kern w:val="0"/>
          <w:sz w:val="32"/>
          <w:szCs w:val="32"/>
          <w:highlight w:val="none"/>
          <w:shd w:val="clear" w:color="auto" w:fill="FFFFFF"/>
          <w:lang w:val="en-US" w:eastAsia="zh-CN"/>
        </w:rPr>
        <w:t>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召开营商环境大会、“门都茶事”政企交流座谈会、效率革命、建议提案培训等会议9场，</w:t>
      </w:r>
      <w:r>
        <w:rPr>
          <w:rFonts w:hint="eastAsia" w:ascii="仿宋_GB2312" w:hAnsi="仿宋_GB2312" w:eastAsia="仿宋_GB2312" w:cs="仿宋_GB2312"/>
          <w:color w:val="000000"/>
          <w:kern w:val="0"/>
          <w:sz w:val="32"/>
          <w:szCs w:val="32"/>
          <w:highlight w:val="none"/>
          <w:shd w:val="clear" w:color="auto" w:fill="FFFFFF"/>
          <w:lang w:val="en-US" w:eastAsia="zh-CN"/>
        </w:rPr>
        <w:t>得满分。</w:t>
      </w:r>
    </w:p>
    <w:p w14:paraId="4194683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根据评分标准，该项指标不扣分，得2分。</w:t>
      </w:r>
    </w:p>
    <w:p w14:paraId="13F6F3D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sz w:val="32"/>
          <w:szCs w:val="32"/>
          <w:lang w:val="en-US" w:eastAsia="zh-CN"/>
        </w:rPr>
        <w:t>检查人员到岗率</w:t>
      </w:r>
    </w:p>
    <w:p w14:paraId="26A3164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我部门2024年</w:t>
      </w:r>
      <w:r>
        <w:rPr>
          <w:rFonts w:hint="eastAsia" w:ascii="仿宋_GB2312" w:hAnsi="仿宋_GB2312" w:eastAsia="仿宋_GB2312" w:cs="仿宋_GB2312"/>
          <w:sz w:val="32"/>
          <w:szCs w:val="32"/>
          <w:lang w:val="en-US" w:eastAsia="zh-CN"/>
        </w:rPr>
        <w:t>检查人员按照要求及时到位检查督查各项重点工作</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sz w:val="32"/>
          <w:szCs w:val="32"/>
          <w:lang w:val="en-US" w:eastAsia="zh-CN"/>
        </w:rPr>
        <w:t>检查人员到岗率</w:t>
      </w:r>
      <w:r>
        <w:rPr>
          <w:rFonts w:hint="eastAsia" w:ascii="仿宋_GB2312" w:hAnsi="仿宋_GB2312" w:eastAsia="仿宋_GB2312" w:cs="仿宋_GB2312"/>
          <w:color w:val="000000"/>
          <w:kern w:val="0"/>
          <w:sz w:val="32"/>
          <w:szCs w:val="32"/>
          <w:highlight w:val="none"/>
          <w:shd w:val="clear" w:color="auto" w:fill="FFFFFF"/>
          <w:lang w:val="en-US" w:eastAsia="zh-CN"/>
        </w:rPr>
        <w:t>100%，得2分。</w:t>
      </w:r>
    </w:p>
    <w:p w14:paraId="6DC341D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(4)督查覆盖率</w:t>
      </w:r>
    </w:p>
    <w:p w14:paraId="7B15AC1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我部门2024年切实做到“决策到哪里，督查就延伸到哪里”，督查覆盖率100%，得3分。</w:t>
      </w:r>
    </w:p>
    <w:p w14:paraId="60CD17A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sz w:val="32"/>
          <w:szCs w:val="32"/>
          <w:highlight w:val="none"/>
          <w:lang w:val="en-US" w:eastAsia="zh-CN"/>
        </w:rPr>
        <w:t>2.预算管</w:t>
      </w:r>
      <w:r>
        <w:rPr>
          <w:rFonts w:hint="eastAsia" w:ascii="仿宋_GB2312" w:hAnsi="仿宋_GB2312" w:eastAsia="仿宋_GB2312" w:cs="仿宋_GB2312"/>
          <w:color w:val="000000"/>
          <w:kern w:val="0"/>
          <w:sz w:val="32"/>
          <w:szCs w:val="32"/>
          <w:shd w:val="clear" w:color="auto" w:fill="FFFFFF"/>
          <w:lang w:val="en-US" w:eastAsia="zh-CN"/>
        </w:rPr>
        <w:t>理。</w:t>
      </w:r>
    </w:p>
    <w:p w14:paraId="09F3F11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（1）预算编制质量</w:t>
      </w:r>
    </w:p>
    <w:p w14:paraId="35558D9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2024年我部门严格按照相关要求编制年初部门预算，根据2024年度预算执行情况，部门预算偏离程度如下：</w:t>
      </w:r>
    </w:p>
    <w:p w14:paraId="43895B4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财政拨款预算偏离度=|预算执行数-调整预算数|÷调整预算数=|344.37-320.91|÷320.91=7.31%。</w:t>
      </w:r>
    </w:p>
    <w:p w14:paraId="50E0A0D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综上，该项指标得分=（1-财政拨款预算偏离度）×100%×8=7.42。</w:t>
      </w:r>
    </w:p>
    <w:p w14:paraId="3A1D7AE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根据评分标准，该项指标扣0.58分，得7.42分。</w:t>
      </w:r>
    </w:p>
    <w:p w14:paraId="34BCD18C">
      <w:pPr>
        <w:keepNext w:val="0"/>
        <w:keepLines w:val="0"/>
        <w:pageBreakBefore w:val="0"/>
        <w:widowControl w:val="0"/>
        <w:numPr>
          <w:ilvl w:val="0"/>
          <w:numId w:val="6"/>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支出执行进度</w:t>
      </w:r>
    </w:p>
    <w:p w14:paraId="73FB938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2024年我部门专项预算项目资金（不包括人员类、运转类、公用经费项目）全年预算数为63.45万元，执行数为63.45万元，预算执行率为100%。</w:t>
      </w:r>
    </w:p>
    <w:p w14:paraId="511E9DA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该项指标得分=专项预算项目实际支出数÷专项预算项目预算数*9=63.45/63.45*9=9。根据评分标准，得9分。</w:t>
      </w:r>
    </w:p>
    <w:p w14:paraId="6629F34A">
      <w:pPr>
        <w:keepNext w:val="0"/>
        <w:keepLines w:val="0"/>
        <w:pageBreakBefore w:val="0"/>
        <w:widowControl w:val="0"/>
        <w:numPr>
          <w:ilvl w:val="0"/>
          <w:numId w:val="6"/>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预算年终结余</w:t>
      </w:r>
    </w:p>
    <w:p w14:paraId="166758B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2024年我部门支出全年预算数为344.37万元，预算执行数为344.37万元。结转结余金额为0万元</w:t>
      </w:r>
    </w:p>
    <w:p w14:paraId="3396875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该项指标得分=（1-部门整体预算结余率）×100%×8=（1-0%）×100%×8=8，其中部门整体预算结余率为当年年终部门预算注销金额和结转金额占部门预算总金额的比率。</w:t>
      </w:r>
    </w:p>
    <w:p w14:paraId="06BCEAF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根据评分标准，得8分。</w:t>
      </w:r>
    </w:p>
    <w:p w14:paraId="1B460D94">
      <w:pPr>
        <w:keepNext w:val="0"/>
        <w:keepLines w:val="0"/>
        <w:pageBreakBefore w:val="0"/>
        <w:widowControl w:val="0"/>
        <w:numPr>
          <w:ilvl w:val="0"/>
          <w:numId w:val="6"/>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严控一般性支出</w:t>
      </w:r>
    </w:p>
    <w:p w14:paraId="39108A1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我部门2024年度“三公”经费、会议、培训、差旅、办节办展、办公设备购置、信息网络及软件购置更新、课题经费等8项一般性支出情况详见下表3-1。</w:t>
      </w:r>
    </w:p>
    <w:p w14:paraId="6CA927E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表3-1 2024年度一般性支出情况表      </w:t>
      </w:r>
      <w:r>
        <w:rPr>
          <w:rFonts w:hint="eastAsia" w:ascii="仿宋_GB2312" w:hAnsi="仿宋_GB2312" w:eastAsia="仿宋_GB2312" w:cs="仿宋_GB2312"/>
          <w:sz w:val="32"/>
          <w:szCs w:val="32"/>
          <w:highlight w:val="none"/>
          <w:lang w:val="en-US" w:eastAsia="zh-CN"/>
        </w:rPr>
        <w:t>单位：万元</w:t>
      </w:r>
    </w:p>
    <w:tbl>
      <w:tblPr>
        <w:tblStyle w:val="16"/>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531"/>
        <w:gridCol w:w="1848"/>
        <w:gridCol w:w="1739"/>
        <w:gridCol w:w="1528"/>
        <w:gridCol w:w="1540"/>
      </w:tblGrid>
      <w:tr w14:paraId="0811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193FCEB">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212CC19">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项目名称</w:t>
            </w:r>
          </w:p>
        </w:tc>
        <w:tc>
          <w:tcPr>
            <w:tcW w:w="10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16AAF48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2023年年初预算数</w:t>
            </w:r>
          </w:p>
        </w:tc>
        <w:tc>
          <w:tcPr>
            <w:tcW w:w="981"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7BA94B0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2024年年初预算数</w:t>
            </w:r>
          </w:p>
        </w:tc>
        <w:tc>
          <w:tcPr>
            <w:tcW w:w="86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24C8D73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2023年预算执行数</w:t>
            </w:r>
          </w:p>
        </w:tc>
        <w:tc>
          <w:tcPr>
            <w:tcW w:w="86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DC1CE1E">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2024年预算执行数</w:t>
            </w:r>
          </w:p>
        </w:tc>
      </w:tr>
      <w:tr w14:paraId="0AF2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AEB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FC0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“三公”经费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E7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582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5.2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F5D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3.31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9F9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4.53</w:t>
            </w:r>
          </w:p>
        </w:tc>
      </w:tr>
      <w:tr w14:paraId="0FE1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DAF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4BD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会议费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C0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70D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525F">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917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0.2</w:t>
            </w:r>
          </w:p>
        </w:tc>
      </w:tr>
      <w:tr w14:paraId="5E2F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FA0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091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培训费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6CF">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929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842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E614">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r>
      <w:tr w14:paraId="233A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574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158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差旅费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188">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787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87AF">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4191">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4</w:t>
            </w:r>
          </w:p>
        </w:tc>
      </w:tr>
      <w:tr w14:paraId="2EC1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B2FB">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5</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94C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办节办展</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9AE">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BDD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C8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CF99">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r>
      <w:tr w14:paraId="29F1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82E4">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6</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017B">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办公设备购置</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C0F">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DD55">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1.82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69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29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1.82</w:t>
            </w:r>
          </w:p>
        </w:tc>
      </w:tr>
      <w:tr w14:paraId="7B47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29EB">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7</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970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信息网络及软件购置更新经费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6A8">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0C81">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082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39C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r>
      <w:tr w14:paraId="326E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3A8">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8</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7EEA">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课题经费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739">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578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525">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38E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w:t>
            </w:r>
          </w:p>
        </w:tc>
      </w:tr>
      <w:tr w14:paraId="1329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FAA3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合计</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84E">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9.5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2B6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11.32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76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7.61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9C44">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10.55</w:t>
            </w:r>
          </w:p>
        </w:tc>
      </w:tr>
    </w:tbl>
    <w:p w14:paraId="26FE1F6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一般性支出财政拨款年初预算较上年压减0万元，一般性支出财政拨款预算执行数较上年压减0万元。</w:t>
      </w:r>
    </w:p>
    <w:p w14:paraId="0F097834">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根据评分标准，该项指标扣6分，得0分。</w:t>
      </w:r>
    </w:p>
    <w:p w14:paraId="39AADFBC">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财务管理</w:t>
      </w:r>
    </w:p>
    <w:p w14:paraId="45B295E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（1）财务管理制度</w:t>
      </w:r>
    </w:p>
    <w:p w14:paraId="6D3D45B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为加强和规范我部门内部控制管理水平和风险防范能力，健全规范内部控制机制，加强廉政风险防控机制建设，我部门2024年在对预算、收支、政府采购、资产、建设项目、合同等各类经济业务活动流程梳理的基础上，依据《中华人民共和国会计法》《中华人民共和国预算法》《中华人民共和国政府采购法》《政府会计制度》《行政事业单位内部控制规范（试行）》《关于全面推进行政事业单位内部控制建设的指导意见》（财会〔2015〕24号）、《四川省财政厅关于印发〈四川省省级行政事业单位内部控制建设指引〉的通知》（川财会〔2019〕37号）等文件编制了《</w:t>
      </w:r>
      <w:r>
        <w:rPr>
          <w:rFonts w:hint="eastAsia" w:ascii="仿宋_GB2312" w:hAnsi="仿宋_GB2312" w:eastAsia="仿宋_GB2312" w:cs="仿宋_GB2312"/>
          <w:sz w:val="32"/>
          <w:szCs w:val="32"/>
          <w:highlight w:val="none"/>
          <w:lang w:val="en-US" w:eastAsia="zh-CN"/>
        </w:rPr>
        <w:t>绩效办</w:t>
      </w:r>
      <w:r>
        <w:rPr>
          <w:rFonts w:hint="eastAsia" w:ascii="仿宋_GB2312" w:hAnsi="仿宋_GB2312" w:eastAsia="仿宋_GB2312" w:cs="仿宋_GB2312"/>
          <w:sz w:val="32"/>
          <w:szCs w:val="32"/>
          <w:highlight w:val="none"/>
          <w:lang w:val="zh-CN" w:eastAsia="zh-CN"/>
        </w:rPr>
        <w:t>部门财务内部控制制度》，部门内部财务管理制度等制度机制建立健全，制度得到有效执行。</w:t>
      </w:r>
    </w:p>
    <w:p w14:paraId="554959A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根据评分标准，该项指标不扣分。</w:t>
      </w:r>
    </w:p>
    <w:p w14:paraId="7DB5216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（2）财务岗位设置</w:t>
      </w:r>
    </w:p>
    <w:p w14:paraId="3CECA3B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我部门按照《中华人民共和国会计法》《中华人民共和国预算法》等相关法律，合理设置了单位财务岗位，明确了各岗位职责权限确保工作有序进行，同时，我部门制定的《</w:t>
      </w:r>
      <w:r>
        <w:rPr>
          <w:rFonts w:hint="eastAsia" w:ascii="仿宋_GB2312" w:hAnsi="仿宋_GB2312" w:eastAsia="仿宋_GB2312" w:cs="仿宋_GB2312"/>
          <w:sz w:val="32"/>
          <w:szCs w:val="32"/>
          <w:highlight w:val="none"/>
          <w:lang w:val="en-US" w:eastAsia="zh-CN"/>
        </w:rPr>
        <w:t>绩效办</w:t>
      </w:r>
      <w:r>
        <w:rPr>
          <w:rFonts w:hint="eastAsia" w:ascii="仿宋_GB2312" w:hAnsi="仿宋_GB2312" w:eastAsia="仿宋_GB2312" w:cs="仿宋_GB2312"/>
          <w:sz w:val="32"/>
          <w:szCs w:val="32"/>
          <w:highlight w:val="none"/>
          <w:lang w:val="zh-CN" w:eastAsia="zh-CN"/>
        </w:rPr>
        <w:t>部门财务内部控制制度》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14:paraId="63A3263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根据评分标准，该项指标不扣分。</w:t>
      </w:r>
    </w:p>
    <w:p w14:paraId="272C921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（3）资金使用规范</w:t>
      </w:r>
    </w:p>
    <w:p w14:paraId="752B26E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我部门严格按照已制定的内部控制制度文件和国家财经法规要求使用资金，资金使用符合相关财务管理制度规定，资金的拨付有完整的审批程序和手续，对项目的重大开支进行了评估论证，资金使用符合部门预算批复的用途，不存在截留、挤占、挪用、虚列支出等情况。</w:t>
      </w:r>
    </w:p>
    <w:p w14:paraId="7C87D4C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sz w:val="32"/>
          <w:szCs w:val="32"/>
          <w:highlight w:val="none"/>
          <w:lang w:val="zh-CN" w:eastAsia="zh-CN"/>
        </w:rPr>
        <w:t>根据评分标准，该项指标不扣分。</w:t>
      </w:r>
    </w:p>
    <w:p w14:paraId="62E42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资产管理</w:t>
      </w:r>
    </w:p>
    <w:p w14:paraId="17F3AC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（1）人均资产变化率</w:t>
      </w:r>
    </w:p>
    <w:p w14:paraId="01F4471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我部门2023年末实有在编在职人数为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zh-CN" w:eastAsia="zh-CN"/>
        </w:rPr>
        <w:t>人，固定资产和无形资产期末账面净值合计</w:t>
      </w:r>
      <w:r>
        <w:rPr>
          <w:rFonts w:hint="eastAsia" w:ascii="仿宋_GB2312" w:hAnsi="仿宋_GB2312" w:eastAsia="仿宋_GB2312" w:cs="仿宋_GB2312"/>
          <w:color w:val="auto"/>
          <w:sz w:val="32"/>
          <w:szCs w:val="32"/>
          <w:highlight w:val="none"/>
          <w:lang w:val="en-US" w:eastAsia="zh-CN"/>
        </w:rPr>
        <w:t>13.75</w:t>
      </w:r>
      <w:r>
        <w:rPr>
          <w:rFonts w:hint="eastAsia" w:ascii="仿宋_GB2312" w:hAnsi="仿宋_GB2312" w:eastAsia="仿宋_GB2312" w:cs="仿宋_GB2312"/>
          <w:color w:val="auto"/>
          <w:sz w:val="32"/>
          <w:szCs w:val="32"/>
          <w:highlight w:val="none"/>
          <w:lang w:val="zh-CN" w:eastAsia="zh-CN"/>
        </w:rPr>
        <w:t>万元；2024年末实有在职在编人数为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zh-CN" w:eastAsia="zh-CN"/>
        </w:rPr>
        <w:t>人，固定资产和无形资产净值合计</w:t>
      </w:r>
      <w:r>
        <w:rPr>
          <w:rFonts w:hint="eastAsia" w:ascii="仿宋_GB2312" w:hAnsi="仿宋_GB2312" w:eastAsia="仿宋_GB2312" w:cs="仿宋_GB2312"/>
          <w:color w:val="auto"/>
          <w:sz w:val="32"/>
          <w:szCs w:val="32"/>
          <w:highlight w:val="none"/>
          <w:lang w:val="en-US" w:eastAsia="zh-CN"/>
        </w:rPr>
        <w:t>11.61</w:t>
      </w:r>
      <w:r>
        <w:rPr>
          <w:rFonts w:hint="eastAsia" w:ascii="仿宋_GB2312" w:hAnsi="仿宋_GB2312" w:eastAsia="仿宋_GB2312" w:cs="仿宋_GB2312"/>
          <w:color w:val="auto"/>
          <w:sz w:val="32"/>
          <w:szCs w:val="32"/>
          <w:highlight w:val="none"/>
          <w:lang w:val="zh-CN" w:eastAsia="zh-CN"/>
        </w:rPr>
        <w:t>万元。部门人均资产变化率Y=（2024年行政事业单位人均占有资产-2023年行政事业单位人均占有资产）÷2023年行政事业单位人均占有资产×100%，行政事业单位人均占有资产=（固定资产净值+无形资产净值）÷行政事业单位编制内实有人数。故我部门</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zh-CN" w:eastAsia="zh-CN"/>
        </w:rPr>
        <w:t>、2024年人均占有资产分别为</w:t>
      </w:r>
      <w:r>
        <w:rPr>
          <w:rFonts w:hint="eastAsia" w:ascii="仿宋_GB2312" w:hAnsi="仿宋_GB2312" w:eastAsia="仿宋_GB2312" w:cs="仿宋_GB2312"/>
          <w:color w:val="auto"/>
          <w:sz w:val="32"/>
          <w:szCs w:val="32"/>
          <w:highlight w:val="none"/>
          <w:lang w:val="en-US" w:eastAsia="zh-CN"/>
        </w:rPr>
        <w:t>0.86</w:t>
      </w:r>
      <w:r>
        <w:rPr>
          <w:rFonts w:hint="eastAsia" w:ascii="仿宋_GB2312" w:hAnsi="仿宋_GB2312" w:eastAsia="仿宋_GB2312" w:cs="仿宋_GB2312"/>
          <w:color w:val="auto"/>
          <w:sz w:val="32"/>
          <w:szCs w:val="32"/>
          <w:highlight w:val="none"/>
          <w:lang w:val="zh-CN" w:eastAsia="zh-CN"/>
        </w:rPr>
        <w:t>万元/人、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lang w:val="zh-CN" w:eastAsia="zh-CN"/>
        </w:rPr>
        <w:t>万元/人。</w:t>
      </w:r>
    </w:p>
    <w:p w14:paraId="37D5F9C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综上，2024年我部门人均资产变化率为</w:t>
      </w:r>
      <w:r>
        <w:rPr>
          <w:rFonts w:hint="eastAsia" w:ascii="仿宋_GB2312" w:hAnsi="仿宋_GB2312" w:eastAsia="仿宋_GB2312" w:cs="仿宋_GB2312"/>
          <w:color w:val="auto"/>
          <w:sz w:val="32"/>
          <w:szCs w:val="32"/>
          <w:highlight w:val="none"/>
          <w:lang w:val="en-US" w:eastAsia="zh-CN"/>
        </w:rPr>
        <w:t>-15.12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小</w:t>
      </w:r>
      <w:r>
        <w:rPr>
          <w:rFonts w:hint="eastAsia" w:ascii="仿宋_GB2312" w:hAnsi="仿宋_GB2312" w:eastAsia="仿宋_GB2312" w:cs="仿宋_GB2312"/>
          <w:color w:val="auto"/>
          <w:sz w:val="32"/>
          <w:szCs w:val="32"/>
          <w:highlight w:val="none"/>
          <w:lang w:val="zh-CN" w:eastAsia="zh-CN"/>
        </w:rPr>
        <w:t>于</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zh-CN" w:eastAsia="zh-CN"/>
        </w:rPr>
        <w:t>直行政事业单位人均资产变化率-4.63%。</w:t>
      </w:r>
    </w:p>
    <w:p w14:paraId="26A5B27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根据评分标准，该项指标扣</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分，得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分。</w:t>
      </w:r>
    </w:p>
    <w:p w14:paraId="6C24986E">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（2）资产利用率</w:t>
      </w:r>
    </w:p>
    <w:p w14:paraId="74BFD99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我部门2024年办公家具账面价值3.978万元，超最低使用年限的办公家具账面价值为0万元，2024年办公设备账面价值为3.2447万元，超最低使用年限的办公设备账面价值为0万元。</w:t>
      </w:r>
    </w:p>
    <w:p w14:paraId="218031C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该项指标得分=（超最低使用年限的办公家具账面原值÷办公家具账面原值×100%×1.5）+（超最低使用年限的办公设备账面原值÷办公设备账面原值×100%×1.5）=0+0=0。</w:t>
      </w:r>
    </w:p>
    <w:p w14:paraId="2F36A1A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根据评分标准，该项不指标扣分，得3分。</w:t>
      </w:r>
    </w:p>
    <w:p w14:paraId="6C9CE128">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（3）资产盘活率</w:t>
      </w:r>
    </w:p>
    <w:p w14:paraId="489E94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strike w:val="0"/>
          <w:color w:val="auto"/>
          <w:spacing w:val="0"/>
          <w:sz w:val="32"/>
          <w:szCs w:val="32"/>
          <w:highlight w:val="none"/>
          <w:u w:val="none"/>
          <w:lang w:val="en-US" w:eastAsia="zh-CN"/>
        </w:rPr>
      </w:pPr>
      <w:r>
        <w:rPr>
          <w:rFonts w:hint="eastAsia" w:ascii="仿宋_GB2312" w:hAnsi="仿宋_GB2312" w:eastAsia="仿宋_GB2312" w:cs="仿宋_GB2312"/>
          <w:i w:val="0"/>
          <w:strike w:val="0"/>
          <w:color w:val="auto"/>
          <w:spacing w:val="0"/>
          <w:sz w:val="32"/>
          <w:szCs w:val="32"/>
          <w:highlight w:val="none"/>
          <w:u w:val="none"/>
          <w:lang w:val="en-US" w:eastAsia="zh-CN"/>
        </w:rPr>
        <w:t>我部门2023年、2024年均无闲置资产。自评年度我部门闲置资产占比变化率为0%。</w:t>
      </w:r>
    </w:p>
    <w:p w14:paraId="6DA2979F">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strike w:val="0"/>
          <w:color w:val="auto"/>
          <w:spacing w:val="0"/>
          <w:sz w:val="32"/>
          <w:szCs w:val="32"/>
          <w:highlight w:val="none"/>
          <w:u w:val="none"/>
          <w:lang w:val="en-US" w:eastAsia="zh-CN"/>
        </w:rPr>
      </w:pPr>
      <w:r>
        <w:rPr>
          <w:rFonts w:hint="eastAsia" w:ascii="仿宋_GB2312" w:hAnsi="仿宋_GB2312" w:eastAsia="仿宋_GB2312" w:cs="仿宋_GB2312"/>
          <w:i w:val="0"/>
          <w:strike w:val="0"/>
          <w:color w:val="auto"/>
          <w:spacing w:val="0"/>
          <w:sz w:val="32"/>
          <w:szCs w:val="32"/>
          <w:highlight w:val="none"/>
          <w:u w:val="none"/>
          <w:lang w:val="en-US" w:eastAsia="zh-CN"/>
        </w:rPr>
        <w:t>根据评分标准，该项指标不扣分，得3分。</w:t>
      </w:r>
    </w:p>
    <w:p w14:paraId="5F3967C6">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采购管理</w:t>
      </w:r>
    </w:p>
    <w:p w14:paraId="45B5606C">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）支持中小企业发展</w:t>
      </w:r>
    </w:p>
    <w:p w14:paraId="6C1286B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严格执行政府采购促进中小企业发展相关管理办法，对适宜由中小企业提供的采购项目和采购包，预留了采购份额专门面向中小企业采购，并在采购预算中单独列示。2024年，我部门采购预算为1.82万元，政府采购授予中小企业合同金额为1.82万元。</w:t>
      </w:r>
    </w:p>
    <w:p w14:paraId="7E676E9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根据评分标准，该项指标</w:t>
      </w:r>
      <w:r>
        <w:rPr>
          <w:rFonts w:hint="eastAsia" w:ascii="仿宋_GB2312" w:hAnsi="仿宋_GB2312" w:eastAsia="仿宋_GB2312" w:cs="仿宋_GB2312"/>
          <w:i w:val="0"/>
          <w:strike w:val="0"/>
          <w:color w:val="auto"/>
          <w:spacing w:val="0"/>
          <w:sz w:val="32"/>
          <w:szCs w:val="32"/>
          <w:highlight w:val="none"/>
          <w:u w:val="none"/>
          <w:lang w:val="en-US" w:eastAsia="zh-CN"/>
        </w:rPr>
        <w:t>不扣分</w:t>
      </w:r>
      <w:r>
        <w:rPr>
          <w:rFonts w:hint="eastAsia" w:ascii="仿宋_GB2312" w:hAnsi="仿宋_GB2312" w:eastAsia="仿宋_GB2312" w:cs="仿宋_GB2312"/>
          <w:color w:val="auto"/>
          <w:sz w:val="32"/>
          <w:szCs w:val="32"/>
          <w:highlight w:val="none"/>
          <w:lang w:val="en-US" w:eastAsia="zh-CN"/>
        </w:rPr>
        <w:t>，得3分。</w:t>
      </w:r>
    </w:p>
    <w:p w14:paraId="712FF4F3">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（2）采购执行率</w:t>
      </w:r>
    </w:p>
    <w:p w14:paraId="015D65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我部门2024年度的政府采购总预算数为1.82万元，当年政府采购预算执行数为1.82万元，已完成采购项目节约金额为0万元。</w:t>
      </w:r>
    </w:p>
    <w:p w14:paraId="11143501">
      <w:pPr>
        <w:keepNext w:val="0"/>
        <w:keepLines w:val="0"/>
        <w:pageBreakBefore w:val="0"/>
        <w:widowControl/>
        <w:shd w:val="clear"/>
        <w:kinsoku/>
        <w:wordWrap/>
        <w:overflowPunct/>
        <w:topLinePunct w:val="0"/>
        <w:autoSpaceDE/>
        <w:autoSpaceDN/>
        <w:bidi w:val="0"/>
        <w:adjustRightInd w:val="0"/>
        <w:snapToGrid w:val="0"/>
        <w:spacing w:line="600" w:lineRule="exact"/>
        <w:ind w:firstLine="640" w:firstLineChars="200"/>
        <w:contextualSpacing/>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根据评分标准，该项指标不扣分，得3分。</w:t>
      </w:r>
    </w:p>
    <w:p w14:paraId="014ABCC1">
      <w:pPr>
        <w:keepNext w:val="0"/>
        <w:keepLines w:val="0"/>
        <w:pageBreakBefore w:val="0"/>
        <w:widowControl/>
        <w:shd w:val="clea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74751F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仿宋_GB2312" w:hAnsi="仿宋_GB2312" w:eastAsia="仿宋_GB2312" w:cs="仿宋_GB2312"/>
          <w:color w:val="auto"/>
          <w:kern w:val="0"/>
          <w:sz w:val="32"/>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auto"/>
          <w:kern w:val="0"/>
          <w:sz w:val="32"/>
          <w:szCs w:val="32"/>
          <w:highlight w:val="none"/>
          <w:shd w:val="clear" w:color="auto" w:fill="FFFFFF"/>
          <w:lang w:val="zh-CN" w:eastAsia="zh-CN"/>
        </w:rPr>
        <w:t>该类项目总数</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auto"/>
          <w:kern w:val="0"/>
          <w:sz w:val="32"/>
          <w:szCs w:val="32"/>
          <w:highlight w:val="none"/>
          <w:shd w:val="clear" w:color="auto" w:fill="FFFFFF"/>
          <w:lang w:val="en-US" w:eastAsia="zh-CN"/>
        </w:rPr>
        <w:t>63.45</w:t>
      </w:r>
      <w:r>
        <w:rPr>
          <w:rFonts w:hint="eastAsia" w:ascii="仿宋_GB2312" w:hAnsi="仿宋_GB2312" w:eastAsia="仿宋_GB2312" w:cs="仿宋_GB2312"/>
          <w:color w:val="auto"/>
          <w:kern w:val="0"/>
          <w:sz w:val="32"/>
          <w:szCs w:val="32"/>
          <w:highlight w:val="none"/>
          <w:shd w:val="clear" w:color="auto" w:fill="FFFFFF"/>
          <w:lang w:val="zh-CN" w:eastAsia="zh-CN"/>
        </w:rPr>
        <w:t>万元</w:t>
      </w: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仿宋_GB2312" w:eastAsia="仿宋_GB2312" w:cs="仿宋_GB2312"/>
          <w:color w:val="auto"/>
          <w:kern w:val="0"/>
          <w:sz w:val="32"/>
          <w:szCs w:val="32"/>
          <w:highlight w:val="none"/>
          <w:shd w:val="clear" w:color="auto" w:fill="FFFFFF"/>
          <w:lang w:val="zh-CN" w:eastAsia="zh-CN"/>
        </w:rPr>
        <w:t>—</w:t>
      </w: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zh-CN"/>
        </w:rPr>
        <w:t>月预算执行总体进度</w:t>
      </w:r>
      <w:r>
        <w:rPr>
          <w:rFonts w:hint="eastAsia" w:ascii="仿宋_GB2312" w:hAnsi="仿宋_GB2312" w:eastAsia="仿宋_GB2312" w:cs="仿宋_GB2312"/>
          <w:color w:val="auto"/>
          <w:kern w:val="0"/>
          <w:sz w:val="32"/>
          <w:szCs w:val="32"/>
          <w:highlight w:val="none"/>
          <w:shd w:val="clear" w:color="auto" w:fill="FFFFFF"/>
          <w:lang w:val="en-US" w:eastAsia="zh-CN"/>
        </w:rPr>
        <w:t>100%</w:t>
      </w:r>
      <w:r>
        <w:rPr>
          <w:rFonts w:hint="eastAsia" w:ascii="仿宋_GB2312" w:hAnsi="仿宋_GB2312" w:eastAsia="仿宋_GB2312" w:cs="仿宋_GB2312"/>
          <w:color w:val="auto"/>
          <w:kern w:val="0"/>
          <w:sz w:val="32"/>
          <w:szCs w:val="32"/>
          <w:highlight w:val="none"/>
          <w:shd w:val="clear" w:color="auto" w:fill="FFFFFF"/>
          <w:lang w:val="zh-CN"/>
        </w:rPr>
        <w:t>，其中：</w:t>
      </w:r>
      <w:r>
        <w:rPr>
          <w:rFonts w:hint="eastAsia" w:ascii="仿宋_GB2312" w:hAnsi="仿宋_GB2312" w:eastAsia="仿宋_GB2312" w:cs="仿宋_GB2312"/>
          <w:color w:val="auto"/>
          <w:kern w:val="0"/>
          <w:sz w:val="32"/>
          <w:szCs w:val="32"/>
          <w:highlight w:val="none"/>
          <w:shd w:val="clear" w:color="auto" w:fill="FFFFFF"/>
          <w:lang w:val="zh-CN" w:eastAsia="zh-CN"/>
        </w:rPr>
        <w:t>预算结余率大于</w:t>
      </w:r>
      <w:r>
        <w:rPr>
          <w:rFonts w:hint="eastAsia" w:ascii="仿宋_GB2312" w:hAnsi="仿宋_GB2312" w:eastAsia="仿宋_GB2312" w:cs="仿宋_GB2312"/>
          <w:color w:val="auto"/>
          <w:kern w:val="0"/>
          <w:sz w:val="32"/>
          <w:szCs w:val="32"/>
          <w:highlight w:val="none"/>
          <w:shd w:val="clear" w:color="auto" w:fill="FFFFFF"/>
          <w:lang w:val="en-US" w:eastAsia="zh-CN"/>
        </w:rPr>
        <w:t>10%</w:t>
      </w:r>
      <w:r>
        <w:rPr>
          <w:rFonts w:hint="eastAsia" w:ascii="仿宋_GB2312" w:hAnsi="仿宋_GB2312" w:eastAsia="仿宋_GB2312" w:cs="仿宋_GB2312"/>
          <w:color w:val="auto"/>
          <w:kern w:val="0"/>
          <w:sz w:val="32"/>
          <w:szCs w:val="32"/>
          <w:highlight w:val="none"/>
          <w:shd w:val="clear" w:color="auto" w:fill="FFFFFF"/>
          <w:lang w:val="zh-CN" w:eastAsia="zh-CN"/>
        </w:rPr>
        <w:t>的项目共计</w:t>
      </w:r>
      <w:r>
        <w:rPr>
          <w:rFonts w:hint="eastAsia" w:ascii="仿宋_GB2312" w:hAnsi="仿宋_GB2312" w:eastAsia="仿宋_GB2312" w:cs="仿宋_GB2312"/>
          <w:color w:val="auto"/>
          <w:kern w:val="0"/>
          <w:sz w:val="32"/>
          <w:szCs w:val="32"/>
          <w:highlight w:val="none"/>
          <w:shd w:val="clear" w:color="auto" w:fill="FFFFFF"/>
          <w:lang w:val="en-US" w:eastAsia="zh-CN"/>
        </w:rPr>
        <w:t>0</w:t>
      </w:r>
      <w:r>
        <w:rPr>
          <w:rFonts w:hint="eastAsia" w:ascii="仿宋_GB2312" w:hAnsi="仿宋_GB2312" w:eastAsia="仿宋_GB2312" w:cs="仿宋_GB2312"/>
          <w:color w:val="auto"/>
          <w:kern w:val="0"/>
          <w:sz w:val="32"/>
          <w:szCs w:val="32"/>
          <w:highlight w:val="none"/>
          <w:shd w:val="clear" w:color="auto" w:fill="FFFFFF"/>
          <w:lang w:val="zh-CN" w:eastAsia="zh-CN"/>
        </w:rPr>
        <w:t>个。</w:t>
      </w:r>
    </w:p>
    <w:p w14:paraId="346A77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项目决策</w:t>
      </w:r>
    </w:p>
    <w:p w14:paraId="1B83E495">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rPr>
        <w:t>）决策程序</w:t>
      </w:r>
    </w:p>
    <w:p w14:paraId="6FE22BD3">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根据事前绩效评估相关要求，2024年我部门</w:t>
      </w:r>
      <w:r>
        <w:rPr>
          <w:rFonts w:hint="eastAsia" w:ascii="仿宋_GB2312" w:hAnsi="仿宋_GB2312" w:eastAsia="仿宋_GB2312" w:cs="仿宋_GB2312"/>
          <w:color w:val="000000"/>
          <w:kern w:val="0"/>
          <w:sz w:val="32"/>
          <w:szCs w:val="32"/>
          <w:highlight w:val="none"/>
          <w:shd w:val="clear" w:color="auto" w:fill="FFFFFF"/>
          <w:lang w:val="en-US" w:eastAsia="zh-CN"/>
        </w:rPr>
        <w:t>2个预算阶段项目（含一次性项目）均</w:t>
      </w:r>
      <w:r>
        <w:rPr>
          <w:rFonts w:hint="eastAsia" w:ascii="仿宋_GB2312" w:hAnsi="仿宋_GB2312" w:eastAsia="仿宋_GB2312" w:cs="仿宋_GB2312"/>
          <w:sz w:val="32"/>
          <w:szCs w:val="32"/>
          <w:highlight w:val="none"/>
          <w:lang w:val="en-US" w:eastAsia="zh-CN"/>
        </w:rPr>
        <w:t>严格履行事前评估程序，项目立项依据充分，决策程序规范。</w:t>
      </w:r>
    </w:p>
    <w:p w14:paraId="34EDD52F">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根据评分标准，该项指标不扣分，得4分。</w:t>
      </w:r>
    </w:p>
    <w:p w14:paraId="35B1DC8A">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（2）目标设置</w:t>
      </w:r>
    </w:p>
    <w:p w14:paraId="130AA3E5">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2024年我部门</w:t>
      </w:r>
      <w:r>
        <w:rPr>
          <w:rFonts w:hint="eastAsia" w:ascii="仿宋_GB2312" w:hAnsi="仿宋_GB2312" w:eastAsia="仿宋_GB2312" w:cs="仿宋_GB2312"/>
          <w:sz w:val="32"/>
          <w:szCs w:val="32"/>
          <w:highlight w:val="none"/>
          <w:lang w:val="zh-CN" w:eastAsia="zh-CN"/>
        </w:rPr>
        <w:t>开展绩效目标管理的</w:t>
      </w:r>
      <w:r>
        <w:rPr>
          <w:rFonts w:hint="eastAsia" w:ascii="仿宋_GB2312" w:hAnsi="仿宋_GB2312" w:eastAsia="仿宋_GB2312" w:cs="仿宋_GB2312"/>
          <w:sz w:val="32"/>
          <w:szCs w:val="32"/>
          <w:highlight w:val="none"/>
          <w:lang w:val="en-US" w:eastAsia="zh-CN"/>
        </w:rPr>
        <w:t>部门预算阶段项目（含一次性项目）共有</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为充分发挥绩效目标引领作用，</w:t>
      </w:r>
      <w:r>
        <w:rPr>
          <w:rFonts w:hint="eastAsia" w:ascii="仿宋_GB2312" w:hAnsi="仿宋_GB2312" w:eastAsia="仿宋_GB2312" w:cs="仿宋_GB2312"/>
          <w:sz w:val="32"/>
          <w:szCs w:val="32"/>
          <w:highlight w:val="none"/>
          <w:lang w:val="zh-CN"/>
        </w:rPr>
        <w:t>我部门</w:t>
      </w:r>
      <w:r>
        <w:rPr>
          <w:rFonts w:hint="eastAsia" w:ascii="仿宋_GB2312" w:hAnsi="仿宋_GB2312" w:eastAsia="仿宋_GB2312" w:cs="仿宋_GB2312"/>
          <w:sz w:val="32"/>
          <w:szCs w:val="32"/>
          <w:highlight w:val="none"/>
          <w:lang w:val="en-US" w:eastAsia="zh-CN"/>
        </w:rPr>
        <w:t>贯彻落实《中共四川省委办公厅四川省人民政府办公厅关于深入实施预算绩效管理的通知》（川委厅〔2021〕5号）文件精神，</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en-US" w:eastAsia="zh-CN"/>
        </w:rPr>
        <w:t>个项目均设置了相应的绩效目标表。</w:t>
      </w:r>
    </w:p>
    <w:p w14:paraId="7F928FDB">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根据评分标准，该项指标不扣分，得4分。</w:t>
      </w:r>
    </w:p>
    <w:p w14:paraId="11E4E980">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（3）项目入库</w:t>
      </w:r>
    </w:p>
    <w:p w14:paraId="73F29F1E">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2024年我部门需在</w:t>
      </w:r>
      <w:r>
        <w:rPr>
          <w:rFonts w:hint="eastAsia" w:ascii="仿宋_GB2312" w:hAnsi="仿宋_GB2312" w:eastAsia="仿宋_GB2312" w:cs="仿宋_GB2312"/>
          <w:sz w:val="32"/>
          <w:szCs w:val="32"/>
          <w:highlight w:val="none"/>
          <w:lang w:val="en-US" w:eastAsia="zh-CN"/>
        </w:rPr>
        <w:t>规定时间内进行入库的</w:t>
      </w:r>
      <w:r>
        <w:rPr>
          <w:rFonts w:hint="eastAsia" w:ascii="仿宋_GB2312" w:hAnsi="仿宋_GB2312" w:eastAsia="仿宋_GB2312" w:cs="仿宋_GB2312"/>
          <w:sz w:val="32"/>
          <w:szCs w:val="32"/>
          <w:highlight w:val="none"/>
          <w:lang w:val="zh-CN"/>
        </w:rPr>
        <w:t>项目共有</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zh-CN"/>
        </w:rPr>
        <w:t>个，</w:t>
      </w:r>
      <w:r>
        <w:rPr>
          <w:rFonts w:hint="eastAsia" w:ascii="仿宋_GB2312" w:hAnsi="仿宋_GB2312" w:eastAsia="仿宋_GB2312" w:cs="仿宋_GB2312"/>
          <w:sz w:val="32"/>
          <w:szCs w:val="32"/>
          <w:highlight w:val="none"/>
          <w:lang w:val="en-US" w:eastAsia="zh-CN"/>
        </w:rPr>
        <w:t>均在规定时间内完成了项目入库。</w:t>
      </w:r>
    </w:p>
    <w:p w14:paraId="3DE90CB4">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根据评分标准，该项指标不扣分，得4分。</w:t>
      </w:r>
    </w:p>
    <w:p w14:paraId="61A48302">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2.项目执行</w:t>
      </w:r>
    </w:p>
    <w:p w14:paraId="73494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rPr>
        <w:t>）执行同向</w:t>
      </w:r>
    </w:p>
    <w:p w14:paraId="4E88426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我部门严格按照部门预算项目批复内容实施项目，项目资金使用符合预算批复用途，与项目总体绩效目标设置方向相符，没有相悖或不合理之处。</w:t>
      </w:r>
    </w:p>
    <w:p w14:paraId="659585C3">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根据评分标准，该项指标不扣分，得5分。</w:t>
      </w:r>
    </w:p>
    <w:p w14:paraId="1C116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rPr>
        <w:t>）项目调整</w:t>
      </w:r>
    </w:p>
    <w:p w14:paraId="1807DB0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我部门年初设置的部门项目预算较为合理，项目总体绩效目标设置较为科学合理，预算调整及时，与实际情况基本相符，不存在应采取但未采取收回预算、调整目标等处置措施的部门预算阶段项目，故不涉及收回预算、调整目标等处置措施。</w:t>
      </w:r>
    </w:p>
    <w:p w14:paraId="02E4D50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根据评分标准，该项指标不扣分，得6分。</w:t>
      </w:r>
    </w:p>
    <w:p w14:paraId="741903F2">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2"/>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）执行结果</w:t>
      </w:r>
    </w:p>
    <w:p w14:paraId="272956D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2024年我部门</w:t>
      </w:r>
      <w:r>
        <w:rPr>
          <w:rFonts w:hint="eastAsia" w:ascii="仿宋_GB2312" w:hAnsi="仿宋_GB2312" w:eastAsia="仿宋_GB2312" w:cs="仿宋_GB2312"/>
          <w:sz w:val="32"/>
          <w:szCs w:val="32"/>
          <w:highlight w:val="none"/>
          <w:lang w:val="zh-CN"/>
        </w:rPr>
        <w:t>常年项目</w:t>
      </w:r>
      <w:r>
        <w:rPr>
          <w:rFonts w:hint="eastAsia" w:ascii="仿宋_GB2312" w:hAnsi="仿宋_GB2312" w:eastAsia="仿宋_GB2312" w:cs="仿宋_GB2312"/>
          <w:sz w:val="32"/>
          <w:szCs w:val="32"/>
          <w:highlight w:val="none"/>
          <w:lang w:val="en-US" w:eastAsia="zh-CN"/>
        </w:rPr>
        <w:t>共计</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zh-CN"/>
        </w:rPr>
        <w:t>个，预算结余率</w:t>
      </w:r>
      <w:r>
        <w:rPr>
          <w:rFonts w:hint="eastAsia" w:ascii="仿宋_GB2312" w:hAnsi="仿宋_GB2312" w:eastAsia="仿宋_GB2312" w:cs="仿宋_GB2312"/>
          <w:sz w:val="32"/>
          <w:szCs w:val="32"/>
          <w:highlight w:val="none"/>
          <w:lang w:val="en-US" w:eastAsia="zh-CN"/>
        </w:rPr>
        <w:t>小</w:t>
      </w:r>
      <w:r>
        <w:rPr>
          <w:rFonts w:hint="eastAsia" w:ascii="仿宋_GB2312" w:hAnsi="仿宋_GB2312" w:eastAsia="仿宋_GB2312" w:cs="仿宋_GB2312"/>
          <w:sz w:val="32"/>
          <w:szCs w:val="32"/>
          <w:highlight w:val="none"/>
          <w:lang w:val="zh-CN"/>
        </w:rPr>
        <w:t>于10%</w:t>
      </w:r>
      <w:r>
        <w:rPr>
          <w:rFonts w:hint="eastAsia" w:ascii="仿宋_GB2312" w:hAnsi="仿宋_GB2312" w:eastAsia="仿宋_GB2312" w:cs="仿宋_GB2312"/>
          <w:sz w:val="32"/>
          <w:szCs w:val="32"/>
          <w:highlight w:val="none"/>
          <w:lang w:val="en-US" w:eastAsia="zh-CN"/>
        </w:rPr>
        <w:t>的常年项目数量为0个。</w:t>
      </w:r>
    </w:p>
    <w:p w14:paraId="11FC4269">
      <w:pPr>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根据评分标准，该项指标得分=预算结余率小于10%的常年项目数量÷部门预算常年项目总数×100%×2+预算结余率小于10%的一次性项目和阶段项目数量÷部门预算一次性项目和阶段项目总数×100%×2=（0÷2×100%×2）=0，故该指标不扣分，得4分。</w:t>
      </w:r>
    </w:p>
    <w:p w14:paraId="2C7B5497">
      <w:pPr>
        <w:pStyle w:val="5"/>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目标实现</w:t>
      </w:r>
    </w:p>
    <w:p w14:paraId="2C7EF2A0">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）目标完成</w:t>
      </w:r>
    </w:p>
    <w:p w14:paraId="1D168AE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2024年部门预算阶段项目（含一次性项目）共有</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lang w:val="en-US" w:eastAsia="zh-CN"/>
        </w:rPr>
        <w:t>结合项目实施的实际情况，我部门所涉及的</w:t>
      </w:r>
      <w:r>
        <w:rPr>
          <w:rFonts w:hint="eastAsia" w:ascii="仿宋_GB2312" w:hAnsi="仿宋_GB2312" w:eastAsia="仿宋_GB2312" w:cs="仿宋_GB2312"/>
          <w:sz w:val="32"/>
          <w:szCs w:val="32"/>
          <w:highlight w:val="none"/>
          <w:lang w:eastAsia="zh-CN"/>
        </w:rPr>
        <w:t>部门预算阶段项目（含一次性项目）</w:t>
      </w:r>
      <w:r>
        <w:rPr>
          <w:rFonts w:hint="eastAsia" w:ascii="仿宋_GB2312" w:hAnsi="仿宋_GB2312" w:eastAsia="仿宋_GB2312" w:cs="仿宋_GB2312"/>
          <w:sz w:val="32"/>
          <w:szCs w:val="32"/>
          <w:highlight w:val="none"/>
          <w:lang w:val="en-US" w:eastAsia="zh-CN"/>
        </w:rPr>
        <w:t>各数量指标全部完成的数量为</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en-US" w:eastAsia="zh-CN"/>
        </w:rPr>
        <w:t>个。</w:t>
      </w:r>
    </w:p>
    <w:p w14:paraId="2AD3556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根据评分标准，该项指标扣0分，得6分。</w:t>
      </w:r>
    </w:p>
    <w:p w14:paraId="33EE2E0A">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）目标偏离</w:t>
      </w:r>
    </w:p>
    <w:p w14:paraId="1A4940D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2024年我部门部门预算项目（含</w:t>
      </w:r>
      <w:r>
        <w:rPr>
          <w:rFonts w:hint="eastAsia" w:ascii="仿宋_GB2312" w:hAnsi="仿宋_GB2312" w:eastAsia="仿宋_GB2312" w:cs="仿宋_GB2312"/>
          <w:color w:val="000000"/>
          <w:kern w:val="0"/>
          <w:sz w:val="32"/>
          <w:szCs w:val="32"/>
          <w:highlight w:val="none"/>
          <w:shd w:val="clear" w:color="auto" w:fill="FFFFFF"/>
          <w:lang w:val="en-US" w:eastAsia="zh-CN"/>
        </w:rPr>
        <w:t>常年项目和阶段项目及</w:t>
      </w:r>
      <w:r>
        <w:rPr>
          <w:rFonts w:hint="eastAsia" w:ascii="仿宋_GB2312" w:hAnsi="仿宋_GB2312" w:eastAsia="仿宋_GB2312" w:cs="仿宋_GB2312"/>
          <w:sz w:val="32"/>
          <w:szCs w:val="32"/>
          <w:highlight w:val="none"/>
          <w:lang w:eastAsia="zh-CN"/>
        </w:rPr>
        <w:t>一次性项目）共有</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lang w:val="en-US" w:eastAsia="zh-CN"/>
        </w:rPr>
        <w:t>各项目数量指标的完成值与设定预期指标值的偏离度在30%以内的个数为</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sz w:val="32"/>
          <w:szCs w:val="32"/>
          <w:highlight w:val="none"/>
          <w:lang w:val="en-US" w:eastAsia="zh-CN"/>
        </w:rPr>
        <w:t>个。</w:t>
      </w:r>
    </w:p>
    <w:p w14:paraId="24AB1F3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根据评分标准，该项指标扣0分，得6分。</w:t>
      </w:r>
    </w:p>
    <w:p w14:paraId="1AE55685">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）实现效果</w:t>
      </w:r>
    </w:p>
    <w:p w14:paraId="6928C40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2024年我部门需进行绩效目标管理的部门预算阶段项目共有</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lang w:val="en-US" w:eastAsia="zh-CN"/>
        </w:rPr>
        <w:t>，预期效益指标均已完成的项目个数为</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lang w:val="en-US" w:eastAsia="zh-CN"/>
        </w:rPr>
        <w:t>个。</w:t>
      </w:r>
    </w:p>
    <w:p w14:paraId="51FFF26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highlight w:val="none"/>
          <w:lang w:val="en-US" w:eastAsia="zh-CN"/>
        </w:rPr>
        <w:t>根据评分标准，该项指标扣0分，得5分。</w:t>
      </w:r>
    </w:p>
    <w:p w14:paraId="6428719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rPr>
        <w:t>（三）</w:t>
      </w:r>
      <w:r>
        <w:rPr>
          <w:rFonts w:hint="eastAsia" w:ascii="仿宋_GB2312" w:hAnsi="仿宋_GB2312" w:eastAsia="仿宋_GB2312" w:cs="仿宋_GB2312"/>
          <w:b/>
          <w:bCs/>
          <w:color w:val="auto"/>
          <w:kern w:val="0"/>
          <w:sz w:val="32"/>
          <w:szCs w:val="32"/>
          <w:highlight w:val="none"/>
          <w:shd w:val="clear" w:color="auto" w:fill="FFFFFF"/>
          <w:lang w:val="zh-CN" w:eastAsia="zh-CN"/>
        </w:rPr>
        <w:t>重点领域</w:t>
      </w:r>
      <w:r>
        <w:rPr>
          <w:rFonts w:hint="eastAsia" w:ascii="仿宋_GB2312" w:hAnsi="仿宋_GB2312" w:eastAsia="仿宋_GB2312" w:cs="仿宋_GB2312"/>
          <w:b/>
          <w:bCs/>
          <w:color w:val="auto"/>
          <w:kern w:val="0"/>
          <w:sz w:val="32"/>
          <w:szCs w:val="32"/>
          <w:highlight w:val="none"/>
          <w:shd w:val="clear" w:color="auto" w:fill="FFFFFF"/>
          <w:lang w:val="zh-CN"/>
        </w:rPr>
        <w:t>绩效分析</w:t>
      </w:r>
      <w:r>
        <w:rPr>
          <w:rFonts w:hint="eastAsia" w:ascii="仿宋_GB2312" w:hAnsi="仿宋_GB2312" w:eastAsia="仿宋_GB2312" w:cs="仿宋_GB2312"/>
          <w:b/>
          <w:bCs/>
          <w:color w:val="auto"/>
          <w:kern w:val="0"/>
          <w:sz w:val="32"/>
          <w:szCs w:val="32"/>
          <w:highlight w:val="none"/>
          <w:shd w:val="clear" w:color="auto" w:fill="FFFFFF"/>
          <w:lang w:val="zh-CN" w:eastAsia="zh-CN"/>
        </w:rPr>
        <w:t>。</w:t>
      </w:r>
    </w:p>
    <w:p w14:paraId="5C78DCF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行政事业性国有资产绩效分析。</w:t>
      </w:r>
    </w:p>
    <w:p w14:paraId="3C4EA64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sz w:val="32"/>
          <w:szCs w:val="32"/>
          <w:highlight w:val="none"/>
          <w:u w:val="none"/>
          <w:lang w:eastAsia="zh-CN"/>
        </w:rPr>
        <w:t>2024年度，我部门</w:t>
      </w:r>
      <w:r>
        <w:rPr>
          <w:rFonts w:hint="eastAsia" w:ascii="仿宋_GB2312" w:hAnsi="仿宋_GB2312" w:eastAsia="仿宋_GB2312" w:cs="仿宋_GB2312"/>
          <w:sz w:val="32"/>
          <w:szCs w:val="32"/>
          <w:highlight w:val="none"/>
          <w:u w:val="none"/>
          <w:lang w:val="en-US" w:eastAsia="zh-CN"/>
        </w:rPr>
        <w:t>无资产配置预算，但</w:t>
      </w:r>
      <w:r>
        <w:rPr>
          <w:rFonts w:hint="eastAsia" w:ascii="仿宋_GB2312" w:hAnsi="仿宋_GB2312" w:eastAsia="仿宋_GB2312" w:cs="仿宋_GB2312"/>
          <w:sz w:val="32"/>
          <w:szCs w:val="32"/>
          <w:highlight w:val="none"/>
          <w:u w:val="none"/>
          <w:lang w:eastAsia="zh-CN"/>
        </w:rPr>
        <w:t>严格按照</w:t>
      </w:r>
      <w:r>
        <w:rPr>
          <w:rFonts w:hint="eastAsia" w:ascii="仿宋_GB2312" w:hAnsi="仿宋_GB2312" w:eastAsia="仿宋_GB2312" w:cs="仿宋_GB2312"/>
          <w:sz w:val="32"/>
          <w:szCs w:val="32"/>
          <w:highlight w:val="none"/>
          <w:u w:val="none"/>
          <w:lang w:val="en-US" w:eastAsia="zh-CN"/>
        </w:rPr>
        <w:t>相关文件</w:t>
      </w:r>
      <w:r>
        <w:rPr>
          <w:rFonts w:hint="eastAsia" w:ascii="仿宋_GB2312" w:hAnsi="仿宋_GB2312" w:eastAsia="仿宋_GB2312" w:cs="仿宋_GB2312"/>
          <w:sz w:val="32"/>
          <w:szCs w:val="32"/>
          <w:highlight w:val="none"/>
          <w:u w:val="none"/>
          <w:lang w:eastAsia="zh-CN"/>
        </w:rPr>
        <w:t>要求，做好国有资产的清理盘点、统计报告及日常监督检查工作，2024年度国有资产基础管理、日常管理、效率管理等方面整体效益较好，有效保障了国有资产安全，提高了国有资产利用率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p>
    <w:p w14:paraId="3F1BA4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zh-CN"/>
        </w:rPr>
        <w:t>（四）绩效结果应用情况。</w:t>
      </w:r>
    </w:p>
    <w:p w14:paraId="0D80758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rPr>
        <w:t>我部门</w:t>
      </w:r>
      <w:r>
        <w:rPr>
          <w:rFonts w:hint="eastAsia" w:ascii="仿宋_GB2312" w:hAnsi="仿宋_GB2312" w:eastAsia="仿宋_GB2312" w:cs="仿宋_GB2312"/>
          <w:color w:val="000000"/>
          <w:kern w:val="0"/>
          <w:sz w:val="32"/>
          <w:szCs w:val="32"/>
          <w:highlight w:val="none"/>
          <w:shd w:val="clear" w:color="auto" w:fill="FFFFFF"/>
          <w:lang w:val="zh-CN" w:eastAsia="zh-CN"/>
        </w:rPr>
        <w:t>为进一步提高行政事业单位内部管理水平和风险防范能力，规范内部控制，加强廉政风险防控机制建设，我部门在对预算、收支、政府采购、资产、建设项目、合同等各类经济业务活动流程梳理的基础上，明确业务环节，系统分析经济活动风险，确定风险点，选择应对策略，形成了内部控制制度</w:t>
      </w:r>
      <w:r>
        <w:rPr>
          <w:rFonts w:hint="eastAsia" w:ascii="仿宋_GB2312" w:hAnsi="仿宋_GB2312" w:eastAsia="仿宋_GB2312" w:cs="仿宋_GB2312"/>
          <w:color w:val="000000"/>
          <w:kern w:val="0"/>
          <w:sz w:val="32"/>
          <w:szCs w:val="32"/>
          <w:highlight w:val="none"/>
          <w:shd w:val="clear" w:color="auto" w:fill="FFFFFF"/>
          <w:lang w:val="en-US" w:eastAsia="zh-CN"/>
        </w:rPr>
        <w:t>手册</w:t>
      </w:r>
      <w:r>
        <w:rPr>
          <w:rFonts w:hint="eastAsia" w:ascii="仿宋_GB2312" w:hAnsi="仿宋_GB2312" w:eastAsia="仿宋_GB2312" w:cs="仿宋_GB2312"/>
          <w:color w:val="000000"/>
          <w:kern w:val="0"/>
          <w:sz w:val="32"/>
          <w:szCs w:val="32"/>
          <w:highlight w:val="none"/>
          <w:shd w:val="clear" w:color="auto" w:fill="FFFFFF"/>
          <w:lang w:val="zh-CN" w:eastAsia="zh-CN"/>
        </w:rPr>
        <w:t>，我部门严格按照内控制度进行预算绩效管理，并按照相关要求将绩效信息随同</w:t>
      </w:r>
      <w:r>
        <w:rPr>
          <w:rFonts w:hint="eastAsia" w:ascii="仿宋_GB2312" w:hAnsi="仿宋_GB2312" w:eastAsia="仿宋_GB2312" w:cs="仿宋_GB2312"/>
          <w:color w:val="000000"/>
          <w:kern w:val="0"/>
          <w:sz w:val="32"/>
          <w:szCs w:val="32"/>
          <w:highlight w:val="none"/>
          <w:shd w:val="clear" w:color="auto" w:fill="FFFFFF"/>
          <w:lang w:val="en-US" w:eastAsia="zh-CN"/>
        </w:rPr>
        <w:t>预</w:t>
      </w:r>
      <w:r>
        <w:rPr>
          <w:rFonts w:hint="eastAsia" w:ascii="仿宋_GB2312" w:hAnsi="仿宋_GB2312" w:eastAsia="仿宋_GB2312" w:cs="仿宋_GB2312"/>
          <w:color w:val="000000"/>
          <w:kern w:val="0"/>
          <w:sz w:val="32"/>
          <w:szCs w:val="32"/>
          <w:highlight w:val="none"/>
          <w:shd w:val="clear" w:color="auto" w:fill="FFFFFF"/>
          <w:lang w:val="zh-CN" w:eastAsia="zh-CN"/>
        </w:rPr>
        <w:t>决算公开。</w:t>
      </w:r>
    </w:p>
    <w:p w14:paraId="6B300B7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lang w:eastAsia="zh-CN"/>
        </w:rPr>
        <w:t>四、</w:t>
      </w:r>
      <w:r>
        <w:rPr>
          <w:rFonts w:hint="eastAsia" w:ascii="仿宋_GB2312" w:hAnsi="仿宋_GB2312" w:eastAsia="仿宋_GB2312" w:cs="仿宋_GB2312"/>
          <w:color w:val="000000"/>
          <w:kern w:val="0"/>
          <w:sz w:val="32"/>
          <w:szCs w:val="32"/>
          <w:highlight w:val="none"/>
          <w:shd w:val="clear" w:color="auto" w:fill="FFFFFF"/>
        </w:rPr>
        <w:t>评价结论及建议</w:t>
      </w:r>
    </w:p>
    <w:p w14:paraId="07AE449F">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p>
    <w:p w14:paraId="09ECB87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1"/>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我部门针对本次财政预算绩效自评工作，严格按照《预算绩效评价共性指标体系框架》及相关财务管理规定，结合我部门2024年度工作开展情况及履职情况，对2024年度部门预算资金的使用情况进行了全面、深入的分析和评价。经过自评，我们得出以下结论：2024年度，我部门切实履行了部门职责，部门预算管理、财务管理、资产管理和采购管理等规范有序，较好地完成了各项年度任务，部门预算支出使用效益达到预期，但我部门在年度预算项目绩效指标编制方面，</w:t>
      </w:r>
      <w:bookmarkStart w:id="62" w:name="_GoBack"/>
      <w:bookmarkEnd w:id="62"/>
      <w:r>
        <w:rPr>
          <w:rFonts w:hint="eastAsia" w:ascii="仿宋_GB2312" w:hAnsi="仿宋_GB2312" w:eastAsia="仿宋_GB2312" w:cs="仿宋_GB2312"/>
          <w:b w:val="0"/>
          <w:bCs w:val="0"/>
          <w:kern w:val="0"/>
          <w:position w:val="0"/>
          <w:sz w:val="32"/>
          <w:szCs w:val="32"/>
          <w:highlight w:val="none"/>
          <w:lang w:val="en-US" w:eastAsia="zh-CN" w:bidi="ar-SA"/>
        </w:rPr>
        <w:t>个别指标设置质量相对不高，按照部门预算绩效评价指标体系中指标评分标准要求，2024年我部门部门预算绩效评价综合得分93.42分。</w:t>
      </w:r>
    </w:p>
    <w:p w14:paraId="4757DBC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p>
    <w:p w14:paraId="71A449D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b/>
          <w:bCs/>
          <w:color w:val="auto"/>
          <w:kern w:val="0"/>
          <w:sz w:val="32"/>
          <w:szCs w:val="32"/>
          <w:highlight w:val="none"/>
          <w:shd w:val="clear" w:color="auto" w:fill="FFFFFF"/>
          <w:lang w:val="en-US"/>
        </w:rPr>
      </w:pPr>
      <w:r>
        <w:rPr>
          <w:rFonts w:hint="eastAsia" w:ascii="仿宋_GB2312" w:hAnsi="仿宋_GB2312" w:eastAsia="仿宋_GB2312" w:cs="仿宋_GB2312"/>
          <w:color w:val="auto"/>
          <w:sz w:val="32"/>
          <w:szCs w:val="32"/>
          <w:highlight w:val="none"/>
          <w:lang w:val="en-US" w:eastAsia="zh-CN"/>
        </w:rPr>
        <w:t>严控一般性支出：由于往年预算编制不科学，预算执行不严谨，导致</w:t>
      </w:r>
      <w:r>
        <w:rPr>
          <w:rFonts w:hint="eastAsia" w:ascii="仿宋_GB2312" w:hAnsi="仿宋_GB2312" w:eastAsia="仿宋_GB2312" w:cs="仿宋_GB2312"/>
          <w:b w:val="0"/>
          <w:bCs w:val="0"/>
          <w:color w:val="auto"/>
          <w:kern w:val="0"/>
          <w:position w:val="0"/>
          <w:sz w:val="32"/>
          <w:szCs w:val="32"/>
          <w:highlight w:val="none"/>
          <w:lang w:val="en-US" w:eastAsia="zh-CN" w:bidi="ar-SA"/>
        </w:rPr>
        <w:t>2024年，我部门</w:t>
      </w:r>
      <w:r>
        <w:rPr>
          <w:rFonts w:hint="eastAsia" w:ascii="仿宋_GB2312" w:hAnsi="仿宋_GB2312" w:eastAsia="仿宋_GB2312" w:cs="仿宋_GB2312"/>
          <w:color w:val="auto"/>
          <w:sz w:val="32"/>
          <w:szCs w:val="32"/>
          <w:highlight w:val="none"/>
          <w:lang w:val="en-US" w:eastAsia="zh-CN"/>
        </w:rPr>
        <w:t>一般性支出财政拨款年初预算和预算执行数较上年比较均未压减。</w:t>
      </w:r>
    </w:p>
    <w:p w14:paraId="2E688AA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仿宋_GB2312" w:hAnsi="仿宋_GB2312" w:eastAsia="仿宋_GB2312" w:cs="仿宋_GB2312"/>
          <w:b w:val="0"/>
          <w:bCs w:val="0"/>
          <w:kern w:val="0"/>
          <w:position w:val="0"/>
          <w:sz w:val="32"/>
          <w:szCs w:val="32"/>
          <w:highlight w:val="none"/>
          <w:lang w:val="en-US" w:eastAsia="zh-CN" w:bidi="ar-SA"/>
        </w:rPr>
      </w:pPr>
      <w:bookmarkStart w:id="48" w:name="_Hlk110546638"/>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p>
    <w:bookmarkEnd w:id="48"/>
    <w:p w14:paraId="1E23378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提高思想认识，科学开展预算编制，进一步强化财务从业人员的预算管理意识，科学分析预算执行情况，梳理会计业务发生项目，严格按照预算编制的相关制度和要求进行预算编制，全面编制项目，进一步提高预算编制的科学性、严谨性和可控性。      </w:t>
      </w:r>
    </w:p>
    <w:p w14:paraId="4D730388">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rPr>
        <w:t>附表：</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部门</w:t>
      </w:r>
      <w:r>
        <w:rPr>
          <w:rFonts w:hint="eastAsia" w:ascii="仿宋_GB2312" w:hAnsi="仿宋_GB2312" w:eastAsia="仿宋_GB2312" w:cs="仿宋_GB2312"/>
          <w:kern w:val="2"/>
          <w:sz w:val="32"/>
          <w:szCs w:val="32"/>
          <w:lang w:val="en-US" w:eastAsia="zh-CN" w:bidi="ar-SA"/>
        </w:rPr>
        <w:t>预算项目支出</w:t>
      </w:r>
      <w:r>
        <w:rPr>
          <w:rFonts w:hint="default" w:ascii="仿宋_GB2312" w:hAnsi="仿宋_GB2312" w:eastAsia="仿宋_GB2312" w:cs="仿宋_GB2312"/>
          <w:kern w:val="2"/>
          <w:sz w:val="32"/>
          <w:szCs w:val="32"/>
          <w:lang w:val="en-US" w:eastAsia="zh-CN" w:bidi="ar-SA"/>
        </w:rPr>
        <w:t>绩效自评表</w:t>
      </w:r>
      <w:r>
        <w:rPr>
          <w:rFonts w:hint="eastAsia" w:ascii="仿宋_GB2312" w:hAnsi="仿宋_GB2312" w:eastAsia="仿宋_GB2312" w:cs="仿宋_GB2312"/>
          <w:kern w:val="2"/>
          <w:sz w:val="32"/>
          <w:szCs w:val="32"/>
          <w:lang w:val="en-US" w:eastAsia="zh-CN" w:bidi="ar-SA"/>
        </w:rPr>
        <w:t>（2024年度）</w:t>
      </w:r>
    </w:p>
    <w:p w14:paraId="41D047CC">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color w:val="auto"/>
          <w:spacing w:val="0"/>
          <w:kern w:val="0"/>
          <w:sz w:val="32"/>
          <w:szCs w:val="32"/>
          <w:lang w:val="zh-CN" w:eastAsia="zh-CN"/>
        </w:rPr>
      </w:pPr>
    </w:p>
    <w:p w14:paraId="5741C678">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color w:val="auto"/>
          <w:spacing w:val="0"/>
          <w:kern w:val="0"/>
          <w:sz w:val="32"/>
          <w:szCs w:val="32"/>
          <w:lang w:val="en-US" w:eastAsia="zh-CN"/>
        </w:rPr>
      </w:pPr>
    </w:p>
    <w:p w14:paraId="6168FC9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color w:val="auto"/>
          <w:spacing w:val="0"/>
          <w:kern w:val="0"/>
          <w:sz w:val="32"/>
          <w:szCs w:val="32"/>
          <w:lang w:val="en-US" w:eastAsia="zh-CN"/>
        </w:rPr>
        <w:t xml:space="preserve">              </w:t>
      </w:r>
    </w:p>
    <w:p w14:paraId="2878EDD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09F6B1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E91CA8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3D75A55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94FB6E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0614A0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F639624">
      <w:pPr>
        <w:keepNext w:val="0"/>
        <w:keepLines w:val="0"/>
        <w:pageBreakBefore w:val="0"/>
        <w:kinsoku/>
        <w:wordWrap/>
        <w:overflowPunct/>
        <w:topLinePunct w:val="0"/>
        <w:autoSpaceDE/>
        <w:autoSpaceDN/>
        <w:bidi w:val="0"/>
        <w:adjustRightInd/>
        <w:snapToGrid/>
        <w:spacing w:line="590" w:lineRule="exact"/>
        <w:ind w:right="0" w:rightChars="0"/>
        <w:jc w:val="both"/>
        <w:textAlignment w:val="auto"/>
        <w:rPr>
          <w:rFonts w:hint="default" w:ascii="Times New Roman" w:hAnsi="Times New Roman" w:eastAsia="仿宋_GB2312" w:cs="Times New Roman"/>
          <w:kern w:val="2"/>
          <w:sz w:val="32"/>
          <w:szCs w:val="24"/>
          <w:highlight w:val="none"/>
          <w:lang w:val="en-US" w:eastAsia="zh-CN" w:bidi="ar-SA"/>
        </w:rPr>
      </w:pPr>
    </w:p>
    <w:p w14:paraId="21B86531">
      <w:pPr>
        <w:pStyle w:val="20"/>
        <w:rPr>
          <w:rFonts w:hint="eastAsia"/>
          <w:lang w:val="en-US" w:eastAsia="zh-CN"/>
        </w:rPr>
      </w:pPr>
    </w:p>
    <w:p w14:paraId="436E9FFE">
      <w:pPr>
        <w:rPr>
          <w:rFonts w:hint="eastAsia"/>
          <w:lang w:val="en-US" w:eastAsia="zh-CN"/>
        </w:rPr>
        <w:sectPr>
          <w:footerReference r:id="rId3" w:type="default"/>
          <w:pgSz w:w="11906" w:h="16838"/>
          <w:pgMar w:top="1440" w:right="1519" w:bottom="1440" w:left="1576" w:header="851" w:footer="992" w:gutter="0"/>
          <w:cols w:space="0" w:num="1"/>
          <w:rtlGutter w:val="0"/>
          <w:docGrid w:type="lines" w:linePitch="312" w:charSpace="0"/>
        </w:sectPr>
      </w:pPr>
    </w:p>
    <w:tbl>
      <w:tblPr>
        <w:tblStyle w:val="1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616"/>
        <w:gridCol w:w="65"/>
        <w:gridCol w:w="1782"/>
        <w:gridCol w:w="263"/>
        <w:gridCol w:w="6"/>
        <w:gridCol w:w="1329"/>
        <w:gridCol w:w="435"/>
        <w:gridCol w:w="11"/>
        <w:gridCol w:w="1592"/>
        <w:gridCol w:w="469"/>
        <w:gridCol w:w="185"/>
        <w:gridCol w:w="17"/>
        <w:gridCol w:w="503"/>
        <w:gridCol w:w="18"/>
        <w:gridCol w:w="786"/>
        <w:gridCol w:w="469"/>
        <w:gridCol w:w="400"/>
        <w:gridCol w:w="21"/>
        <w:gridCol w:w="499"/>
        <w:gridCol w:w="23"/>
        <w:gridCol w:w="39"/>
        <w:gridCol w:w="455"/>
        <w:gridCol w:w="410"/>
        <w:gridCol w:w="163"/>
        <w:gridCol w:w="23"/>
        <w:gridCol w:w="482"/>
        <w:gridCol w:w="23"/>
        <w:gridCol w:w="455"/>
        <w:gridCol w:w="8"/>
        <w:gridCol w:w="2550"/>
      </w:tblGrid>
      <w:tr w14:paraId="1176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F11C7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B8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131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5544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51092124T000010946525-综合事务</w:t>
            </w:r>
          </w:p>
        </w:tc>
      </w:tr>
      <w:tr w14:paraId="2198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3BAA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B85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县委绩效办部门</w:t>
            </w:r>
          </w:p>
        </w:tc>
        <w:tc>
          <w:tcPr>
            <w:tcW w:w="1090" w:type="dxa"/>
            <w:gridSpan w:val="5"/>
            <w:tcBorders>
              <w:top w:val="nil"/>
              <w:left w:val="nil"/>
              <w:bottom w:val="nil"/>
              <w:right w:val="nil"/>
            </w:tcBorders>
            <w:shd w:val="clear" w:color="auto" w:fill="auto"/>
            <w:vAlign w:val="center"/>
          </w:tcPr>
          <w:p w14:paraId="0007C8F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36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中共蓬溪县委目标绩效管理办公室</w:t>
            </w:r>
          </w:p>
        </w:tc>
      </w:tr>
      <w:tr w14:paraId="3EF8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4E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7B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81F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89D3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3E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D601">
            <w:pP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D87C">
            <w:pPr>
              <w:rPr>
                <w:rFonts w:hint="eastAsia" w:ascii="宋体" w:hAnsi="宋体" w:eastAsia="宋体" w:cs="宋体"/>
                <w:i w:val="0"/>
                <w:iCs w:val="0"/>
                <w:color w:val="000000"/>
                <w:sz w:val="18"/>
                <w:szCs w:val="18"/>
                <w:u w:val="none"/>
              </w:rPr>
            </w:pPr>
          </w:p>
        </w:tc>
        <w:tc>
          <w:tcPr>
            <w:tcW w:w="675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9E4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紧紧围绕县委县政府重点工作，狠抓督查督办、目标绩效管理、对标赶超、推进民生实事、切实做好建议和提案办理，有效的推动了县委县政府中心工作和重大决策部署的高效落实，</w:t>
            </w:r>
          </w:p>
        </w:tc>
        <w:tc>
          <w:tcPr>
            <w:tcW w:w="46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E85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2F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0D30">
            <w:pP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2F0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F4A4DDA">
            <w:pPr>
              <w:rPr>
                <w:rFonts w:ascii="宋体" w:hAnsi="宋体" w:eastAsia="宋体" w:cs="宋体"/>
                <w:i w:val="0"/>
                <w:iCs w:val="0"/>
                <w:color w:val="000000"/>
                <w:sz w:val="18"/>
                <w:szCs w:val="18"/>
                <w:u w:val="none"/>
              </w:rPr>
            </w:pPr>
          </w:p>
        </w:tc>
      </w:tr>
      <w:tr w14:paraId="446E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1D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1E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3C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3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0ED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74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8C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8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68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FF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A019">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1C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B6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60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31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85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3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957">
            <w:pPr>
              <w:jc w:val="center"/>
              <w:rPr>
                <w:rFonts w:ascii="宋体" w:hAnsi="宋体" w:eastAsia="宋体" w:cs="宋体"/>
                <w:i w:val="0"/>
                <w:iCs w:val="0"/>
                <w:color w:val="000000"/>
                <w:sz w:val="18"/>
                <w:szCs w:val="18"/>
                <w:u w:val="none"/>
              </w:rPr>
            </w:pPr>
          </w:p>
        </w:tc>
        <w:tc>
          <w:tcPr>
            <w:tcW w:w="25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A76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CA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8BCB">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6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72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6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84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4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B9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C634">
            <w:pPr>
              <w:rPr>
                <w:rFonts w:hint="eastAsia" w:ascii="黑体" w:hAnsi="黑体" w:eastAsia="黑体" w:cs="黑体"/>
                <w:i/>
                <w:iCs/>
                <w:color w:val="000000"/>
                <w:sz w:val="18"/>
                <w:szCs w:val="18"/>
                <w:u w:val="none"/>
              </w:rPr>
            </w:pPr>
          </w:p>
        </w:tc>
      </w:tr>
      <w:tr w14:paraId="6541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2218">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08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4C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9C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CFE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A3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2C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F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F1B3">
            <w:pPr>
              <w:rPr>
                <w:rFonts w:hint="eastAsia" w:ascii="黑体" w:hAnsi="黑体" w:eastAsia="黑体" w:cs="黑体"/>
                <w:i/>
                <w:iCs/>
                <w:color w:val="000000"/>
                <w:sz w:val="18"/>
                <w:szCs w:val="18"/>
                <w:u w:val="none"/>
              </w:rPr>
            </w:pPr>
          </w:p>
        </w:tc>
      </w:tr>
      <w:tr w14:paraId="1DC6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0974">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03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5F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DB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134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53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8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4B98">
            <w:pPr>
              <w:rPr>
                <w:rFonts w:hint="eastAsia" w:ascii="黑体" w:hAnsi="黑体" w:eastAsia="黑体" w:cs="黑体"/>
                <w:i/>
                <w:iCs/>
                <w:color w:val="000000"/>
                <w:sz w:val="18"/>
                <w:szCs w:val="18"/>
                <w:u w:val="none"/>
              </w:rPr>
            </w:pPr>
          </w:p>
        </w:tc>
      </w:tr>
      <w:tr w14:paraId="7FA4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97AD">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43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CB5CE">
            <w:pPr>
              <w:jc w:val="center"/>
              <w:rPr>
                <w:rFonts w:hint="eastAsia" w:ascii="微软雅黑" w:hAnsi="微软雅黑" w:eastAsia="微软雅黑" w:cs="微软雅黑"/>
                <w:i/>
                <w:iCs/>
                <w:color w:val="000000"/>
                <w:sz w:val="16"/>
                <w:szCs w:val="16"/>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99319">
            <w:pPr>
              <w:jc w:val="center"/>
              <w:rPr>
                <w:rFonts w:hint="eastAsia" w:ascii="微软雅黑" w:hAnsi="微软雅黑" w:eastAsia="微软雅黑" w:cs="微软雅黑"/>
                <w:i/>
                <w:iCs/>
                <w:color w:val="000000"/>
                <w:sz w:val="16"/>
                <w:szCs w:val="16"/>
                <w:u w:val="none"/>
              </w:rPr>
            </w:pPr>
          </w:p>
        </w:tc>
        <w:tc>
          <w:tcPr>
            <w:tcW w:w="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0C00BC">
            <w:pPr>
              <w:jc w:val="center"/>
              <w:rPr>
                <w:rFonts w:hint="eastAsia" w:ascii="微软雅黑" w:hAnsi="微软雅黑" w:eastAsia="微软雅黑" w:cs="微软雅黑"/>
                <w:i/>
                <w:iCs/>
                <w:color w:val="000000"/>
                <w:sz w:val="16"/>
                <w:szCs w:val="16"/>
                <w:u w:val="none"/>
              </w:rPr>
            </w:pP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83128">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0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6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8C71">
            <w:pPr>
              <w:rPr>
                <w:rFonts w:hint="eastAsia" w:ascii="黑体" w:hAnsi="黑体" w:eastAsia="黑体" w:cs="黑体"/>
                <w:i/>
                <w:iCs/>
                <w:color w:val="000000"/>
                <w:sz w:val="18"/>
                <w:szCs w:val="18"/>
                <w:u w:val="none"/>
              </w:rPr>
            </w:pPr>
          </w:p>
        </w:tc>
      </w:tr>
      <w:tr w14:paraId="07EF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2C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9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28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3C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EA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23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C7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70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C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9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0E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DB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004D">
            <w:pPr>
              <w:jc w:val="center"/>
              <w:rPr>
                <w:rFonts w:hint="eastAsia" w:ascii="宋体" w:hAnsi="宋体" w:eastAsia="宋体" w:cs="宋体"/>
                <w:i w:val="0"/>
                <w:iCs w:val="0"/>
                <w:color w:val="000000"/>
                <w:sz w:val="18"/>
                <w:szCs w:val="18"/>
                <w:u w:val="none"/>
              </w:rPr>
            </w:pPr>
          </w:p>
        </w:tc>
        <w:tc>
          <w:tcPr>
            <w:tcW w:w="20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94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A6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3C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出具检查通报数量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AB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B3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9E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D1F7E">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0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E50A">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B10FC">
            <w:pPr>
              <w:jc w:val="center"/>
              <w:rPr>
                <w:rFonts w:hint="eastAsia" w:ascii="微软雅黑" w:hAnsi="微软雅黑" w:eastAsia="微软雅黑" w:cs="微软雅黑"/>
                <w:i/>
                <w:iCs/>
                <w:color w:val="000000"/>
                <w:sz w:val="16"/>
                <w:szCs w:val="16"/>
                <w:u w:val="none"/>
              </w:rPr>
            </w:pPr>
          </w:p>
        </w:tc>
      </w:tr>
      <w:tr w14:paraId="00E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CDF4">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A603">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C8C5">
            <w:pPr>
              <w:jc w:val="center"/>
              <w:rPr>
                <w:rFonts w:hint="eastAsia"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BC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督查督办数量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74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D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F11CE">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F3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FCFC">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796C">
            <w:pPr>
              <w:jc w:val="center"/>
              <w:rPr>
                <w:rFonts w:hint="eastAsia" w:ascii="微软雅黑" w:hAnsi="微软雅黑" w:eastAsia="微软雅黑" w:cs="微软雅黑"/>
                <w:i/>
                <w:iCs/>
                <w:color w:val="000000"/>
                <w:sz w:val="16"/>
                <w:szCs w:val="16"/>
                <w:u w:val="none"/>
              </w:rPr>
            </w:pPr>
          </w:p>
        </w:tc>
      </w:tr>
      <w:tr w14:paraId="7558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248D">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D4E2">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046E">
            <w:pPr>
              <w:jc w:val="center"/>
              <w:rPr>
                <w:rFonts w:hint="eastAsia"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E9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组织会议数量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13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2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E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80059">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4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114">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7C0F">
            <w:pPr>
              <w:jc w:val="center"/>
              <w:rPr>
                <w:rFonts w:hint="eastAsia" w:ascii="微软雅黑" w:hAnsi="微软雅黑" w:eastAsia="微软雅黑" w:cs="微软雅黑"/>
                <w:i/>
                <w:iCs/>
                <w:color w:val="000000"/>
                <w:sz w:val="16"/>
                <w:szCs w:val="16"/>
                <w:u w:val="none"/>
              </w:rPr>
            </w:pPr>
          </w:p>
        </w:tc>
      </w:tr>
      <w:tr w14:paraId="33D5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A3D9">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1504">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F67D">
            <w:pPr>
              <w:jc w:val="center"/>
              <w:rPr>
                <w:rFonts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CB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会议参与人数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7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D2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CA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0A2E9">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A35E">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33E89">
            <w:pPr>
              <w:jc w:val="center"/>
              <w:rPr>
                <w:rFonts w:hint="eastAsia" w:ascii="微软雅黑" w:hAnsi="微软雅黑" w:eastAsia="微软雅黑" w:cs="微软雅黑"/>
                <w:i/>
                <w:iCs/>
                <w:color w:val="000000"/>
                <w:sz w:val="16"/>
                <w:szCs w:val="16"/>
                <w:u w:val="none"/>
              </w:rPr>
            </w:pPr>
          </w:p>
        </w:tc>
      </w:tr>
      <w:tr w14:paraId="04BA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91DD">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545E">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38C0">
            <w:pPr>
              <w:jc w:val="center"/>
              <w:rPr>
                <w:rFonts w:hint="eastAsia"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17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开展检查次数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0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1B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5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32079">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5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9F0">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CB51">
            <w:pPr>
              <w:jc w:val="center"/>
              <w:rPr>
                <w:rFonts w:hint="eastAsia" w:ascii="微软雅黑" w:hAnsi="微软雅黑" w:eastAsia="微软雅黑" w:cs="微软雅黑"/>
                <w:i/>
                <w:iCs/>
                <w:color w:val="000000"/>
                <w:sz w:val="16"/>
                <w:szCs w:val="16"/>
                <w:u w:val="none"/>
              </w:rPr>
            </w:pPr>
          </w:p>
        </w:tc>
      </w:tr>
      <w:tr w14:paraId="240C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7AFB">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5583">
            <w:pPr>
              <w:jc w:val="center"/>
              <w:rPr>
                <w:rFonts w:hint="eastAsia" w:ascii="宋体" w:hAnsi="宋体" w:eastAsia="宋体" w:cs="宋体"/>
                <w:i w:val="0"/>
                <w:iCs w:val="0"/>
                <w:color w:val="000000"/>
                <w:sz w:val="18"/>
                <w:szCs w:val="18"/>
                <w:u w:val="none"/>
              </w:rPr>
            </w:pPr>
          </w:p>
        </w:tc>
        <w:tc>
          <w:tcPr>
            <w:tcW w:w="1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2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8A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会议出勤率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D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EC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7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A095E">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16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194D">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3D92">
            <w:pPr>
              <w:jc w:val="center"/>
              <w:rPr>
                <w:rFonts w:hint="eastAsia" w:ascii="微软雅黑" w:hAnsi="微软雅黑" w:eastAsia="微软雅黑" w:cs="微软雅黑"/>
                <w:i/>
                <w:iCs/>
                <w:color w:val="000000"/>
                <w:sz w:val="16"/>
                <w:szCs w:val="16"/>
                <w:u w:val="none"/>
              </w:rPr>
            </w:pPr>
          </w:p>
        </w:tc>
      </w:tr>
      <w:tr w14:paraId="4A71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B85B">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01CC">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3BCE">
            <w:pPr>
              <w:jc w:val="center"/>
              <w:rPr>
                <w:rFonts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D6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督查覆盖率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C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2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F0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B08F2">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B1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F98">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356A4">
            <w:pPr>
              <w:jc w:val="center"/>
              <w:rPr>
                <w:rFonts w:hint="eastAsia" w:ascii="微软雅黑" w:hAnsi="微软雅黑" w:eastAsia="微软雅黑" w:cs="微软雅黑"/>
                <w:i/>
                <w:iCs/>
                <w:color w:val="000000"/>
                <w:sz w:val="16"/>
                <w:szCs w:val="16"/>
                <w:u w:val="none"/>
              </w:rPr>
            </w:pPr>
          </w:p>
        </w:tc>
      </w:tr>
      <w:tr w14:paraId="44FB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2B7B">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5AEF">
            <w:pPr>
              <w:jc w:val="center"/>
              <w:rPr>
                <w:rFonts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DB30">
            <w:pPr>
              <w:jc w:val="center"/>
              <w:rPr>
                <w:rFonts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71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检查人员到岗率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0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DA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F7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15E9C">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97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C69">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9E3E">
            <w:pPr>
              <w:jc w:val="center"/>
              <w:rPr>
                <w:rFonts w:hint="eastAsia" w:ascii="微软雅黑" w:hAnsi="微软雅黑" w:eastAsia="微软雅黑" w:cs="微软雅黑"/>
                <w:i/>
                <w:iCs/>
                <w:color w:val="000000"/>
                <w:sz w:val="16"/>
                <w:szCs w:val="16"/>
                <w:u w:val="none"/>
              </w:rPr>
            </w:pPr>
          </w:p>
        </w:tc>
      </w:tr>
      <w:tr w14:paraId="7571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30F8">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7953">
            <w:pPr>
              <w:jc w:val="center"/>
              <w:rPr>
                <w:rFonts w:hint="eastAsia" w:ascii="宋体" w:hAnsi="宋体" w:eastAsia="宋体" w:cs="宋体"/>
                <w:i w:val="0"/>
                <w:iCs w:val="0"/>
                <w:color w:val="000000"/>
                <w:sz w:val="18"/>
                <w:szCs w:val="18"/>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7F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BE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专项工作完成及时率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D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9B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1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F5AA0">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3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242B">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75129">
            <w:pPr>
              <w:jc w:val="center"/>
              <w:rPr>
                <w:rFonts w:hint="eastAsia" w:ascii="微软雅黑" w:hAnsi="微软雅黑" w:eastAsia="微软雅黑" w:cs="微软雅黑"/>
                <w:i/>
                <w:iCs/>
                <w:color w:val="000000"/>
                <w:sz w:val="16"/>
                <w:szCs w:val="16"/>
                <w:u w:val="none"/>
              </w:rPr>
            </w:pPr>
          </w:p>
        </w:tc>
      </w:tr>
      <w:tr w14:paraId="3820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5A56">
            <w:pPr>
              <w:jc w:val="center"/>
              <w:rPr>
                <w:rFonts w:hint="eastAsia" w:ascii="宋体" w:hAnsi="宋体" w:eastAsia="宋体" w:cs="宋体"/>
                <w:i w:val="0"/>
                <w:iCs w:val="0"/>
                <w:color w:val="000000"/>
                <w:sz w:val="18"/>
                <w:szCs w:val="18"/>
                <w:u w:val="none"/>
              </w:rPr>
            </w:pPr>
          </w:p>
        </w:tc>
        <w:tc>
          <w:tcPr>
            <w:tcW w:w="20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9D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B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7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优化提升全县目标绩效工作</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E6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14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7F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74EBB">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4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754">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33419">
            <w:pPr>
              <w:jc w:val="center"/>
              <w:rPr>
                <w:rFonts w:hint="eastAsia" w:ascii="微软雅黑" w:hAnsi="微软雅黑" w:eastAsia="微软雅黑" w:cs="微软雅黑"/>
                <w:i/>
                <w:iCs/>
                <w:color w:val="000000"/>
                <w:sz w:val="16"/>
                <w:szCs w:val="16"/>
                <w:u w:val="none"/>
              </w:rPr>
            </w:pPr>
          </w:p>
        </w:tc>
      </w:tr>
      <w:tr w14:paraId="545B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6BBB">
            <w:pPr>
              <w:jc w:val="center"/>
              <w:rPr>
                <w:rFonts w:hint="eastAsia" w:ascii="宋体" w:hAnsi="宋体" w:eastAsia="宋体" w:cs="宋体"/>
                <w:i w:val="0"/>
                <w:iCs w:val="0"/>
                <w:color w:val="000000"/>
                <w:sz w:val="18"/>
                <w:szCs w:val="18"/>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EFC8">
            <w:pPr>
              <w:jc w:val="center"/>
              <w:rPr>
                <w:rFonts w:hint="eastAsia" w:ascii="宋体" w:hAnsi="宋体" w:eastAsia="宋体" w:cs="宋体"/>
                <w:i w:val="0"/>
                <w:iCs w:val="0"/>
                <w:color w:val="000000"/>
                <w:sz w:val="18"/>
                <w:szCs w:val="18"/>
                <w:u w:val="none"/>
              </w:rPr>
            </w:pPr>
          </w:p>
        </w:tc>
        <w:tc>
          <w:tcPr>
            <w:tcW w:w="1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B3FC">
            <w:pPr>
              <w:jc w:val="center"/>
              <w:rPr>
                <w:rFonts w:hint="eastAsia" w:ascii="宋体" w:hAnsi="宋体" w:eastAsia="宋体" w:cs="宋体"/>
                <w:i w:val="0"/>
                <w:iCs w:val="0"/>
                <w:color w:val="000000"/>
                <w:sz w:val="18"/>
                <w:szCs w:val="18"/>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7E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办公效率提升率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7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FF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54384">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0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E4C">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0ECE">
            <w:pPr>
              <w:jc w:val="center"/>
              <w:rPr>
                <w:rFonts w:hint="eastAsia" w:ascii="微软雅黑" w:hAnsi="微软雅黑" w:eastAsia="微软雅黑" w:cs="微软雅黑"/>
                <w:i/>
                <w:iCs/>
                <w:color w:val="000000"/>
                <w:sz w:val="16"/>
                <w:szCs w:val="16"/>
                <w:u w:val="none"/>
              </w:rPr>
            </w:pPr>
          </w:p>
        </w:tc>
      </w:tr>
      <w:tr w14:paraId="062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1BC5">
            <w:pPr>
              <w:jc w:val="center"/>
              <w:rPr>
                <w:rFonts w:hint="eastAsia"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66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B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1E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全县群众满意度</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D2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EB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5B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69BA7">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D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894">
            <w:pPr>
              <w:jc w:val="center"/>
              <w:rPr>
                <w:rFonts w:ascii="宋体" w:hAnsi="宋体" w:eastAsia="宋体" w:cs="宋体"/>
                <w:i w:val="0"/>
                <w:iCs w:val="0"/>
                <w:color w:val="000000"/>
                <w:sz w:val="18"/>
                <w:szCs w:val="18"/>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D950">
            <w:pPr>
              <w:jc w:val="center"/>
              <w:rPr>
                <w:rFonts w:hint="eastAsia" w:ascii="微软雅黑" w:hAnsi="微软雅黑" w:eastAsia="微软雅黑" w:cs="微软雅黑"/>
                <w:i/>
                <w:iCs/>
                <w:color w:val="000000"/>
                <w:sz w:val="16"/>
                <w:szCs w:val="16"/>
                <w:u w:val="none"/>
              </w:rPr>
            </w:pPr>
          </w:p>
        </w:tc>
      </w:tr>
      <w:tr w14:paraId="1AC9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DF3B">
            <w:pPr>
              <w:jc w:val="center"/>
              <w:rPr>
                <w:rFonts w:ascii="宋体" w:hAnsi="宋体" w:eastAsia="宋体" w:cs="宋体"/>
                <w:i w:val="0"/>
                <w:iCs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37B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成本指标</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FC0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经济成本指标</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7BB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预算控制数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A25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7BB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350000</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FDD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元</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BA357">
            <w:pPr>
              <w:jc w:val="center"/>
              <w:rPr>
                <w:rFonts w:ascii="宋体" w:hAnsi="宋体" w:eastAsia="宋体" w:cs="宋体"/>
                <w:i w:val="0"/>
                <w:iCs w:val="0"/>
                <w:color w:val="000000"/>
                <w:sz w:val="18"/>
                <w:szCs w:val="18"/>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B0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4B5">
            <w:pPr>
              <w:jc w:val="cente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E21E">
            <w:pPr>
              <w:jc w:val="center"/>
              <w:rPr>
                <w:rFonts w:hint="eastAsia" w:ascii="宋体" w:hAnsi="宋体" w:eastAsia="宋体" w:cs="宋体"/>
                <w:i w:val="0"/>
                <w:iCs w:val="0"/>
                <w:color w:val="000000"/>
                <w:sz w:val="18"/>
                <w:szCs w:val="18"/>
                <w:u w:val="none"/>
              </w:rPr>
            </w:pPr>
          </w:p>
        </w:tc>
      </w:tr>
      <w:tr w14:paraId="64CC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7E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B7FD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结合自评情况，项目得分100分，紧紧围绕县委县政府重点工作，深入贯彻市委“1336”和县委“1337”工作思路，狠抓督查督办、目标绩效管理、营商环境优化提升以及“对标赶超”工作，有效</w:t>
            </w:r>
            <w:r>
              <w:rPr>
                <w:rFonts w:hint="eastAsia" w:ascii="宋体" w:hAnsi="宋体" w:eastAsia="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推动了县委县政府中心工作和重大决策部署的高效落实，圆满完成2023年各项工作任务。</w:t>
            </w:r>
          </w:p>
        </w:tc>
      </w:tr>
      <w:tr w14:paraId="21A5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6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E630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一是督查方式不够优化。平时在督查工作中，督查的事项较多，大多考虑的是如何尽快完成任务，而对于问题的深层次原因、根治办法考虑</w:t>
            </w:r>
            <w:r>
              <w:rPr>
                <w:rFonts w:hint="eastAsia" w:ascii="宋体" w:hAnsi="宋体" w:eastAsia="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较少，分析</w:t>
            </w:r>
            <w:r>
              <w:rPr>
                <w:rFonts w:hint="eastAsia" w:ascii="宋体" w:hAnsi="宋体" w:eastAsia="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不够。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二是沟通协调不够畅通。参与督查工作的县直各部门、单位未明确专职督查人员，不利于全县各项重点专项工作信息的及时沟通、汇集报送，在推进工作落实上也渠道不畅、效率不高。</w:t>
            </w:r>
          </w:p>
        </w:tc>
      </w:tr>
      <w:tr w14:paraId="13E0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92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479B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1.灵活运用督查方法。提高督查的目的性和实效性，多进行暗访回访、重复督办，做到督查工作更加有力，更加较真，更加实效。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2.及时整合督查资源。县相关部门、单位明确督查人员，以便于收集工作信息，及时交接办理，促进工作整改，提高工作效率。</w:t>
            </w:r>
          </w:p>
        </w:tc>
      </w:tr>
      <w:tr w14:paraId="67DA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D51F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项目负责人：陈梁</w:t>
            </w:r>
          </w:p>
        </w:tc>
        <w:tc>
          <w:tcPr>
            <w:tcW w:w="682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74D9D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财务负责人：苏红文</w:t>
            </w:r>
          </w:p>
        </w:tc>
      </w:tr>
      <w:tr w14:paraId="275D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gridSpan w:val="3"/>
            <w:tcBorders>
              <w:top w:val="nil"/>
              <w:left w:val="nil"/>
              <w:bottom w:val="nil"/>
              <w:right w:val="nil"/>
            </w:tcBorders>
            <w:shd w:val="clear" w:color="auto" w:fill="auto"/>
            <w:vAlign w:val="center"/>
          </w:tcPr>
          <w:p w14:paraId="44DFA301">
            <w:pPr>
              <w:rPr>
                <w:rFonts w:hint="eastAsia" w:ascii="宋体" w:hAnsi="宋体" w:eastAsia="宋体" w:cs="宋体"/>
                <w:i w:val="0"/>
                <w:iCs w:val="0"/>
                <w:color w:val="000000"/>
                <w:sz w:val="18"/>
                <w:szCs w:val="18"/>
                <w:u w:val="none"/>
              </w:rPr>
            </w:pPr>
          </w:p>
        </w:tc>
        <w:tc>
          <w:tcPr>
            <w:tcW w:w="2045" w:type="dxa"/>
            <w:gridSpan w:val="2"/>
            <w:tcBorders>
              <w:top w:val="nil"/>
              <w:left w:val="nil"/>
              <w:bottom w:val="nil"/>
              <w:right w:val="nil"/>
            </w:tcBorders>
            <w:shd w:val="clear" w:color="auto" w:fill="auto"/>
            <w:vAlign w:val="center"/>
          </w:tcPr>
          <w:p w14:paraId="47B313B4">
            <w:pPr>
              <w:rPr>
                <w:rFonts w:hint="eastAsia" w:ascii="宋体" w:hAnsi="宋体" w:eastAsia="宋体" w:cs="宋体"/>
                <w:i w:val="0"/>
                <w:iCs w:val="0"/>
                <w:color w:val="000000"/>
                <w:sz w:val="18"/>
                <w:szCs w:val="18"/>
                <w:u w:val="none"/>
              </w:rPr>
            </w:pPr>
          </w:p>
        </w:tc>
        <w:tc>
          <w:tcPr>
            <w:tcW w:w="1770" w:type="dxa"/>
            <w:gridSpan w:val="3"/>
            <w:tcBorders>
              <w:top w:val="nil"/>
              <w:left w:val="nil"/>
              <w:bottom w:val="nil"/>
              <w:right w:val="nil"/>
            </w:tcBorders>
            <w:shd w:val="clear" w:color="auto" w:fill="auto"/>
            <w:vAlign w:val="center"/>
          </w:tcPr>
          <w:p w14:paraId="58F4D37C">
            <w:pPr>
              <w:rPr>
                <w:rFonts w:hint="eastAsia" w:ascii="宋体" w:hAnsi="宋体" w:eastAsia="宋体" w:cs="宋体"/>
                <w:i w:val="0"/>
                <w:iCs w:val="0"/>
                <w:color w:val="000000"/>
                <w:sz w:val="18"/>
                <w:szCs w:val="18"/>
                <w:u w:val="none"/>
              </w:rPr>
            </w:pPr>
          </w:p>
        </w:tc>
        <w:tc>
          <w:tcPr>
            <w:tcW w:w="2257" w:type="dxa"/>
            <w:gridSpan w:val="4"/>
            <w:tcBorders>
              <w:top w:val="nil"/>
              <w:left w:val="nil"/>
              <w:bottom w:val="nil"/>
              <w:right w:val="nil"/>
            </w:tcBorders>
            <w:shd w:val="clear" w:color="auto" w:fill="auto"/>
            <w:vAlign w:val="center"/>
          </w:tcPr>
          <w:p w14:paraId="1F511987">
            <w:pPr>
              <w:rPr>
                <w:rFonts w:hint="eastAsia" w:ascii="宋体" w:hAnsi="宋体" w:eastAsia="宋体" w:cs="宋体"/>
                <w:i w:val="0"/>
                <w:iCs w:val="0"/>
                <w:color w:val="000000"/>
                <w:sz w:val="18"/>
                <w:szCs w:val="18"/>
                <w:u w:val="none"/>
              </w:rPr>
            </w:pPr>
          </w:p>
        </w:tc>
        <w:tc>
          <w:tcPr>
            <w:tcW w:w="520" w:type="dxa"/>
            <w:gridSpan w:val="2"/>
            <w:tcBorders>
              <w:top w:val="nil"/>
              <w:left w:val="nil"/>
              <w:bottom w:val="nil"/>
              <w:right w:val="nil"/>
            </w:tcBorders>
            <w:shd w:val="clear" w:color="auto" w:fill="auto"/>
            <w:vAlign w:val="center"/>
          </w:tcPr>
          <w:p w14:paraId="01BBC687">
            <w:pPr>
              <w:rPr>
                <w:rFonts w:hint="eastAsia" w:ascii="宋体" w:hAnsi="宋体" w:eastAsia="宋体" w:cs="宋体"/>
                <w:i w:val="0"/>
                <w:iCs w:val="0"/>
                <w:color w:val="000000"/>
                <w:sz w:val="18"/>
                <w:szCs w:val="18"/>
                <w:u w:val="none"/>
              </w:rPr>
            </w:pPr>
          </w:p>
        </w:tc>
        <w:tc>
          <w:tcPr>
            <w:tcW w:w="1673" w:type="dxa"/>
            <w:gridSpan w:val="4"/>
            <w:tcBorders>
              <w:top w:val="nil"/>
              <w:left w:val="nil"/>
              <w:bottom w:val="nil"/>
              <w:right w:val="nil"/>
            </w:tcBorders>
            <w:shd w:val="clear" w:color="auto" w:fill="auto"/>
            <w:vAlign w:val="center"/>
          </w:tcPr>
          <w:p w14:paraId="3026EC58">
            <w:pPr>
              <w:rPr>
                <w:rFonts w:hint="eastAsia" w:ascii="宋体" w:hAnsi="宋体" w:eastAsia="宋体" w:cs="宋体"/>
                <w:i w:val="0"/>
                <w:iCs w:val="0"/>
                <w:color w:val="000000"/>
                <w:sz w:val="18"/>
                <w:szCs w:val="18"/>
                <w:u w:val="none"/>
              </w:rPr>
            </w:pPr>
          </w:p>
        </w:tc>
        <w:tc>
          <w:tcPr>
            <w:tcW w:w="520" w:type="dxa"/>
            <w:gridSpan w:val="2"/>
            <w:tcBorders>
              <w:top w:val="nil"/>
              <w:left w:val="nil"/>
              <w:bottom w:val="nil"/>
              <w:right w:val="nil"/>
            </w:tcBorders>
            <w:shd w:val="clear" w:color="auto" w:fill="auto"/>
            <w:vAlign w:val="center"/>
          </w:tcPr>
          <w:p w14:paraId="60957DB5">
            <w:pPr>
              <w:rPr>
                <w:rFonts w:hint="eastAsia" w:ascii="宋体" w:hAnsi="宋体" w:eastAsia="宋体" w:cs="宋体"/>
                <w:i w:val="0"/>
                <w:iCs w:val="0"/>
                <w:color w:val="000000"/>
                <w:sz w:val="18"/>
                <w:szCs w:val="18"/>
                <w:u w:val="none"/>
              </w:rPr>
            </w:pPr>
          </w:p>
        </w:tc>
        <w:tc>
          <w:tcPr>
            <w:tcW w:w="1090" w:type="dxa"/>
            <w:gridSpan w:val="5"/>
            <w:tcBorders>
              <w:top w:val="nil"/>
              <w:left w:val="nil"/>
              <w:bottom w:val="nil"/>
              <w:right w:val="nil"/>
            </w:tcBorders>
            <w:shd w:val="clear" w:color="auto" w:fill="auto"/>
            <w:vAlign w:val="center"/>
          </w:tcPr>
          <w:p w14:paraId="47F5E104">
            <w:pPr>
              <w:rPr>
                <w:rFonts w:hint="eastAsia" w:ascii="宋体" w:hAnsi="宋体" w:eastAsia="宋体" w:cs="宋体"/>
                <w:i w:val="0"/>
                <w:iCs w:val="0"/>
                <w:color w:val="000000"/>
                <w:sz w:val="18"/>
                <w:szCs w:val="18"/>
                <w:u w:val="none"/>
              </w:rPr>
            </w:pPr>
          </w:p>
        </w:tc>
        <w:tc>
          <w:tcPr>
            <w:tcW w:w="505" w:type="dxa"/>
            <w:gridSpan w:val="2"/>
            <w:tcBorders>
              <w:top w:val="nil"/>
              <w:left w:val="nil"/>
              <w:bottom w:val="nil"/>
              <w:right w:val="nil"/>
            </w:tcBorders>
            <w:shd w:val="clear" w:color="auto" w:fill="auto"/>
            <w:vAlign w:val="center"/>
          </w:tcPr>
          <w:p w14:paraId="26989700">
            <w:pPr>
              <w:rPr>
                <w:rFonts w:hint="eastAsia" w:ascii="宋体" w:hAnsi="宋体" w:eastAsia="宋体" w:cs="宋体"/>
                <w:i w:val="0"/>
                <w:iCs w:val="0"/>
                <w:color w:val="000000"/>
                <w:sz w:val="18"/>
                <w:szCs w:val="18"/>
                <w:u w:val="none"/>
              </w:rPr>
            </w:pPr>
          </w:p>
        </w:tc>
        <w:tc>
          <w:tcPr>
            <w:tcW w:w="486" w:type="dxa"/>
            <w:gridSpan w:val="3"/>
            <w:tcBorders>
              <w:top w:val="nil"/>
              <w:left w:val="nil"/>
              <w:bottom w:val="nil"/>
              <w:right w:val="nil"/>
            </w:tcBorders>
            <w:shd w:val="clear" w:color="auto" w:fill="auto"/>
            <w:vAlign w:val="center"/>
          </w:tcPr>
          <w:p w14:paraId="30920EB6">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793B88B0">
            <w:pPr>
              <w:rPr>
                <w:rFonts w:hint="eastAsia" w:ascii="宋体" w:hAnsi="宋体" w:eastAsia="宋体" w:cs="宋体"/>
                <w:i w:val="0"/>
                <w:iCs w:val="0"/>
                <w:color w:val="000000"/>
                <w:sz w:val="18"/>
                <w:szCs w:val="18"/>
                <w:u w:val="none"/>
              </w:rPr>
            </w:pPr>
          </w:p>
        </w:tc>
      </w:tr>
      <w:tr w14:paraId="5CBF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31"/>
            <w:tcBorders>
              <w:top w:val="nil"/>
              <w:left w:val="nil"/>
              <w:bottom w:val="nil"/>
              <w:right w:val="nil"/>
            </w:tcBorders>
            <w:shd w:val="clear" w:color="auto" w:fill="auto"/>
            <w:vAlign w:val="center"/>
          </w:tcPr>
          <w:p w14:paraId="00658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0177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31"/>
            <w:tcBorders>
              <w:top w:val="nil"/>
              <w:left w:val="nil"/>
              <w:bottom w:val="nil"/>
              <w:right w:val="nil"/>
            </w:tcBorders>
            <w:shd w:val="clear" w:color="auto" w:fill="auto"/>
            <w:vAlign w:val="center"/>
          </w:tcPr>
          <w:p w14:paraId="5AAB4A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218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31"/>
            <w:tcBorders>
              <w:top w:val="nil"/>
              <w:left w:val="nil"/>
              <w:bottom w:val="nil"/>
              <w:right w:val="nil"/>
            </w:tcBorders>
            <w:shd w:val="clear" w:color="auto" w:fill="auto"/>
            <w:vAlign w:val="center"/>
          </w:tcPr>
          <w:p w14:paraId="3300B5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714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31"/>
            <w:tcBorders>
              <w:top w:val="nil"/>
              <w:left w:val="nil"/>
              <w:bottom w:val="nil"/>
              <w:right w:val="nil"/>
            </w:tcBorders>
            <w:shd w:val="clear" w:color="auto" w:fill="auto"/>
            <w:vAlign w:val="center"/>
          </w:tcPr>
          <w:p w14:paraId="7C9A4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6443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1EFC68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8A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6" w:hRule="atLeast"/>
        </w:trPr>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5C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3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7151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51092124T000010711372-营商环境专项经费</w:t>
            </w:r>
          </w:p>
        </w:tc>
      </w:tr>
      <w:tr w14:paraId="0263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512" w:hRule="atLeast"/>
        </w:trPr>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B0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4D1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县委绩效办部门</w:t>
            </w:r>
          </w:p>
        </w:tc>
        <w:tc>
          <w:tcPr>
            <w:tcW w:w="982" w:type="dxa"/>
            <w:gridSpan w:val="5"/>
            <w:tcBorders>
              <w:top w:val="nil"/>
              <w:left w:val="nil"/>
              <w:bottom w:val="nil"/>
              <w:right w:val="nil"/>
            </w:tcBorders>
            <w:shd w:val="clear" w:color="auto" w:fill="auto"/>
            <w:vAlign w:val="center"/>
          </w:tcPr>
          <w:p w14:paraId="60783A5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5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BF3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中共蓬溪县委目标绩效管理办公室</w:t>
            </w:r>
          </w:p>
        </w:tc>
      </w:tr>
      <w:tr w14:paraId="25A3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CD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4B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4819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5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6241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36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90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E464">
            <w:pP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9B7F">
            <w:pPr>
              <w:rPr>
                <w:rFonts w:hint="eastAsia" w:ascii="宋体" w:hAnsi="宋体" w:eastAsia="宋体" w:cs="宋体"/>
                <w:i w:val="0"/>
                <w:iCs w:val="0"/>
                <w:color w:val="000000"/>
                <w:sz w:val="18"/>
                <w:szCs w:val="18"/>
                <w:u w:val="none"/>
              </w:rPr>
            </w:pPr>
          </w:p>
        </w:tc>
        <w:tc>
          <w:tcPr>
            <w:tcW w:w="60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EFB8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我县“三县三城”发展主线，凝心聚力，务实笃行，在深化行政审批制度改革、政务服务提质增效、电子政务革故鼎新等方面下功夫，建设优良的营商环境，切实提升企业群众满意度、获得感，为促进全县经济高质量发展提供保障。</w:t>
            </w:r>
          </w:p>
        </w:tc>
        <w:tc>
          <w:tcPr>
            <w:tcW w:w="555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553B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印发《蓬溪县2024年营商环境对标赶超工作方案》，建立项目秘书“三件事”制度。高质量召开“门都茶事”政企交流座谈会，设立营商环境监测点，选聘营商环境监督员，营造了良好营商环境。</w:t>
            </w:r>
          </w:p>
        </w:tc>
      </w:tr>
      <w:tr w14:paraId="1EE9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3BEE">
            <w:pP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769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3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B2AE69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定期组织召开专题会，聚焦企业和群众反映的痛点、难点、堵点问题，认真剖析问题根源，扎实抓好整改落实。县委绩效办对深化“放管服”改革优化营商环境工作落实情况持续督查督导，同时加强各项指标的提升监测，县纪委监委对破坏营商环境的行为严格处理，以督查监督倒推工作落实。</w:t>
            </w:r>
          </w:p>
        </w:tc>
      </w:tr>
      <w:tr w14:paraId="75E3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A4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9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AE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91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23A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F9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8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CB9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88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5791">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2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F6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7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1B7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38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9C6C">
            <w:pPr>
              <w:jc w:val="center"/>
              <w:rPr>
                <w:rFonts w:hint="eastAsia" w:ascii="宋体" w:hAnsi="宋体" w:eastAsia="宋体" w:cs="宋体"/>
                <w:i w:val="0"/>
                <w:iCs w:val="0"/>
                <w:color w:val="000000"/>
                <w:sz w:val="18"/>
                <w:szCs w:val="18"/>
                <w:u w:val="none"/>
              </w:rPr>
            </w:pPr>
          </w:p>
        </w:tc>
        <w:tc>
          <w:tcPr>
            <w:tcW w:w="37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CF5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09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337E">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0E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7D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35E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28.45</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95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E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E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2B0">
            <w:pPr>
              <w:rPr>
                <w:rFonts w:hint="eastAsia" w:ascii="黑体" w:hAnsi="黑体" w:eastAsia="黑体" w:cs="黑体"/>
                <w:i/>
                <w:iCs/>
                <w:color w:val="000000"/>
                <w:sz w:val="18"/>
                <w:szCs w:val="18"/>
                <w:u w:val="none"/>
              </w:rPr>
            </w:pPr>
          </w:p>
        </w:tc>
      </w:tr>
      <w:tr w14:paraId="295C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0B77">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AC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84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B3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2B4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CD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A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CB40">
            <w:pPr>
              <w:rPr>
                <w:rFonts w:hint="eastAsia" w:ascii="黑体" w:hAnsi="黑体" w:eastAsia="黑体" w:cs="黑体"/>
                <w:i/>
                <w:iCs/>
                <w:color w:val="000000"/>
                <w:sz w:val="18"/>
                <w:szCs w:val="18"/>
                <w:u w:val="none"/>
              </w:rPr>
            </w:pPr>
          </w:p>
        </w:tc>
      </w:tr>
      <w:tr w14:paraId="5CA9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31B4">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E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51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BD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51F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39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10A9">
            <w:pPr>
              <w:rPr>
                <w:rFonts w:hint="eastAsia" w:ascii="黑体" w:hAnsi="黑体" w:eastAsia="黑体" w:cs="黑体"/>
                <w:i/>
                <w:iCs/>
                <w:color w:val="000000"/>
                <w:sz w:val="18"/>
                <w:szCs w:val="18"/>
                <w:u w:val="none"/>
              </w:rPr>
            </w:pPr>
          </w:p>
        </w:tc>
      </w:tr>
      <w:tr w14:paraId="4DA0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5ED6">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2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079D2">
            <w:pPr>
              <w:jc w:val="center"/>
              <w:rPr>
                <w:rFonts w:hint="eastAsia" w:ascii="微软雅黑" w:hAnsi="微软雅黑" w:eastAsia="微软雅黑" w:cs="微软雅黑"/>
                <w:i/>
                <w:iCs/>
                <w:color w:val="000000"/>
                <w:sz w:val="16"/>
                <w:szCs w:val="16"/>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278FB">
            <w:pPr>
              <w:jc w:val="center"/>
              <w:rPr>
                <w:rFonts w:hint="eastAsia" w:ascii="微软雅黑" w:hAnsi="微软雅黑" w:eastAsia="微软雅黑" w:cs="微软雅黑"/>
                <w:i/>
                <w:iCs/>
                <w:color w:val="000000"/>
                <w:sz w:val="16"/>
                <w:szCs w:val="16"/>
                <w:u w:val="none"/>
              </w:rPr>
            </w:pPr>
          </w:p>
        </w:tc>
        <w:tc>
          <w:tcPr>
            <w:tcW w:w="2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A23407">
            <w:pPr>
              <w:jc w:val="center"/>
              <w:rPr>
                <w:rFonts w:hint="eastAsia" w:ascii="微软雅黑" w:hAnsi="微软雅黑" w:eastAsia="微软雅黑" w:cs="微软雅黑"/>
                <w:i/>
                <w:iCs/>
                <w:color w:val="000000"/>
                <w:sz w:val="16"/>
                <w:szCs w:val="16"/>
                <w:u w:val="none"/>
              </w:rPr>
            </w:pP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75B3B">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E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27A1">
            <w:pPr>
              <w:rPr>
                <w:rFonts w:hint="eastAsia" w:ascii="黑体" w:hAnsi="黑体" w:eastAsia="黑体" w:cs="黑体"/>
                <w:i/>
                <w:iCs/>
                <w:color w:val="000000"/>
                <w:sz w:val="18"/>
                <w:szCs w:val="18"/>
                <w:u w:val="none"/>
              </w:rPr>
            </w:pPr>
          </w:p>
        </w:tc>
      </w:tr>
      <w:tr w14:paraId="6931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A8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32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0E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93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7B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80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D3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24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A042">
            <w:pPr>
              <w:jc w:val="center"/>
              <w:rPr>
                <w:rFonts w:hint="eastAsia" w:ascii="宋体" w:hAnsi="宋体" w:eastAsia="宋体" w:cs="宋体"/>
                <w:i w:val="0"/>
                <w:iCs w:val="0"/>
                <w:color w:val="000000"/>
                <w:sz w:val="18"/>
                <w:szCs w:val="18"/>
                <w:u w:val="none"/>
              </w:rPr>
            </w:pPr>
          </w:p>
        </w:tc>
        <w:tc>
          <w:tcPr>
            <w:tcW w:w="1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F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C6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B9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出具检查通报数量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5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3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C86D7">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520">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348B7">
            <w:pPr>
              <w:jc w:val="center"/>
              <w:rPr>
                <w:rFonts w:hint="eastAsia" w:ascii="微软雅黑" w:hAnsi="微软雅黑" w:eastAsia="微软雅黑" w:cs="微软雅黑"/>
                <w:i/>
                <w:iCs/>
                <w:color w:val="000000"/>
                <w:sz w:val="16"/>
                <w:szCs w:val="16"/>
                <w:u w:val="none"/>
              </w:rPr>
            </w:pPr>
          </w:p>
        </w:tc>
      </w:tr>
      <w:tr w14:paraId="345F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C995">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01AF">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B0BF">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50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组织专题会议数量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AE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D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C94B5">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D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7B47">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8382F">
            <w:pPr>
              <w:jc w:val="center"/>
              <w:rPr>
                <w:rFonts w:hint="eastAsia" w:ascii="微软雅黑" w:hAnsi="微软雅黑" w:eastAsia="微软雅黑" w:cs="微软雅黑"/>
                <w:i/>
                <w:iCs/>
                <w:color w:val="000000"/>
                <w:sz w:val="16"/>
                <w:szCs w:val="16"/>
                <w:u w:val="none"/>
              </w:rPr>
            </w:pPr>
          </w:p>
        </w:tc>
      </w:tr>
      <w:tr w14:paraId="2795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41C6">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C8E6">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8D54">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9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会议参与人数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4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2C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B13C5">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F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FE64">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6FA272">
            <w:pPr>
              <w:jc w:val="center"/>
              <w:rPr>
                <w:rFonts w:hint="eastAsia" w:ascii="微软雅黑" w:hAnsi="微软雅黑" w:eastAsia="微软雅黑" w:cs="微软雅黑"/>
                <w:i/>
                <w:iCs/>
                <w:color w:val="000000"/>
                <w:sz w:val="16"/>
                <w:szCs w:val="16"/>
                <w:u w:val="none"/>
              </w:rPr>
            </w:pPr>
          </w:p>
        </w:tc>
      </w:tr>
      <w:tr w14:paraId="58A5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299D">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BD5E">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A4CD">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15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督查督办数量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C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CC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2931C">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0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A56">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BEC7A">
            <w:pPr>
              <w:jc w:val="center"/>
              <w:rPr>
                <w:rFonts w:hint="eastAsia" w:ascii="微软雅黑" w:hAnsi="微软雅黑" w:eastAsia="微软雅黑" w:cs="微软雅黑"/>
                <w:i/>
                <w:iCs/>
                <w:color w:val="000000"/>
                <w:sz w:val="16"/>
                <w:szCs w:val="16"/>
                <w:u w:val="none"/>
              </w:rPr>
            </w:pPr>
          </w:p>
        </w:tc>
      </w:tr>
      <w:tr w14:paraId="7BAB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044C">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3CAD">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8011">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51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开展检查次数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6E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3D37B">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1E30">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DE99C5">
            <w:pPr>
              <w:jc w:val="center"/>
              <w:rPr>
                <w:rFonts w:hint="eastAsia" w:ascii="微软雅黑" w:hAnsi="微软雅黑" w:eastAsia="微软雅黑" w:cs="微软雅黑"/>
                <w:i/>
                <w:iCs/>
                <w:color w:val="000000"/>
                <w:sz w:val="16"/>
                <w:szCs w:val="16"/>
                <w:u w:val="none"/>
              </w:rPr>
            </w:pPr>
          </w:p>
        </w:tc>
      </w:tr>
      <w:tr w14:paraId="60AA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E240">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22B7">
            <w:pPr>
              <w:jc w:val="center"/>
              <w:rPr>
                <w:rFonts w:hint="eastAsia" w:ascii="宋体" w:hAnsi="宋体" w:eastAsia="宋体" w:cs="宋体"/>
                <w:i w:val="0"/>
                <w:iCs w:val="0"/>
                <w:color w:val="000000"/>
                <w:sz w:val="18"/>
                <w:szCs w:val="18"/>
                <w:u w:val="none"/>
              </w:rPr>
            </w:pPr>
          </w:p>
        </w:tc>
        <w:tc>
          <w:tcPr>
            <w:tcW w:w="15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C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5E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8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8A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93730">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5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C3A">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C3691D">
            <w:pPr>
              <w:jc w:val="center"/>
              <w:rPr>
                <w:rFonts w:hint="eastAsia" w:ascii="微软雅黑" w:hAnsi="微软雅黑" w:eastAsia="微软雅黑" w:cs="微软雅黑"/>
                <w:i/>
                <w:iCs/>
                <w:color w:val="000000"/>
                <w:sz w:val="16"/>
                <w:szCs w:val="16"/>
                <w:u w:val="none"/>
              </w:rPr>
            </w:pPr>
          </w:p>
        </w:tc>
      </w:tr>
      <w:tr w14:paraId="53A2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9903">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3ECA">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B66C">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C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检查人员到岗率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FD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DF4EE">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534">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B427D4">
            <w:pPr>
              <w:jc w:val="center"/>
              <w:rPr>
                <w:rFonts w:hint="eastAsia" w:ascii="微软雅黑" w:hAnsi="微软雅黑" w:eastAsia="微软雅黑" w:cs="微软雅黑"/>
                <w:i/>
                <w:iCs/>
                <w:color w:val="000000"/>
                <w:sz w:val="16"/>
                <w:szCs w:val="16"/>
                <w:u w:val="none"/>
              </w:rPr>
            </w:pPr>
          </w:p>
        </w:tc>
      </w:tr>
      <w:tr w14:paraId="58DB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3676">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3BE4">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14CE">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E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会议出勤率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47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042D9">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B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6BEE">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73D1A3">
            <w:pPr>
              <w:jc w:val="center"/>
              <w:rPr>
                <w:rFonts w:hint="eastAsia" w:ascii="微软雅黑" w:hAnsi="微软雅黑" w:eastAsia="微软雅黑" w:cs="微软雅黑"/>
                <w:i/>
                <w:iCs/>
                <w:color w:val="000000"/>
                <w:sz w:val="16"/>
                <w:szCs w:val="16"/>
                <w:u w:val="none"/>
              </w:rPr>
            </w:pPr>
          </w:p>
        </w:tc>
      </w:tr>
      <w:tr w14:paraId="2025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5175">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65B6">
            <w:pPr>
              <w:jc w:val="center"/>
              <w:rPr>
                <w:rFonts w:hint="eastAsia" w:ascii="宋体" w:hAnsi="宋体" w:eastAsia="宋体" w:cs="宋体"/>
                <w:i w:val="0"/>
                <w:iCs w:val="0"/>
                <w:color w:val="000000"/>
                <w:sz w:val="18"/>
                <w:szCs w:val="18"/>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35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78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专项工作完成及时率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A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4E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8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E0D53">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2F7">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FF72BE">
            <w:pPr>
              <w:jc w:val="center"/>
              <w:rPr>
                <w:rFonts w:hint="eastAsia" w:ascii="微软雅黑" w:hAnsi="微软雅黑" w:eastAsia="微软雅黑" w:cs="微软雅黑"/>
                <w:i/>
                <w:iCs/>
                <w:color w:val="000000"/>
                <w:sz w:val="16"/>
                <w:szCs w:val="16"/>
                <w:u w:val="none"/>
              </w:rPr>
            </w:pPr>
          </w:p>
        </w:tc>
      </w:tr>
      <w:tr w14:paraId="2CD3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BDC0">
            <w:pPr>
              <w:jc w:val="center"/>
              <w:rPr>
                <w:rFonts w:hint="eastAsia" w:ascii="宋体" w:hAnsi="宋体" w:eastAsia="宋体" w:cs="宋体"/>
                <w:i w:val="0"/>
                <w:iCs w:val="0"/>
                <w:color w:val="000000"/>
                <w:sz w:val="18"/>
                <w:szCs w:val="18"/>
                <w:u w:val="none"/>
              </w:rPr>
            </w:pPr>
          </w:p>
        </w:tc>
        <w:tc>
          <w:tcPr>
            <w:tcW w:w="1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E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B0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52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优化提升全县营商环境</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7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B3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AEFB5">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3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94E">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F5ACF1">
            <w:pPr>
              <w:jc w:val="center"/>
              <w:rPr>
                <w:rFonts w:hint="eastAsia" w:ascii="微软雅黑" w:hAnsi="微软雅黑" w:eastAsia="微软雅黑" w:cs="微软雅黑"/>
                <w:i/>
                <w:iCs/>
                <w:color w:val="000000"/>
                <w:sz w:val="16"/>
                <w:szCs w:val="16"/>
                <w:u w:val="none"/>
              </w:rPr>
            </w:pPr>
          </w:p>
        </w:tc>
      </w:tr>
      <w:tr w14:paraId="49FB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4D10">
            <w:pPr>
              <w:jc w:val="center"/>
              <w:rPr>
                <w:rFonts w:hint="eastAsia" w:ascii="宋体" w:hAnsi="宋体" w:eastAsia="宋体" w:cs="宋体"/>
                <w:i w:val="0"/>
                <w:iCs w:val="0"/>
                <w:color w:val="000000"/>
                <w:sz w:val="18"/>
                <w:szCs w:val="18"/>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F659">
            <w:pPr>
              <w:jc w:val="center"/>
              <w:rPr>
                <w:rFonts w:hint="eastAsia" w:ascii="宋体" w:hAnsi="宋体" w:eastAsia="宋体" w:cs="宋体"/>
                <w:i w:val="0"/>
                <w:iCs w:val="0"/>
                <w:color w:val="000000"/>
                <w:sz w:val="18"/>
                <w:szCs w:val="18"/>
                <w:u w:val="none"/>
              </w:rPr>
            </w:pPr>
          </w:p>
        </w:tc>
        <w:tc>
          <w:tcPr>
            <w:tcW w:w="15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E99C">
            <w:pPr>
              <w:jc w:val="center"/>
              <w:rPr>
                <w:rFonts w:hint="eastAsia" w:ascii="宋体" w:hAnsi="宋体" w:eastAsia="宋体" w:cs="宋体"/>
                <w:i w:val="0"/>
                <w:iCs w:val="0"/>
                <w:color w:val="000000"/>
                <w:sz w:val="18"/>
                <w:szCs w:val="18"/>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87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办公效率提升率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B3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00434">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6A78">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9F1E38">
            <w:pPr>
              <w:jc w:val="center"/>
              <w:rPr>
                <w:rFonts w:hint="eastAsia" w:ascii="微软雅黑" w:hAnsi="微软雅黑" w:eastAsia="微软雅黑" w:cs="微软雅黑"/>
                <w:i/>
                <w:iCs/>
                <w:color w:val="000000"/>
                <w:sz w:val="16"/>
                <w:szCs w:val="16"/>
                <w:u w:val="none"/>
              </w:rPr>
            </w:pPr>
          </w:p>
        </w:tc>
      </w:tr>
      <w:tr w14:paraId="46E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279D">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26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F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51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全县企业群众满意度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D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03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9F651">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D157">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95597A">
            <w:pPr>
              <w:jc w:val="center"/>
              <w:rPr>
                <w:rFonts w:hint="eastAsia" w:ascii="微软雅黑" w:hAnsi="微软雅黑" w:eastAsia="微软雅黑" w:cs="微软雅黑"/>
                <w:i/>
                <w:iCs/>
                <w:color w:val="000000"/>
                <w:sz w:val="16"/>
                <w:szCs w:val="16"/>
                <w:u w:val="none"/>
              </w:rPr>
            </w:pPr>
          </w:p>
        </w:tc>
      </w:tr>
      <w:tr w14:paraId="7291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3081">
            <w:pPr>
              <w:jc w:val="center"/>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7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0B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30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预算控制数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37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36337">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CEE">
            <w:pPr>
              <w:jc w:val="cente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219B3D">
            <w:pPr>
              <w:jc w:val="center"/>
              <w:rPr>
                <w:rFonts w:hint="eastAsia" w:ascii="微软雅黑" w:hAnsi="微软雅黑" w:eastAsia="微软雅黑" w:cs="微软雅黑"/>
                <w:i/>
                <w:iCs/>
                <w:color w:val="000000"/>
                <w:sz w:val="16"/>
                <w:szCs w:val="16"/>
                <w:u w:val="none"/>
              </w:rPr>
            </w:pPr>
          </w:p>
        </w:tc>
      </w:tr>
      <w:tr w14:paraId="5DFA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6" w:hRule="atLeast"/>
        </w:trPr>
        <w:tc>
          <w:tcPr>
            <w:tcW w:w="952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90D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E84">
            <w:pPr>
              <w:rPr>
                <w:rFonts w:hint="eastAsia" w:ascii="宋体" w:hAnsi="宋体" w:eastAsia="宋体" w:cs="宋体"/>
                <w:i w:val="0"/>
                <w:iCs w:val="0"/>
                <w:color w:val="000000"/>
                <w:sz w:val="18"/>
                <w:szCs w:val="18"/>
                <w:u w:val="none"/>
              </w:rPr>
            </w:pPr>
          </w:p>
        </w:tc>
        <w:tc>
          <w:tcPr>
            <w:tcW w:w="37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8E2964">
            <w:pPr>
              <w:rPr>
                <w:rFonts w:hint="eastAsia" w:ascii="宋体" w:hAnsi="宋体" w:eastAsia="宋体" w:cs="宋体"/>
                <w:i w:val="0"/>
                <w:iCs w:val="0"/>
                <w:color w:val="000000"/>
                <w:sz w:val="18"/>
                <w:szCs w:val="18"/>
                <w:u w:val="none"/>
              </w:rPr>
            </w:pPr>
          </w:p>
        </w:tc>
      </w:tr>
      <w:tr w14:paraId="3DD3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8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29202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自评，项目自评100分，印发《蓬溪县2024年营商环境对标赶超工作方案》，建立项目秘书“三件事”制度。高质量召开“门都茶事”政企交流座谈会3期，设立营商环境监测点，选聘营商环境监督员，营造了良好营商环境。</w:t>
            </w:r>
          </w:p>
        </w:tc>
      </w:tr>
      <w:tr w14:paraId="28DE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8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BE2C3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1.高端人才缺乏。基础环境不佳，相比先进地区，对高端人才吸引力不足，“软件”弱势突出、地理区域“硬件”条件欠佳，领军人才、高层次人才、创新型人才十分紧缺。</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2.创新驱动不足。具备较强科技创新能力龙头企业不多，企业行业科技含量不高，企业存在高端人才匮乏、科研资金投入有限、科研成果转化为生产力周期较长等短板问题。</w:t>
            </w:r>
          </w:p>
        </w:tc>
      </w:tr>
      <w:tr w14:paraId="1DA1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8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64D92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1.强化人才招引。积极招引高端人才，落实企业人才引进奖励政策。进一步建立健全容错纠错机制，给基层工作人员充足的干事创业空间，树立良好的用人导向，留住基层人才。</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2.强化创新驱动。研究出台并据实兑现企业创新奖励政策。鼓励企业敢于创新、勇于创新。加大企业知识产权保护，提升企业创新积极性，营造有利于创新的良好环境。</w:t>
            </w:r>
          </w:p>
        </w:tc>
      </w:tr>
      <w:tr w14:paraId="30AB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6" w:hRule="atLeast"/>
        </w:trPr>
        <w:tc>
          <w:tcPr>
            <w:tcW w:w="6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1E7B2">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项目负责人：陈梁</w:t>
            </w:r>
          </w:p>
        </w:tc>
        <w:tc>
          <w:tcPr>
            <w:tcW w:w="752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A9A131">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财务负责人：苏红文</w:t>
            </w:r>
          </w:p>
        </w:tc>
      </w:tr>
      <w:tr w14:paraId="15B0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6" w:hRule="atLeast"/>
        </w:trPr>
        <w:tc>
          <w:tcPr>
            <w:tcW w:w="616" w:type="dxa"/>
            <w:tcBorders>
              <w:top w:val="nil"/>
              <w:left w:val="nil"/>
              <w:bottom w:val="nil"/>
              <w:right w:val="nil"/>
            </w:tcBorders>
            <w:shd w:val="clear" w:color="auto" w:fill="auto"/>
            <w:vAlign w:val="center"/>
          </w:tcPr>
          <w:p w14:paraId="38E04250">
            <w:pPr>
              <w:rPr>
                <w:rFonts w:hint="eastAsia" w:ascii="宋体" w:hAnsi="宋体" w:eastAsia="宋体" w:cs="宋体"/>
                <w:i w:val="0"/>
                <w:iCs w:val="0"/>
                <w:color w:val="000000"/>
                <w:sz w:val="18"/>
                <w:szCs w:val="18"/>
                <w:u w:val="none"/>
              </w:rPr>
            </w:pPr>
          </w:p>
        </w:tc>
        <w:tc>
          <w:tcPr>
            <w:tcW w:w="1847" w:type="dxa"/>
            <w:gridSpan w:val="2"/>
            <w:tcBorders>
              <w:top w:val="nil"/>
              <w:left w:val="nil"/>
              <w:bottom w:val="nil"/>
              <w:right w:val="nil"/>
            </w:tcBorders>
            <w:shd w:val="clear" w:color="auto" w:fill="auto"/>
            <w:vAlign w:val="center"/>
          </w:tcPr>
          <w:p w14:paraId="6F598E72">
            <w:pPr>
              <w:rPr>
                <w:rFonts w:hint="eastAsia" w:ascii="宋体" w:hAnsi="宋体" w:eastAsia="宋体" w:cs="宋体"/>
                <w:i w:val="0"/>
                <w:iCs w:val="0"/>
                <w:color w:val="000000"/>
                <w:sz w:val="18"/>
                <w:szCs w:val="18"/>
                <w:u w:val="none"/>
              </w:rPr>
            </w:pPr>
          </w:p>
        </w:tc>
        <w:tc>
          <w:tcPr>
            <w:tcW w:w="1598" w:type="dxa"/>
            <w:gridSpan w:val="3"/>
            <w:tcBorders>
              <w:top w:val="nil"/>
              <w:left w:val="nil"/>
              <w:bottom w:val="nil"/>
              <w:right w:val="nil"/>
            </w:tcBorders>
            <w:shd w:val="clear" w:color="auto" w:fill="auto"/>
            <w:vAlign w:val="center"/>
          </w:tcPr>
          <w:p w14:paraId="71445710">
            <w:pPr>
              <w:rPr>
                <w:rFonts w:hint="eastAsia" w:ascii="宋体" w:hAnsi="宋体" w:eastAsia="宋体" w:cs="宋体"/>
                <w:i w:val="0"/>
                <w:iCs w:val="0"/>
                <w:color w:val="000000"/>
                <w:sz w:val="18"/>
                <w:szCs w:val="18"/>
                <w:u w:val="none"/>
              </w:rPr>
            </w:pPr>
          </w:p>
        </w:tc>
        <w:tc>
          <w:tcPr>
            <w:tcW w:w="2038" w:type="dxa"/>
            <w:gridSpan w:val="3"/>
            <w:tcBorders>
              <w:top w:val="nil"/>
              <w:left w:val="nil"/>
              <w:bottom w:val="nil"/>
              <w:right w:val="nil"/>
            </w:tcBorders>
            <w:shd w:val="clear" w:color="auto" w:fill="auto"/>
            <w:vAlign w:val="center"/>
          </w:tcPr>
          <w:p w14:paraId="383BC16B">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60511F5C">
            <w:pPr>
              <w:rPr>
                <w:rFonts w:hint="eastAsia" w:ascii="宋体" w:hAnsi="宋体" w:eastAsia="宋体" w:cs="宋体"/>
                <w:i w:val="0"/>
                <w:iCs w:val="0"/>
                <w:color w:val="000000"/>
                <w:sz w:val="18"/>
                <w:szCs w:val="18"/>
                <w:u w:val="none"/>
              </w:rPr>
            </w:pPr>
          </w:p>
        </w:tc>
        <w:tc>
          <w:tcPr>
            <w:tcW w:w="1509" w:type="dxa"/>
            <w:gridSpan w:val="5"/>
            <w:tcBorders>
              <w:top w:val="nil"/>
              <w:left w:val="nil"/>
              <w:bottom w:val="nil"/>
              <w:right w:val="nil"/>
            </w:tcBorders>
            <w:shd w:val="clear" w:color="auto" w:fill="auto"/>
            <w:vAlign w:val="center"/>
          </w:tcPr>
          <w:p w14:paraId="0CE5C77C">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7CD2CC88">
            <w:pPr>
              <w:rPr>
                <w:rFonts w:hint="eastAsia" w:ascii="宋体" w:hAnsi="宋体" w:eastAsia="宋体" w:cs="宋体"/>
                <w:i w:val="0"/>
                <w:iCs w:val="0"/>
                <w:color w:val="000000"/>
                <w:sz w:val="18"/>
                <w:szCs w:val="18"/>
                <w:u w:val="none"/>
              </w:rPr>
            </w:pPr>
          </w:p>
        </w:tc>
        <w:tc>
          <w:tcPr>
            <w:tcW w:w="982" w:type="dxa"/>
            <w:gridSpan w:val="5"/>
            <w:tcBorders>
              <w:top w:val="nil"/>
              <w:left w:val="nil"/>
              <w:bottom w:val="nil"/>
              <w:right w:val="nil"/>
            </w:tcBorders>
            <w:shd w:val="clear" w:color="auto" w:fill="auto"/>
            <w:vAlign w:val="center"/>
          </w:tcPr>
          <w:p w14:paraId="5D43EF8F">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14:paraId="011E2400">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14:paraId="561AB450">
            <w:pPr>
              <w:rPr>
                <w:rFonts w:hint="eastAsia" w:ascii="宋体" w:hAnsi="宋体" w:eastAsia="宋体" w:cs="宋体"/>
                <w:i w:val="0"/>
                <w:iCs w:val="0"/>
                <w:color w:val="000000"/>
                <w:sz w:val="18"/>
                <w:szCs w:val="18"/>
                <w:u w:val="none"/>
              </w:rPr>
            </w:pPr>
          </w:p>
        </w:tc>
        <w:tc>
          <w:tcPr>
            <w:tcW w:w="3704" w:type="dxa"/>
            <w:gridSpan w:val="7"/>
            <w:tcBorders>
              <w:top w:val="nil"/>
              <w:left w:val="nil"/>
              <w:bottom w:val="nil"/>
              <w:right w:val="nil"/>
            </w:tcBorders>
            <w:shd w:val="clear" w:color="auto" w:fill="auto"/>
            <w:vAlign w:val="center"/>
          </w:tcPr>
          <w:p w14:paraId="49AC66E9">
            <w:pPr>
              <w:rPr>
                <w:rFonts w:hint="eastAsia" w:ascii="宋体" w:hAnsi="宋体" w:eastAsia="宋体" w:cs="宋体"/>
                <w:i w:val="0"/>
                <w:iCs w:val="0"/>
                <w:color w:val="000000"/>
                <w:sz w:val="18"/>
                <w:szCs w:val="18"/>
                <w:u w:val="none"/>
              </w:rPr>
            </w:pPr>
          </w:p>
        </w:tc>
      </w:tr>
    </w:tbl>
    <w:p w14:paraId="7ACE507E">
      <w:pPr>
        <w:pStyle w:val="2"/>
        <w:rPr>
          <w:rFonts w:hint="eastAsia" w:ascii="仿宋" w:hAnsi="仿宋" w:eastAsia="仿宋" w:cs="Times New Roman"/>
          <w:b w:val="0"/>
          <w:bCs w:val="0"/>
          <w:color w:val="000000"/>
          <w:sz w:val="32"/>
          <w:szCs w:val="32"/>
          <w:lang w:val="en-US" w:eastAsia="zh-CN"/>
        </w:rPr>
        <w:sectPr>
          <w:pgSz w:w="16838" w:h="11906" w:orient="landscape"/>
          <w:pgMar w:top="1576" w:right="1440" w:bottom="1519" w:left="1440" w:header="851" w:footer="992" w:gutter="0"/>
          <w:cols w:space="0" w:num="1"/>
          <w:rtlGutter w:val="0"/>
          <w:docGrid w:type="lines" w:linePitch="314" w:charSpace="0"/>
        </w:sectPr>
      </w:pPr>
    </w:p>
    <w:p w14:paraId="7CCDD44E">
      <w:pPr>
        <w:spacing w:line="576" w:lineRule="exact"/>
        <w:jc w:val="center"/>
        <w:outlineLvl w:val="2"/>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第五部分 附表</w:t>
      </w:r>
    </w:p>
    <w:p w14:paraId="4F825864">
      <w:pPr>
        <w:spacing w:line="600" w:lineRule="exact"/>
        <w:ind w:firstLine="640"/>
        <w:rPr>
          <w:rFonts w:hint="eastAsia" w:ascii="仿宋" w:hAnsi="仿宋" w:eastAsia="仿宋"/>
          <w:color w:val="auto"/>
          <w:sz w:val="32"/>
          <w:szCs w:val="32"/>
          <w:lang w:val="en-US" w:eastAsia="zh-CN"/>
        </w:rPr>
      </w:pPr>
    </w:p>
    <w:p w14:paraId="6215C140">
      <w:pPr>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一、</w:t>
      </w:r>
      <w:r>
        <w:rPr>
          <w:rFonts w:hint="eastAsia" w:ascii="仿宋" w:hAnsi="仿宋" w:eastAsia="仿宋"/>
          <w:color w:val="auto"/>
          <w:sz w:val="32"/>
          <w:szCs w:val="32"/>
          <w:lang w:eastAsia="zh-CN"/>
        </w:rPr>
        <w:t>收入支出决算总表</w:t>
      </w:r>
      <w:bookmarkStart w:id="49" w:name="_Toc15396620"/>
    </w:p>
    <w:p w14:paraId="6EE1DB7C">
      <w:pPr>
        <w:spacing w:line="600" w:lineRule="exact"/>
        <w:ind w:firstLine="640"/>
        <w:rPr>
          <w:rFonts w:hint="eastAsia" w:ascii="仿宋" w:hAnsi="仿宋" w:eastAsia="仿宋"/>
          <w:color w:val="auto"/>
          <w:sz w:val="32"/>
          <w:szCs w:val="32"/>
          <w:lang w:eastAsia="zh-CN"/>
        </w:rPr>
      </w:pPr>
      <w:bookmarkStart w:id="50" w:name="_Toc6762"/>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收入总表</w:t>
      </w:r>
      <w:bookmarkEnd w:id="49"/>
      <w:bookmarkEnd w:id="50"/>
      <w:bookmarkStart w:id="51" w:name="_Toc15396621"/>
    </w:p>
    <w:p w14:paraId="4AA70AF5">
      <w:pPr>
        <w:spacing w:line="600" w:lineRule="exact"/>
        <w:ind w:firstLine="640"/>
        <w:rPr>
          <w:rFonts w:hint="eastAsia" w:ascii="仿宋" w:hAnsi="仿宋" w:eastAsia="仿宋"/>
          <w:color w:val="auto"/>
          <w:sz w:val="32"/>
          <w:szCs w:val="32"/>
          <w:lang w:eastAsia="zh-CN"/>
        </w:rPr>
      </w:pPr>
      <w:bookmarkStart w:id="52" w:name="_Toc27344"/>
      <w:r>
        <w:rPr>
          <w:rFonts w:hint="eastAsia" w:ascii="仿宋" w:hAnsi="仿宋" w:eastAsia="仿宋"/>
          <w:color w:val="auto"/>
          <w:sz w:val="32"/>
          <w:szCs w:val="32"/>
          <w:lang w:val="en-US" w:eastAsia="zh-CN"/>
        </w:rPr>
        <w:t>三、</w:t>
      </w:r>
      <w:r>
        <w:rPr>
          <w:rFonts w:hint="eastAsia" w:ascii="仿宋" w:hAnsi="仿宋" w:eastAsia="仿宋"/>
          <w:color w:val="auto"/>
          <w:sz w:val="32"/>
          <w:szCs w:val="32"/>
          <w:lang w:eastAsia="zh-CN"/>
        </w:rPr>
        <w:t>支出总表</w:t>
      </w:r>
      <w:bookmarkEnd w:id="51"/>
      <w:bookmarkEnd w:id="52"/>
      <w:bookmarkStart w:id="53" w:name="_Toc15396622"/>
    </w:p>
    <w:p w14:paraId="102F6CB0">
      <w:pPr>
        <w:spacing w:line="600" w:lineRule="exact"/>
        <w:ind w:firstLine="640"/>
        <w:rPr>
          <w:rFonts w:hint="eastAsia" w:ascii="仿宋" w:hAnsi="仿宋" w:eastAsia="仿宋"/>
          <w:color w:val="auto"/>
          <w:sz w:val="32"/>
          <w:szCs w:val="32"/>
          <w:lang w:val="en-US" w:eastAsia="zh-CN"/>
        </w:rPr>
      </w:pPr>
      <w:bookmarkStart w:id="54" w:name="_Toc1873"/>
      <w:r>
        <w:rPr>
          <w:rFonts w:hint="eastAsia" w:ascii="仿宋" w:hAnsi="仿宋" w:eastAsia="仿宋"/>
          <w:color w:val="auto"/>
          <w:sz w:val="32"/>
          <w:szCs w:val="32"/>
          <w:lang w:val="en-US" w:eastAsia="zh-CN"/>
        </w:rPr>
        <w:t>四、</w:t>
      </w:r>
      <w:r>
        <w:rPr>
          <w:rFonts w:hint="eastAsia" w:ascii="仿宋" w:hAnsi="仿宋" w:eastAsia="仿宋"/>
          <w:color w:val="auto"/>
          <w:sz w:val="32"/>
          <w:szCs w:val="32"/>
          <w:lang w:eastAsia="zh-CN"/>
        </w:rPr>
        <w:t>财政拨款收入支出决算总表</w:t>
      </w:r>
      <w:bookmarkEnd w:id="53"/>
      <w:bookmarkEnd w:id="54"/>
    </w:p>
    <w:p w14:paraId="5F4E832C">
      <w:pPr>
        <w:spacing w:line="600" w:lineRule="exact"/>
        <w:ind w:firstLine="640"/>
        <w:rPr>
          <w:rFonts w:hint="eastAsia" w:ascii="仿宋" w:hAnsi="仿宋" w:eastAsia="仿宋"/>
          <w:color w:val="auto"/>
          <w:sz w:val="32"/>
          <w:szCs w:val="32"/>
          <w:lang w:val="en-US" w:eastAsia="zh-CN"/>
        </w:rPr>
      </w:pPr>
      <w:bookmarkStart w:id="55" w:name="_Toc5985"/>
      <w:r>
        <w:rPr>
          <w:rFonts w:hint="eastAsia" w:ascii="仿宋" w:hAnsi="仿宋" w:eastAsia="仿宋"/>
          <w:color w:val="auto"/>
          <w:sz w:val="32"/>
          <w:szCs w:val="32"/>
          <w:lang w:val="en-US" w:eastAsia="zh-CN"/>
        </w:rPr>
        <w:t>五、</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 HYPERLINK "" \l "_Toc15396623#_Toc15396623" </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财政拨款支出决算明细表</w:t>
      </w:r>
      <w:r>
        <w:rPr>
          <w:rFonts w:hint="eastAsia" w:ascii="仿宋" w:hAnsi="仿宋" w:eastAsia="仿宋"/>
          <w:color w:val="auto"/>
          <w:sz w:val="32"/>
          <w:szCs w:val="32"/>
          <w:lang w:val="en-US" w:eastAsia="zh-CN"/>
        </w:rPr>
        <w:fldChar w:fldCharType="end"/>
      </w:r>
      <w:bookmarkEnd w:id="55"/>
    </w:p>
    <w:p w14:paraId="5EC2C41B">
      <w:pPr>
        <w:spacing w:line="600" w:lineRule="exact"/>
        <w:ind w:firstLine="640"/>
        <w:rPr>
          <w:rFonts w:hint="eastAsia" w:ascii="仿宋" w:hAnsi="仿宋" w:eastAsia="仿宋"/>
          <w:color w:val="auto"/>
          <w:sz w:val="32"/>
          <w:szCs w:val="32"/>
          <w:lang w:val="en-US" w:eastAsia="zh-CN"/>
        </w:rPr>
      </w:pPr>
      <w:bookmarkStart w:id="56" w:name="_Toc19045"/>
      <w:r>
        <w:rPr>
          <w:rFonts w:hint="eastAsia" w:ascii="仿宋" w:hAnsi="仿宋" w:eastAsia="仿宋"/>
          <w:color w:val="auto"/>
          <w:sz w:val="32"/>
          <w:szCs w:val="32"/>
          <w:lang w:val="en-US" w:eastAsia="zh-CN"/>
        </w:rPr>
        <w:t>六、</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 HYPERLINK "" \l "_Toc15396624#_Toc15396624" </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一般公共预算财政拨款支出决算表</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fldChar w:fldCharType="end"/>
      </w:r>
      <w:bookmarkEnd w:id="56"/>
    </w:p>
    <w:p w14:paraId="3938B676">
      <w:pPr>
        <w:spacing w:line="600" w:lineRule="exact"/>
        <w:ind w:firstLine="640"/>
        <w:rPr>
          <w:rFonts w:hint="eastAsia" w:ascii="仿宋" w:hAnsi="仿宋" w:eastAsia="仿宋"/>
          <w:color w:val="auto"/>
          <w:sz w:val="32"/>
          <w:szCs w:val="32"/>
          <w:lang w:val="en-US" w:eastAsia="zh-CN"/>
        </w:rPr>
      </w:pPr>
      <w:bookmarkStart w:id="57" w:name="_Toc3055"/>
      <w:r>
        <w:rPr>
          <w:rFonts w:hint="eastAsia" w:ascii="仿宋" w:hAnsi="仿宋" w:eastAsia="仿宋"/>
          <w:color w:val="auto"/>
          <w:sz w:val="32"/>
          <w:szCs w:val="32"/>
          <w:lang w:val="en-US" w:eastAsia="zh-CN"/>
        </w:rPr>
        <w:t>七、</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 HYPERLINK "" \l "_Toc15396625#_Toc15396625" </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一般公共预算财政拨款支出决算明细表</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fldChar w:fldCharType="end"/>
      </w:r>
      <w:bookmarkEnd w:id="57"/>
    </w:p>
    <w:p w14:paraId="07AFE572">
      <w:pPr>
        <w:spacing w:line="600" w:lineRule="exact"/>
        <w:ind w:firstLine="640"/>
        <w:rPr>
          <w:rFonts w:hint="eastAsia" w:ascii="仿宋" w:hAnsi="仿宋" w:eastAsia="仿宋"/>
          <w:color w:val="auto"/>
          <w:sz w:val="32"/>
          <w:szCs w:val="32"/>
          <w:lang w:val="en-US" w:eastAsia="zh-CN"/>
        </w:rPr>
      </w:pPr>
      <w:bookmarkStart w:id="58" w:name="_Toc27391"/>
      <w:r>
        <w:rPr>
          <w:rFonts w:hint="eastAsia" w:ascii="仿宋" w:hAnsi="仿宋" w:eastAsia="仿宋"/>
          <w:color w:val="auto"/>
          <w:sz w:val="32"/>
          <w:szCs w:val="32"/>
          <w:lang w:val="en-US" w:eastAsia="zh-CN"/>
        </w:rPr>
        <w:t>八、</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 HYPERLINK "" \l "_Toc15396626#_Toc15396626" </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一般公共预算财政拨款基本支出决算表</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fldChar w:fldCharType="end"/>
      </w:r>
      <w:bookmarkEnd w:id="58"/>
    </w:p>
    <w:p w14:paraId="299B1E05">
      <w:pPr>
        <w:spacing w:line="600" w:lineRule="exact"/>
        <w:ind w:firstLine="640"/>
        <w:rPr>
          <w:rFonts w:hint="eastAsia" w:ascii="仿宋" w:hAnsi="仿宋" w:eastAsia="仿宋"/>
          <w:color w:val="auto"/>
          <w:sz w:val="32"/>
          <w:szCs w:val="32"/>
          <w:lang w:val="en-US" w:eastAsia="zh-CN"/>
        </w:rPr>
      </w:pPr>
      <w:bookmarkStart w:id="59" w:name="_Toc2166"/>
      <w:r>
        <w:rPr>
          <w:rFonts w:hint="eastAsia" w:ascii="仿宋" w:hAnsi="仿宋" w:eastAsia="仿宋"/>
          <w:color w:val="auto"/>
          <w:sz w:val="32"/>
          <w:szCs w:val="32"/>
          <w:lang w:val="en-US" w:eastAsia="zh-CN"/>
        </w:rPr>
        <w:t>九、</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 HYPERLINK "" \l "_Toc15396627#_Toc15396627" </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一般公共预算财政拨款项目支出决算表</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fldChar w:fldCharType="end"/>
      </w:r>
      <w:bookmarkEnd w:id="59"/>
    </w:p>
    <w:p w14:paraId="12D593F4">
      <w:pPr>
        <w:spacing w:line="600" w:lineRule="exact"/>
        <w:ind w:firstLine="640"/>
        <w:rPr>
          <w:rFonts w:hint="eastAsia" w:ascii="仿宋" w:hAnsi="仿宋" w:eastAsia="仿宋" w:cs="Times New Roman"/>
          <w:color w:val="auto"/>
          <w:sz w:val="32"/>
          <w:szCs w:val="32"/>
          <w:lang w:val="en-US" w:eastAsia="zh-CN"/>
        </w:rPr>
      </w:pPr>
      <w:bookmarkStart w:id="60" w:name="_Toc20237"/>
      <w:r>
        <w:rPr>
          <w:rFonts w:hint="eastAsia" w:ascii="仿宋" w:hAnsi="仿宋" w:eastAsia="仿宋"/>
          <w:color w:val="auto"/>
          <w:sz w:val="32"/>
          <w:szCs w:val="32"/>
          <w:lang w:val="en-US" w:eastAsia="zh-CN"/>
        </w:rPr>
        <w:t>十、</w:t>
      </w:r>
      <w:bookmarkEnd w:id="60"/>
      <w:r>
        <w:rPr>
          <w:rFonts w:hint="eastAsia" w:ascii="仿宋" w:hAnsi="仿宋" w:eastAsia="仿宋" w:cs="Times New Roman"/>
          <w:color w:val="auto"/>
          <w:sz w:val="32"/>
          <w:szCs w:val="32"/>
          <w:lang w:val="en-US" w:eastAsia="zh-CN"/>
        </w:rPr>
        <w:fldChar w:fldCharType="begin"/>
      </w:r>
      <w:r>
        <w:rPr>
          <w:rFonts w:hint="eastAsia" w:ascii="仿宋" w:hAnsi="仿宋" w:eastAsia="仿宋" w:cs="Times New Roman"/>
          <w:color w:val="auto"/>
          <w:sz w:val="32"/>
          <w:szCs w:val="32"/>
          <w:lang w:val="en-US" w:eastAsia="zh-CN"/>
        </w:rPr>
        <w:instrText xml:space="preserve"> HYPERLINK "" \l "_Toc15396629#_Toc15396629" </w:instrText>
      </w:r>
      <w:r>
        <w:rPr>
          <w:rFonts w:hint="eastAsia" w:ascii="仿宋" w:hAnsi="仿宋" w:eastAsia="仿宋" w:cs="Times New Roman"/>
          <w:color w:val="auto"/>
          <w:sz w:val="32"/>
          <w:szCs w:val="32"/>
          <w:lang w:val="en-US" w:eastAsia="zh-CN"/>
        </w:rPr>
        <w:fldChar w:fldCharType="separate"/>
      </w:r>
      <w:r>
        <w:rPr>
          <w:rFonts w:hint="eastAsia" w:ascii="仿宋" w:hAnsi="仿宋" w:eastAsia="仿宋" w:cs="Times New Roman"/>
          <w:color w:val="auto"/>
          <w:sz w:val="32"/>
          <w:szCs w:val="32"/>
          <w:lang w:val="en-US" w:eastAsia="zh-CN"/>
        </w:rPr>
        <w:t>政府性基金预算财政拨款收入支出决算表</w:t>
      </w:r>
      <w:r>
        <w:rPr>
          <w:rFonts w:hint="eastAsia" w:ascii="仿宋" w:hAnsi="仿宋" w:eastAsia="仿宋" w:cs="Times New Roman"/>
          <w:color w:val="auto"/>
          <w:sz w:val="32"/>
          <w:szCs w:val="32"/>
          <w:lang w:val="en-US" w:eastAsia="zh-CN"/>
        </w:rPr>
        <w:tab/>
      </w:r>
      <w:r>
        <w:rPr>
          <w:rFonts w:hint="eastAsia" w:ascii="仿宋" w:hAnsi="仿宋" w:eastAsia="仿宋" w:cs="Times New Roman"/>
          <w:color w:val="auto"/>
          <w:sz w:val="32"/>
          <w:szCs w:val="32"/>
          <w:lang w:val="en-US" w:eastAsia="zh-CN"/>
        </w:rPr>
        <w:fldChar w:fldCharType="end"/>
      </w:r>
    </w:p>
    <w:p w14:paraId="40DB6151">
      <w:pPr>
        <w:spacing w:line="600" w:lineRule="exact"/>
        <w:ind w:firstLine="640"/>
        <w:rPr>
          <w:rFonts w:hint="eastAsia" w:ascii="仿宋" w:hAnsi="仿宋" w:eastAsia="仿宋" w:cs="Times New Roman"/>
          <w:color w:val="auto"/>
          <w:sz w:val="32"/>
          <w:szCs w:val="32"/>
          <w:lang w:val="en-US" w:eastAsia="zh-CN"/>
        </w:rPr>
      </w:pPr>
      <w:bookmarkStart w:id="61" w:name="_Toc28111"/>
      <w:r>
        <w:rPr>
          <w:rFonts w:hint="eastAsia" w:ascii="仿宋" w:hAnsi="仿宋" w:eastAsia="仿宋" w:cs="Times New Roman"/>
          <w:color w:val="auto"/>
          <w:sz w:val="32"/>
          <w:szCs w:val="32"/>
          <w:lang w:val="en-US" w:eastAsia="zh-CN"/>
        </w:rPr>
        <w:t>十一、国有资本经营预算财政拨款收入支出决算表</w:t>
      </w:r>
    </w:p>
    <w:p w14:paraId="17FCFC4D">
      <w:pPr>
        <w:spacing w:line="600" w:lineRule="exact"/>
        <w:ind w:firstLine="64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十二、</w:t>
      </w:r>
      <w:r>
        <w:rPr>
          <w:rFonts w:hint="eastAsia" w:ascii="仿宋" w:hAnsi="仿宋" w:eastAsia="仿宋" w:cs="Times New Roman"/>
          <w:color w:val="auto"/>
          <w:sz w:val="32"/>
          <w:szCs w:val="32"/>
          <w:lang w:val="en-US" w:eastAsia="zh-CN"/>
        </w:rPr>
        <w:fldChar w:fldCharType="begin"/>
      </w:r>
      <w:r>
        <w:rPr>
          <w:rFonts w:hint="eastAsia" w:ascii="仿宋" w:hAnsi="仿宋" w:eastAsia="仿宋" w:cs="Times New Roman"/>
          <w:color w:val="auto"/>
          <w:sz w:val="32"/>
          <w:szCs w:val="32"/>
          <w:lang w:val="en-US" w:eastAsia="zh-CN"/>
        </w:rPr>
        <w:instrText xml:space="preserve"> HYPERLINK "" \l "_Toc15396631#_Toc15396631" </w:instrText>
      </w:r>
      <w:r>
        <w:rPr>
          <w:rFonts w:hint="eastAsia" w:ascii="仿宋" w:hAnsi="仿宋" w:eastAsia="仿宋" w:cs="Times New Roman"/>
          <w:color w:val="auto"/>
          <w:sz w:val="32"/>
          <w:szCs w:val="32"/>
          <w:lang w:val="en-US" w:eastAsia="zh-CN"/>
        </w:rPr>
        <w:fldChar w:fldCharType="separate"/>
      </w:r>
      <w:r>
        <w:rPr>
          <w:rFonts w:hint="eastAsia" w:ascii="仿宋" w:hAnsi="仿宋" w:eastAsia="仿宋" w:cs="Times New Roman"/>
          <w:color w:val="auto"/>
          <w:sz w:val="32"/>
          <w:szCs w:val="32"/>
          <w:lang w:val="en-US" w:eastAsia="zh-CN"/>
        </w:rPr>
        <w:t>国有资本经营预算财政拨款支出决算表</w:t>
      </w:r>
      <w:r>
        <w:rPr>
          <w:rFonts w:hint="eastAsia" w:ascii="仿宋" w:hAnsi="仿宋" w:eastAsia="仿宋" w:cs="Times New Roman"/>
          <w:color w:val="auto"/>
          <w:sz w:val="32"/>
          <w:szCs w:val="32"/>
          <w:lang w:val="en-US" w:eastAsia="zh-CN"/>
        </w:rPr>
        <w:tab/>
      </w:r>
      <w:r>
        <w:rPr>
          <w:rFonts w:hint="eastAsia" w:ascii="仿宋" w:hAnsi="仿宋" w:eastAsia="仿宋" w:cs="Times New Roman"/>
          <w:color w:val="auto"/>
          <w:sz w:val="32"/>
          <w:szCs w:val="32"/>
          <w:lang w:val="en-US" w:eastAsia="zh-CN"/>
        </w:rPr>
        <w:fldChar w:fldCharType="end"/>
      </w:r>
    </w:p>
    <w:bookmarkEnd w:id="61"/>
    <w:p w14:paraId="77B46D5B">
      <w:pPr>
        <w:spacing w:line="600" w:lineRule="exact"/>
        <w:ind w:firstLine="640"/>
        <w:rPr>
          <w:rFonts w:hint="eastAsia"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十三、财政拨款“三公”经费支出决算表</w:t>
      </w:r>
    </w:p>
    <w:p w14:paraId="2CBDF266">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r>
        <w:rPr>
          <w:rFonts w:hint="eastAsia" w:ascii="仿宋" w:hAnsi="仿宋" w:eastAsia="仿宋" w:cs="Times New Roman"/>
          <w:b w:val="0"/>
          <w:bCs w:val="0"/>
          <w:color w:val="000000"/>
          <w:sz w:val="32"/>
          <w:szCs w:val="32"/>
          <w:lang w:val="en-US" w:eastAsia="zh-CN"/>
        </w:rPr>
        <w:t> </w:t>
      </w:r>
    </w:p>
    <w:p w14:paraId="4D794F20">
      <w:pPr>
        <w:spacing w:line="576" w:lineRule="exact"/>
        <w:ind w:firstLine="640" w:firstLineChars="200"/>
        <w:outlineLvl w:val="2"/>
        <w:rPr>
          <w:rFonts w:hint="eastAsia" w:ascii="仿宋" w:hAnsi="仿宋" w:eastAsia="仿宋" w:cs="Times New Roman"/>
          <w:b w:val="0"/>
          <w:bCs w:val="0"/>
          <w:color w:val="000000"/>
          <w:sz w:val="32"/>
          <w:szCs w:val="32"/>
          <w:lang w:val="en-US" w:eastAsia="zh-CN"/>
        </w:rPr>
      </w:pPr>
    </w:p>
    <w:sectPr>
      <w:pgSz w:w="11906" w:h="16838"/>
      <w:pgMar w:top="1440" w:right="1519" w:bottom="1440" w:left="1576"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298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4514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84514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56D77"/>
    <w:multiLevelType w:val="singleLevel"/>
    <w:tmpl w:val="CB556D77"/>
    <w:lvl w:ilvl="0" w:tentative="0">
      <w:start w:val="10"/>
      <w:numFmt w:val="chineseCounting"/>
      <w:suff w:val="nothing"/>
      <w:lvlText w:val="%1、"/>
      <w:lvlJc w:val="left"/>
      <w:rPr>
        <w:rFonts w:hint="eastAsia"/>
      </w:rPr>
    </w:lvl>
  </w:abstractNum>
  <w:abstractNum w:abstractNumId="1">
    <w:nsid w:val="0D89C456"/>
    <w:multiLevelType w:val="singleLevel"/>
    <w:tmpl w:val="0D89C456"/>
    <w:lvl w:ilvl="0" w:tentative="0">
      <w:start w:val="3"/>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02F6B56"/>
    <w:multiLevelType w:val="singleLevel"/>
    <w:tmpl w:val="202F6B56"/>
    <w:lvl w:ilvl="0" w:tentative="0">
      <w:start w:val="3"/>
      <w:numFmt w:val="chineseCounting"/>
      <w:suff w:val="nothing"/>
      <w:lvlText w:val="（%1）"/>
      <w:lvlJc w:val="left"/>
      <w:rPr>
        <w:rFonts w:hint="eastAsia"/>
      </w:rPr>
    </w:lvl>
  </w:abstractNum>
  <w:abstractNum w:abstractNumId="4">
    <w:nsid w:val="4280796D"/>
    <w:multiLevelType w:val="singleLevel"/>
    <w:tmpl w:val="4280796D"/>
    <w:lvl w:ilvl="0" w:tentative="0">
      <w:start w:val="4"/>
      <w:numFmt w:val="chineseCounting"/>
      <w:suff w:val="nothing"/>
      <w:lvlText w:val="（%1）"/>
      <w:lvlJc w:val="left"/>
      <w:rPr>
        <w:rFonts w:hint="eastAsia"/>
      </w:rPr>
    </w:lvl>
  </w:abstractNum>
  <w:abstractNum w:abstractNumId="5">
    <w:nsid w:val="5B2E8967"/>
    <w:multiLevelType w:val="singleLevel"/>
    <w:tmpl w:val="5B2E8967"/>
    <w:lvl w:ilvl="0" w:tentative="0">
      <w:start w:val="2"/>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mZiZGI0ZjBlMzQ3OWYzZjQ4NjcxMWZhY2FmYjcifQ=="/>
  </w:docVars>
  <w:rsids>
    <w:rsidRoot w:val="75C12C70"/>
    <w:rsid w:val="00827640"/>
    <w:rsid w:val="01306D62"/>
    <w:rsid w:val="02202BF9"/>
    <w:rsid w:val="02B37FA0"/>
    <w:rsid w:val="036C4A6D"/>
    <w:rsid w:val="03C44320"/>
    <w:rsid w:val="0530678A"/>
    <w:rsid w:val="05CB200E"/>
    <w:rsid w:val="071A149F"/>
    <w:rsid w:val="07D02CA2"/>
    <w:rsid w:val="086D1588"/>
    <w:rsid w:val="096F286B"/>
    <w:rsid w:val="09F450E8"/>
    <w:rsid w:val="0E6D1712"/>
    <w:rsid w:val="0F7469C7"/>
    <w:rsid w:val="0FB35FED"/>
    <w:rsid w:val="0FFA1928"/>
    <w:rsid w:val="110E1A02"/>
    <w:rsid w:val="11285AB6"/>
    <w:rsid w:val="135B1433"/>
    <w:rsid w:val="139F4BA8"/>
    <w:rsid w:val="13C232E2"/>
    <w:rsid w:val="142533AA"/>
    <w:rsid w:val="14EE1011"/>
    <w:rsid w:val="165909FE"/>
    <w:rsid w:val="16A039EF"/>
    <w:rsid w:val="177E0E8E"/>
    <w:rsid w:val="17AB091B"/>
    <w:rsid w:val="18EC6BCB"/>
    <w:rsid w:val="190356E6"/>
    <w:rsid w:val="19FA1B6F"/>
    <w:rsid w:val="1A8F2EA2"/>
    <w:rsid w:val="1B842344"/>
    <w:rsid w:val="1C366A47"/>
    <w:rsid w:val="1C6F63BB"/>
    <w:rsid w:val="1E141749"/>
    <w:rsid w:val="20A239B8"/>
    <w:rsid w:val="20F84C2D"/>
    <w:rsid w:val="23424BEE"/>
    <w:rsid w:val="23D20CE0"/>
    <w:rsid w:val="24272BE2"/>
    <w:rsid w:val="246075E7"/>
    <w:rsid w:val="24732B60"/>
    <w:rsid w:val="257E12C0"/>
    <w:rsid w:val="25B75D0D"/>
    <w:rsid w:val="27630414"/>
    <w:rsid w:val="28602CFB"/>
    <w:rsid w:val="291A28A4"/>
    <w:rsid w:val="29687410"/>
    <w:rsid w:val="2B4635D4"/>
    <w:rsid w:val="2D183B14"/>
    <w:rsid w:val="2D1B04E4"/>
    <w:rsid w:val="34C74D5B"/>
    <w:rsid w:val="35335D17"/>
    <w:rsid w:val="357730E3"/>
    <w:rsid w:val="357E2935"/>
    <w:rsid w:val="36BB578C"/>
    <w:rsid w:val="37D64651"/>
    <w:rsid w:val="3A7213AF"/>
    <w:rsid w:val="3C0B5540"/>
    <w:rsid w:val="3C502C92"/>
    <w:rsid w:val="3CAB418C"/>
    <w:rsid w:val="3D22568D"/>
    <w:rsid w:val="401E123E"/>
    <w:rsid w:val="402713FE"/>
    <w:rsid w:val="40E77F81"/>
    <w:rsid w:val="42A86097"/>
    <w:rsid w:val="434C080A"/>
    <w:rsid w:val="43FB1B8C"/>
    <w:rsid w:val="44CD1324"/>
    <w:rsid w:val="45481356"/>
    <w:rsid w:val="455A06DD"/>
    <w:rsid w:val="45C9041D"/>
    <w:rsid w:val="47B50AF4"/>
    <w:rsid w:val="47CA38F8"/>
    <w:rsid w:val="48D805C0"/>
    <w:rsid w:val="4A6F1271"/>
    <w:rsid w:val="4B4345C3"/>
    <w:rsid w:val="4BC14D40"/>
    <w:rsid w:val="4DA53770"/>
    <w:rsid w:val="4DAD7069"/>
    <w:rsid w:val="4EFF44C9"/>
    <w:rsid w:val="50EC654F"/>
    <w:rsid w:val="51E757DC"/>
    <w:rsid w:val="56EE78C8"/>
    <w:rsid w:val="577C336D"/>
    <w:rsid w:val="57E20BA8"/>
    <w:rsid w:val="592C6152"/>
    <w:rsid w:val="5AC70F59"/>
    <w:rsid w:val="5B125019"/>
    <w:rsid w:val="5C2D5D12"/>
    <w:rsid w:val="64630F05"/>
    <w:rsid w:val="64A00315"/>
    <w:rsid w:val="64B05E9E"/>
    <w:rsid w:val="6644565A"/>
    <w:rsid w:val="67817CC7"/>
    <w:rsid w:val="69D70FEA"/>
    <w:rsid w:val="6A102603"/>
    <w:rsid w:val="6B2313EE"/>
    <w:rsid w:val="6B2A4BEE"/>
    <w:rsid w:val="6B9B71D6"/>
    <w:rsid w:val="6C62121D"/>
    <w:rsid w:val="6DE04E73"/>
    <w:rsid w:val="6E2A31D8"/>
    <w:rsid w:val="6E55420E"/>
    <w:rsid w:val="6FF234DF"/>
    <w:rsid w:val="70211AB5"/>
    <w:rsid w:val="708178FC"/>
    <w:rsid w:val="71102E90"/>
    <w:rsid w:val="71594850"/>
    <w:rsid w:val="74C45CA1"/>
    <w:rsid w:val="758A2B80"/>
    <w:rsid w:val="75A2541D"/>
    <w:rsid w:val="75C12C70"/>
    <w:rsid w:val="75F61FB4"/>
    <w:rsid w:val="763B75EC"/>
    <w:rsid w:val="768F4E4A"/>
    <w:rsid w:val="77B15B4D"/>
    <w:rsid w:val="793F74CA"/>
    <w:rsid w:val="7B0F54EB"/>
    <w:rsid w:val="7B7470FC"/>
    <w:rsid w:val="7B9A069E"/>
    <w:rsid w:val="7C4D2110"/>
    <w:rsid w:val="7D4C166A"/>
    <w:rsid w:val="7D566A8E"/>
    <w:rsid w:val="7FA42303"/>
    <w:rsid w:val="7FDD6F27"/>
    <w:rsid w:val="7FFE267B"/>
    <w:rsid w:val="EBDEEB8F"/>
    <w:rsid w:val="F7FFFCF8"/>
    <w:rsid w:val="FBD108FE"/>
    <w:rsid w:val="FFAF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ind w:firstLine="640"/>
      <w:outlineLvl w:val="0"/>
    </w:pPr>
    <w:rPr>
      <w:rFonts w:eastAsia="黑体"/>
      <w:b/>
      <w:kern w:val="44"/>
      <w:sz w:val="44"/>
    </w:rPr>
  </w:style>
  <w:style w:type="paragraph" w:styleId="4">
    <w:name w:val="heading 2"/>
    <w:basedOn w:val="1"/>
    <w:next w:val="1"/>
    <w:link w:val="28"/>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Lines="0" w:beforeAutospacing="0" w:afterLines="0" w:afterAutospacing="0" w:line="578" w:lineRule="exact"/>
      <w:outlineLvl w:val="2"/>
    </w:pPr>
    <w:rPr>
      <w:rFonts w:eastAsia="楷体_GB231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rFonts w:ascii="宋体" w:cs="宋体"/>
      <w:color w:val="000000"/>
      <w:kern w:val="0"/>
      <w:sz w:val="24"/>
      <w:szCs w:val="24"/>
    </w:rPr>
  </w:style>
  <w:style w:type="paragraph" w:styleId="6">
    <w:name w:val="index 6"/>
    <w:basedOn w:val="1"/>
    <w:next w:val="1"/>
    <w:semiHidden/>
    <w:qFormat/>
    <w:uiPriority w:val="0"/>
    <w:pPr>
      <w:ind w:left="1000" w:leftChars="100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Body Text Indent 2"/>
    <w:basedOn w:val="1"/>
    <w:next w:val="1"/>
    <w:qFormat/>
    <w:uiPriority w:val="0"/>
    <w:pPr>
      <w:spacing w:after="120" w:line="480" w:lineRule="auto"/>
      <w:ind w:left="20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before="93" w:after="100" w:afterAutospacing="1"/>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semiHidden/>
    <w:qFormat/>
    <w:uiPriority w:val="0"/>
    <w:pPr>
      <w:spacing w:before="100" w:beforeAutospacing="1" w:after="100" w:afterAutospacing="1"/>
      <w:ind w:left="420" w:leftChars="200"/>
    </w:pPr>
    <w:rPr>
      <w:rFonts w:ascii="Times New Roman" w:hAnsi="Times New Roman" w:eastAsia="宋体"/>
      <w:sz w:val="21"/>
      <w:szCs w:val="21"/>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qFormat/>
    <w:uiPriority w:val="0"/>
    <w:rPr>
      <w:b/>
      <w:bCs/>
    </w:rPr>
  </w:style>
  <w:style w:type="character" w:styleId="19">
    <w:name w:val="Hyperlink"/>
    <w:basedOn w:val="17"/>
    <w:qFormat/>
    <w:uiPriority w:val="0"/>
    <w:rPr>
      <w:color w:val="0000FF"/>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1">
    <w:name w:val="常用样式（方正仿宋简）"/>
    <w:basedOn w:val="1"/>
    <w:next w:val="1"/>
    <w:qFormat/>
    <w:uiPriority w:val="0"/>
    <w:pPr>
      <w:spacing w:line="560" w:lineRule="exact"/>
      <w:ind w:firstLine="640" w:firstLineChars="200"/>
    </w:pPr>
    <w:rPr>
      <w:rFonts w:ascii="Times New Roman" w:hAnsi="Times New Roman" w:eastAsia="方正仿宋简体"/>
      <w:sz w:val="32"/>
      <w:szCs w:val="32"/>
    </w:rPr>
  </w:style>
  <w:style w:type="character" w:customStyle="1" w:styleId="22">
    <w:name w:val="18"/>
    <w:basedOn w:val="17"/>
    <w:qFormat/>
    <w:uiPriority w:val="0"/>
    <w:rPr>
      <w:rFonts w:hint="default" w:ascii="Calibri" w:hAnsi="Calibri"/>
      <w:b/>
      <w:bCs/>
    </w:rPr>
  </w:style>
  <w:style w:type="character" w:customStyle="1" w:styleId="23">
    <w:name w:val="17"/>
    <w:basedOn w:val="17"/>
    <w:qFormat/>
    <w:uiPriority w:val="0"/>
    <w:rPr>
      <w:rFonts w:hint="default" w:ascii="Calibri" w:hAnsi="Calibri"/>
      <w:color w:val="0000FF"/>
      <w:u w:val="single"/>
    </w:rPr>
  </w:style>
  <w:style w:type="character" w:customStyle="1" w:styleId="24">
    <w:name w:val="15"/>
    <w:basedOn w:val="17"/>
    <w:qFormat/>
    <w:uiPriority w:val="0"/>
    <w:rPr>
      <w:rFonts w:hint="default" w:ascii="Cambria" w:hAnsi="Cambria" w:eastAsia="宋体" w:cs="黑体"/>
      <w:b/>
      <w:bCs/>
      <w:kern w:val="2"/>
      <w:sz w:val="32"/>
      <w:szCs w:val="32"/>
    </w:rPr>
  </w:style>
  <w:style w:type="character" w:customStyle="1" w:styleId="25">
    <w:name w:val="16"/>
    <w:basedOn w:val="17"/>
    <w:qFormat/>
    <w:uiPriority w:val="0"/>
    <w:rPr>
      <w:rFonts w:hint="default" w:ascii="Times New Roman" w:hAnsi="Times New Roman" w:cs="Times New Roman"/>
      <w:b/>
      <w:bCs/>
      <w:kern w:val="44"/>
      <w:sz w:val="44"/>
      <w:szCs w:val="44"/>
    </w:rPr>
  </w:style>
  <w:style w:type="character" w:customStyle="1" w:styleId="26">
    <w:name w:val="标题 1 Char"/>
    <w:basedOn w:val="17"/>
    <w:link w:val="3"/>
    <w:qFormat/>
    <w:uiPriority w:val="9"/>
    <w:rPr>
      <w:rFonts w:eastAsia="黑体"/>
      <w:b/>
      <w:kern w:val="44"/>
      <w:sz w:val="44"/>
    </w:rPr>
  </w:style>
  <w:style w:type="paragraph" w:customStyle="1" w:styleId="27">
    <w:name w:val="List Paragraph"/>
    <w:basedOn w:val="1"/>
    <w:qFormat/>
    <w:uiPriority w:val="0"/>
    <w:pPr>
      <w:ind w:firstLine="420" w:firstLineChars="200"/>
    </w:pPr>
    <w:rPr>
      <w:rFonts w:ascii="Times New Roman" w:hAnsi="Times New Roman" w:eastAsia="宋体"/>
      <w:sz w:val="21"/>
      <w:szCs w:val="21"/>
    </w:rPr>
  </w:style>
  <w:style w:type="character" w:customStyle="1" w:styleId="28">
    <w:name w:val="标题 2 Char"/>
    <w:basedOn w:val="17"/>
    <w:link w:val="4"/>
    <w:qFormat/>
    <w:uiPriority w:val="9"/>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19592618133845"/>
          <c:y val="0.0249566256202904"/>
        </c:manualLayout>
      </c:layout>
      <c:overlay val="0"/>
      <c:spPr>
        <a:noFill/>
        <a:ln>
          <a:noFill/>
        </a:ln>
        <a:effectLst/>
      </c:spPr>
    </c:title>
    <c:autoTitleDeleted val="0"/>
    <c:plotArea>
      <c:layout>
        <c:manualLayout>
          <c:layoutTarget val="inner"/>
          <c:xMode val="edge"/>
          <c:yMode val="edge"/>
          <c:x val="0.113904826278444"/>
          <c:y val="0.234904498278933"/>
          <c:w val="0.882425"/>
          <c:h val="0.660566666666667"/>
        </c:manualLayout>
      </c:layout>
      <c:barChart>
        <c:barDir val="col"/>
        <c:grouping val="stacked"/>
        <c:varyColors val="0"/>
        <c:ser>
          <c:idx val="0"/>
          <c:order val="0"/>
          <c:tx>
            <c:strRef>
              <c:f>Sheet1!$C$1</c:f>
              <c:strCache>
                <c:ptCount val="1"/>
                <c:pt idx="0">
                  <c:v>2023年</c:v>
                </c:pt>
              </c:strCache>
            </c:strRef>
          </c:tx>
          <c:spPr>
            <a:solidFill>
              <a:schemeClr val="accent5">
                <a:shade val="65000"/>
              </a:schemeClr>
            </a:solidFill>
            <a:ln>
              <a:noFill/>
            </a:ln>
            <a:effectLst/>
          </c:spPr>
          <c:invertIfNegative val="0"/>
          <c:dPt>
            <c:idx val="1"/>
            <c:invertIfNegative val="0"/>
            <c:bubble3D val="0"/>
            <c:spPr>
              <a:solidFill>
                <a:schemeClr val="accent1"/>
              </a:solidFill>
              <a:ln>
                <a:noFill/>
              </a:ln>
              <a:effectLst/>
            </c:spPr>
          </c:dPt>
          <c:dPt>
            <c:idx val="2"/>
            <c:invertIfNegative val="0"/>
            <c:bubble3D val="0"/>
            <c:spPr>
              <a:solidFill>
                <a:srgbClr val="FFC000"/>
              </a:solidFill>
              <a:ln>
                <a:noFill/>
              </a:ln>
              <a:effectLst/>
            </c:spPr>
          </c:dPt>
          <c:dLbls>
            <c:dLbl>
              <c:idx val="0"/>
              <c:delete val="1"/>
            </c:dLbl>
            <c:dLbl>
              <c:idx val="1"/>
              <c:layout/>
              <c:dLblPos val="ctr"/>
              <c:showLegendKey val="0"/>
              <c:showVal val="1"/>
              <c:showCatName val="0"/>
              <c:showSerName val="0"/>
              <c:showPercent val="0"/>
              <c:showBubbleSize val="0"/>
              <c:extLst>
                <c:ext xmlns:c15="http://schemas.microsoft.com/office/drawing/2012/chart" uri="{CE6537A1-D6FC-4f65-9D91-7224C49458BB}"/>
              </c:extLst>
            </c:dLbl>
            <c:dLbl>
              <c:idx val="2"/>
              <c:layout/>
              <c:dLblPos val="ctr"/>
              <c:showLegendKey val="0"/>
              <c:showVal val="1"/>
              <c:showCatName val="0"/>
              <c:showSerName val="0"/>
              <c:showPercent val="0"/>
              <c:showBubbleSize val="0"/>
              <c:extLst>
                <c:ext xmlns:c15="http://schemas.microsoft.com/office/drawing/2012/chart" uri="{CE6537A1-D6FC-4f65-9D91-7224C49458BB}"/>
              </c:extLst>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2023年</c:v>
                </c:pt>
                <c:pt idx="2">
                  <c:v>2024年</c:v>
                </c:pt>
              </c:strCache>
            </c:strRef>
          </c:cat>
          <c:val>
            <c:numRef>
              <c:f>Sheet1!$C$2:$C$5</c:f>
              <c:numCache>
                <c:formatCode>General</c:formatCode>
                <c:ptCount val="4"/>
                <c:pt idx="1" c:formatCode="0.00_ ">
                  <c:v>304.73</c:v>
                </c:pt>
                <c:pt idx="2" c:formatCode="0.00_ ">
                  <c:v>344.37</c:v>
                </c:pt>
              </c:numCache>
            </c:numRef>
          </c:val>
        </c:ser>
        <c:ser>
          <c:idx val="1"/>
          <c:order val="1"/>
          <c:tx>
            <c:strRef>
              <c:f>Sheet1!$D$1</c:f>
              <c:strCache>
                <c:ptCount val="1"/>
                <c:pt idx="0">
                  <c:v>2024年</c:v>
                </c:pt>
              </c:strCache>
            </c:strRef>
          </c:tx>
          <c:spPr>
            <a:solidFill>
              <a:srgbClr val="FFC000"/>
            </a:solidFill>
            <a:ln>
              <a:noFill/>
            </a:ln>
            <a:effectLst/>
          </c:spPr>
          <c:invertIfNegative val="0"/>
          <c:dLbls>
            <c:delete val="1"/>
          </c:dLbls>
          <c:cat>
            <c:strRef>
              <c:f>Sheet1!$A$2:$A$5</c:f>
              <c:strCache>
                <c:ptCount val="4"/>
                <c:pt idx="1">
                  <c:v>2023年</c:v>
                </c:pt>
                <c:pt idx="2">
                  <c:v>2024年</c:v>
                </c:pt>
              </c:strCache>
            </c:strRef>
          </c:cat>
          <c:val>
            <c:numRef>
              <c:f>Sheet1!$D$2:$D$5</c:f>
              <c:numCache>
                <c:formatCode>General</c:formatCode>
                <c:ptCount val="4"/>
              </c:numCache>
            </c:numRef>
          </c:val>
        </c:ser>
        <c:ser>
          <c:idx val="2"/>
          <c:order val="2"/>
          <c:tx>
            <c:strRef>
              <c:f>Sheet1!$E$1</c:f>
              <c:strCache>
                <c:ptCount val="1"/>
                <c:pt idx="0">
                  <c:v/>
                </c:pt>
              </c:strCache>
            </c:strRef>
          </c:tx>
          <c:spPr>
            <a:noFill/>
            <a:ln>
              <a:noFill/>
            </a:ln>
            <a:effectLst/>
          </c:spPr>
          <c:invertIfNegative val="0"/>
          <c:dLbls>
            <c:delete val="1"/>
          </c:dLbls>
          <c:cat>
            <c:strRef>
              <c:f>Sheet1!$A$2:$A$5</c:f>
              <c:strCache>
                <c:ptCount val="4"/>
                <c:pt idx="1">
                  <c:v>2023年</c:v>
                </c:pt>
                <c:pt idx="2">
                  <c:v>2024年</c:v>
                </c:pt>
              </c:strCache>
            </c:strRef>
          </c:cat>
          <c:val>
            <c:numRef>
              <c:f>Sheet1!$E$2:$E$5</c:f>
              <c:numCache>
                <c:formatCode>General</c:formatCode>
                <c:ptCount val="4"/>
              </c:numCache>
            </c:numRef>
          </c:val>
        </c:ser>
        <c:dLbls>
          <c:showLegendKey val="0"/>
          <c:showVal val="0"/>
          <c:showCatName val="0"/>
          <c:showSerName val="0"/>
          <c:showPercent val="0"/>
          <c:showBubbleSize val="0"/>
        </c:dLbls>
        <c:gapWidth val="150"/>
        <c:overlap val="100"/>
        <c:axId val="942613675"/>
        <c:axId val="744782459"/>
      </c:barChart>
      <c:catAx>
        <c:axId val="9426136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782459"/>
        <c:crosses val="autoZero"/>
        <c:auto val="1"/>
        <c:lblAlgn val="ctr"/>
        <c:lblOffset val="100"/>
        <c:noMultiLvlLbl val="0"/>
      </c:catAx>
      <c:valAx>
        <c:axId val="7447824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613675"/>
        <c:crosses val="autoZero"/>
        <c:crossBetween val="between"/>
      </c:valAx>
      <c:spPr>
        <a:noFill/>
        <a:ln>
          <a:noFill/>
        </a:ln>
        <a:effectLst/>
      </c:spPr>
    </c:plotArea>
    <c:legend>
      <c:legendPos val="b"/>
      <c:layout>
        <c:manualLayout>
          <c:xMode val="edge"/>
          <c:yMode val="edge"/>
          <c:x val="0.398057088030703"/>
          <c:y val="0.9329167432457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674726-b3f9-4ff9-90d9-8721ad88e1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r>
              <a:rPr altLang="zh-CN"/>
              <a:t>单位：万元</a:t>
            </a:r>
            <a:endParaRPr altLang="zh-CN"/>
          </a:p>
        </c:rich>
      </c:tx>
      <c:layout>
        <c:manualLayout>
          <c:xMode val="edge"/>
          <c:yMode val="edge"/>
          <c:x val="0.37325"/>
          <c:y val="0.0345"/>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no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1">
                  <c:v>一般公共预算财政拨款收入</c:v>
                </c:pt>
              </c:strCache>
            </c:strRef>
          </c:cat>
          <c:val>
            <c:numRef>
              <c:f>Sheet1!$B$2:$B$4</c:f>
              <c:numCache>
                <c:formatCode>General</c:formatCode>
                <c:ptCount val="3"/>
                <c:pt idx="1">
                  <c:v>344.37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7c8bb5-1f1e-45f4-a95e-3a45bdb6bb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6"/>
              </a:solidFill>
              <a:ln w="19050">
                <a:solidFill>
                  <a:schemeClr val="lt1"/>
                </a:solidFill>
              </a:ln>
              <a:effectLst/>
            </c:spPr>
          </c:dPt>
          <c:dPt>
            <c:idx val="1"/>
            <c:bubble3D val="0"/>
            <c:spPr>
              <a:noFill/>
              <a:ln w="19050">
                <a:solidFill>
                  <a:schemeClr val="lt1"/>
                </a:solidFill>
              </a:ln>
              <a:effectLst/>
            </c:spPr>
          </c:dPt>
          <c:dPt>
            <c:idx val="2"/>
            <c:bubble3D val="0"/>
            <c:spPr>
              <a:noFill/>
              <a:ln w="19050">
                <a:solidFill>
                  <a:schemeClr val="lt1"/>
                </a:solidFill>
              </a:ln>
              <a:effectLst/>
            </c:spPr>
          </c:dPt>
          <c:dPt>
            <c:idx val="3"/>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3">
                  <c:v>项目支出</c:v>
                </c:pt>
              </c:strCache>
            </c:strRef>
          </c:cat>
          <c:val>
            <c:numRef>
              <c:f>Sheet1!$B$2:$B$5</c:f>
              <c:numCache>
                <c:formatCode>General</c:formatCode>
                <c:ptCount val="4"/>
                <c:pt idx="0">
                  <c:v>280.92</c:v>
                </c:pt>
                <c:pt idx="3">
                  <c:v>63.45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cd3b11-51aa-463a-8f10-98fa22f2c9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2345"/>
          <c:y val="0.0491666666666667"/>
        </c:manualLayout>
      </c:layout>
      <c:overlay val="0"/>
      <c:spPr>
        <a:noFill/>
        <a:ln>
          <a:noFill/>
        </a:ln>
        <a:effectLst/>
      </c:spPr>
    </c:title>
    <c:autoTitleDeleted val="0"/>
    <c:plotArea>
      <c:layout>
        <c:manualLayout>
          <c:layoutTarget val="inner"/>
          <c:xMode val="edge"/>
          <c:yMode val="edge"/>
          <c:x val="0.0956718003186405"/>
          <c:y val="0.238436482084691"/>
          <c:w val="0.849097185342538"/>
          <c:h val="0.504755700325733"/>
        </c:manualLayout>
      </c:layout>
      <c:barChart>
        <c:barDir val="col"/>
        <c:grouping val="stacked"/>
        <c:varyColors val="0"/>
        <c:ser>
          <c:idx val="0"/>
          <c:order val="0"/>
          <c:tx>
            <c:strRef>
              <c:f>Sheet1!$B$1</c:f>
              <c:strCache>
                <c:ptCount val="1"/>
                <c:pt idx="0">
                  <c:v>2023年</c:v>
                </c:pt>
              </c:strCache>
            </c:strRef>
          </c:tx>
          <c:spPr>
            <a:solidFill>
              <a:schemeClr val="accent1"/>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1">
                  <c:v>2023年收入</c:v>
                </c:pt>
                <c:pt idx="2">
                  <c:v>2024年收入</c:v>
                </c:pt>
                <c:pt idx="3">
                  <c:v>2023年支出</c:v>
                </c:pt>
                <c:pt idx="4">
                  <c:v>2024年支出</c:v>
                </c:pt>
              </c:strCache>
            </c:strRef>
          </c:cat>
          <c:val>
            <c:numRef>
              <c:f>Sheet1!$B$2:$B$6</c:f>
              <c:numCache>
                <c:formatCode>General</c:formatCode>
                <c:ptCount val="5"/>
                <c:pt idx="1" c:formatCode="0.00_ ">
                  <c:v>304.73</c:v>
                </c:pt>
                <c:pt idx="3" c:formatCode="0.00_ ">
                  <c:v>304.73</c:v>
                </c:pt>
              </c:numCache>
            </c:numRef>
          </c:val>
        </c:ser>
        <c:ser>
          <c:idx val="1"/>
          <c:order val="1"/>
          <c:tx>
            <c:strRef>
              <c:f>Sheet1!$C$1</c:f>
              <c:strCache>
                <c:ptCount val="1"/>
                <c:pt idx="0">
                  <c:v>2024年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1">
                  <c:v>2023年收入</c:v>
                </c:pt>
                <c:pt idx="2">
                  <c:v>2024年收入</c:v>
                </c:pt>
                <c:pt idx="3">
                  <c:v>2023年支出</c:v>
                </c:pt>
                <c:pt idx="4">
                  <c:v>2024年支出</c:v>
                </c:pt>
              </c:strCache>
            </c:strRef>
          </c:cat>
          <c:val>
            <c:numRef>
              <c:f>Sheet1!$C$2:$C$6</c:f>
              <c:numCache>
                <c:formatCode>General</c:formatCode>
                <c:ptCount val="5"/>
                <c:pt idx="2" c:formatCode="0.00_ ">
                  <c:v>344.37</c:v>
                </c:pt>
                <c:pt idx="4" c:formatCode="0.00_ ">
                  <c:v>344.37</c:v>
                </c:pt>
              </c:numCache>
            </c:numRef>
          </c:val>
        </c:ser>
        <c:ser>
          <c:idx val="2"/>
          <c:order val="2"/>
          <c:tx>
            <c:strRef>
              <c:f>Sheet1!$D$1</c:f>
              <c:strCache>
                <c:ptCount val="1"/>
                <c:pt idx="0">
                  <c:v/>
                </c:pt>
              </c:strCache>
            </c:strRef>
          </c:tx>
          <c:spPr>
            <a:noFill/>
            <a:ln>
              <a:noFill/>
            </a:ln>
            <a:effectLst/>
          </c:spPr>
          <c:invertIfNegative val="0"/>
          <c:dLbls>
            <c:delete val="1"/>
          </c:dLbls>
          <c:cat>
            <c:strRef>
              <c:f>Sheet1!$A$2:$A$6</c:f>
              <c:strCache>
                <c:ptCount val="5"/>
                <c:pt idx="1">
                  <c:v>2023年收入</c:v>
                </c:pt>
                <c:pt idx="2">
                  <c:v>2024年收入</c:v>
                </c:pt>
                <c:pt idx="3">
                  <c:v>2023年支出</c:v>
                </c:pt>
                <c:pt idx="4">
                  <c:v>2024年支出</c:v>
                </c:pt>
              </c:strCache>
            </c:strRef>
          </c:cat>
          <c:val>
            <c:numRef>
              <c:f>Sheet1!$D$2:$D$6</c:f>
              <c:numCache>
                <c:formatCode>General</c:formatCode>
                <c:ptCount val="5"/>
              </c:numCache>
            </c:numRef>
          </c:val>
        </c:ser>
        <c:ser>
          <c:idx val="3"/>
          <c:order val="3"/>
          <c:tx>
            <c:strRef>
              <c:f>Sheet1!$E$1</c:f>
              <c:strCache>
                <c:ptCount val="1"/>
                <c:pt idx="0">
                  <c:v/>
                </c:pt>
              </c:strCache>
            </c:strRef>
          </c:tx>
          <c:spPr>
            <a:solidFill>
              <a:schemeClr val="accent4"/>
            </a:solidFill>
            <a:ln>
              <a:noFill/>
            </a:ln>
            <a:effectLst/>
          </c:spPr>
          <c:invertIfNegative val="0"/>
          <c:dLbls>
            <c:delete val="1"/>
          </c:dLbls>
          <c:cat>
            <c:strRef>
              <c:f>Sheet1!$A$2:$A$6</c:f>
              <c:strCache>
                <c:ptCount val="5"/>
                <c:pt idx="1">
                  <c:v>2023年收入</c:v>
                </c:pt>
                <c:pt idx="2">
                  <c:v>2024年收入</c:v>
                </c:pt>
                <c:pt idx="3">
                  <c:v>2023年支出</c:v>
                </c:pt>
                <c:pt idx="4">
                  <c:v>2024年支出</c:v>
                </c:pt>
              </c:strCache>
            </c:strRef>
          </c:cat>
          <c:val>
            <c:numRef>
              <c:f>Sheet1!$E$2:$E$6</c:f>
              <c:numCache>
                <c:formatCode>General</c:formatCode>
                <c:ptCount val="5"/>
              </c:numCache>
            </c:numRef>
          </c:val>
        </c:ser>
        <c:dLbls>
          <c:showLegendKey val="0"/>
          <c:showVal val="0"/>
          <c:showCatName val="0"/>
          <c:showSerName val="0"/>
          <c:showPercent val="0"/>
          <c:showBubbleSize val="0"/>
        </c:dLbls>
        <c:gapWidth val="150"/>
        <c:overlap val="100"/>
        <c:axId val="304594089"/>
        <c:axId val="797770655"/>
      </c:barChart>
      <c:catAx>
        <c:axId val="3045940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770655"/>
        <c:crosses val="autoZero"/>
        <c:auto val="1"/>
        <c:lblAlgn val="ctr"/>
        <c:lblOffset val="100"/>
        <c:noMultiLvlLbl val="0"/>
      </c:catAx>
      <c:valAx>
        <c:axId val="797770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4594089"/>
        <c:crosses val="autoZero"/>
        <c:crossBetween val="between"/>
      </c:valAx>
      <c:spPr>
        <a:noFill/>
        <a:ln>
          <a:noFill/>
        </a:ln>
        <a:effectLst/>
      </c:spPr>
    </c:plotArea>
    <c:legend>
      <c:legendPos val="b"/>
      <c:layout>
        <c:manualLayout>
          <c:xMode val="edge"/>
          <c:yMode val="edge"/>
          <c:x val="0.423125"/>
          <c:y val="0.9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c4ddd5-f507-43a3-823b-ece78d9936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178"/>
          <c:y val="0.0362941738299905"/>
        </c:manualLayout>
      </c:layout>
      <c:overlay val="0"/>
      <c:spPr>
        <a:noFill/>
        <a:ln>
          <a:noFill/>
        </a:ln>
        <a:effectLst/>
      </c:spPr>
    </c:title>
    <c:autoTitleDeleted val="0"/>
    <c:plotArea>
      <c:layout>
        <c:manualLayout>
          <c:layoutTarget val="inner"/>
          <c:xMode val="edge"/>
          <c:yMode val="edge"/>
          <c:x val="0.058575"/>
          <c:y val="0.0377409720336682"/>
          <c:w val="0.8938"/>
          <c:h val="0.605873925501433"/>
        </c:manualLayout>
      </c:layout>
      <c:barChart>
        <c:barDir val="col"/>
        <c:grouping val="stack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2023年</c:v>
                </c:pt>
                <c:pt idx="2">
                  <c:v>2024年</c:v>
                </c:pt>
              </c:strCache>
            </c:strRef>
          </c:cat>
          <c:val>
            <c:numRef>
              <c:f>Sheet1!$B$2:$B$5</c:f>
              <c:numCache>
                <c:formatCode>General</c:formatCode>
                <c:ptCount val="4"/>
                <c:pt idx="1">
                  <c:v>304.73</c:v>
                </c:pt>
              </c:numCache>
            </c:numRef>
          </c:val>
        </c:ser>
        <c:ser>
          <c:idx val="1"/>
          <c:order val="1"/>
          <c:tx>
            <c:strRef>
              <c:f>Sheet1!$C$1</c:f>
              <c:strCache>
                <c:ptCount val="1"/>
                <c:pt idx="0">
                  <c:v>2024年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2023年</c:v>
                </c:pt>
                <c:pt idx="2">
                  <c:v>2024年</c:v>
                </c:pt>
              </c:strCache>
            </c:strRef>
          </c:cat>
          <c:val>
            <c:numRef>
              <c:f>Sheet1!$C$2:$C$5</c:f>
              <c:numCache>
                <c:formatCode>General</c:formatCode>
                <c:ptCount val="4"/>
                <c:pt idx="2" c:formatCode="0.00_ ">
                  <c:v>344.37</c:v>
                </c:pt>
              </c:numCache>
            </c:numRef>
          </c:val>
        </c:ser>
        <c:ser>
          <c:idx val="2"/>
          <c:order val="2"/>
          <c:tx>
            <c:strRef>
              <c:f>Sheet1!$D$1</c:f>
              <c:strCache>
                <c:ptCount val="1"/>
                <c:pt idx="0">
                  <c:v/>
                </c:pt>
              </c:strCache>
            </c:strRef>
          </c:tx>
          <c:spPr>
            <a:noFill/>
            <a:ln>
              <a:noFill/>
            </a:ln>
            <a:effectLst/>
          </c:spPr>
          <c:invertIfNegative val="0"/>
          <c:dLbls>
            <c:delete val="1"/>
          </c:dLbls>
          <c:cat>
            <c:strRef>
              <c:f>Sheet1!$A$2:$A$5</c:f>
              <c:strCache>
                <c:ptCount val="4"/>
                <c:pt idx="1">
                  <c:v>2023年</c:v>
                </c:pt>
                <c:pt idx="2">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20272027"/>
        <c:axId val="436867716"/>
      </c:barChart>
      <c:catAx>
        <c:axId val="202720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867716"/>
        <c:crosses val="autoZero"/>
        <c:auto val="1"/>
        <c:lblAlgn val="ctr"/>
        <c:lblOffset val="100"/>
        <c:noMultiLvlLbl val="0"/>
      </c:catAx>
      <c:valAx>
        <c:axId val="4368677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720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414c2f-56a4-4db3-9115-104cd46be2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50495721852"/>
          <c:y val="0.100140991084387"/>
          <c:w val="0.523840825750373"/>
          <c:h val="0.799718017831225"/>
        </c:manualLayout>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067450240409123"/>
                  <c:y val="-0.14108807659428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80.95%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2652451446421"/>
                  <c:y val="0.11483503993165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9.84%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6439743407746"/>
                  <c:y val="0.0815426716885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2.68%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6534493444872"/>
                  <c:y val="0.1020536026977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6.53%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278.79</c:v>
                </c:pt>
                <c:pt idx="1">
                  <c:v>33.87</c:v>
                </c:pt>
                <c:pt idx="2">
                  <c:v>9.22</c:v>
                </c:pt>
                <c:pt idx="3">
                  <c:v>22.49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995960851328"/>
          <c:y val="0.007589172780166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fd6bf4-3cff-4a89-857e-54f52896c7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p>
          <a:p>
            <a:pPr defTabSz="914400">
              <a:defRPr lang="zh-CN" sz="1400" b="0" i="0" u="none" strike="noStrike" kern="1200" spc="0" baseline="0">
                <a:solidFill>
                  <a:schemeClr val="tx1">
                    <a:lumMod val="65000"/>
                    <a:lumOff val="35000"/>
                  </a:schemeClr>
                </a:solidFill>
                <a:latin typeface="+mn-lt"/>
                <a:ea typeface="+mn-ea"/>
                <a:cs typeface="+mn-cs"/>
              </a:defRPr>
            </a:pPr>
            <a:r>
              <a:rPr sz="1050"/>
              <a:t>（单位：万元）</a:t>
            </a:r>
            <a:endParaRPr sz="1050"/>
          </a:p>
        </c:rich>
      </c:tx>
      <c:layout>
        <c:manualLayout>
          <c:xMode val="edge"/>
          <c:yMode val="edge"/>
          <c:x val="0.26752998801796"/>
          <c:y val="0.049740932642487"/>
        </c:manualLayout>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公务用车运行费</c:v>
                </c:pt>
                <c:pt idx="2">
                  <c:v>公务接待费</c:v>
                </c:pt>
              </c:strCache>
            </c:strRef>
          </c:cat>
          <c:val>
            <c:numRef>
              <c:f>Sheet1!$B$2:$B$4</c:f>
              <c:numCache>
                <c:formatCode>General</c:formatCode>
                <c:ptCount val="3"/>
                <c:pt idx="0">
                  <c:v>0</c:v>
                </c:pt>
                <c:pt idx="1">
                  <c:v>4.28</c:v>
                </c:pt>
                <c:pt idx="2">
                  <c:v>0.25</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因公出国（境）费用</c:v>
                </c:pt>
                <c:pt idx="1">
                  <c:v>公务用车运行费</c:v>
                </c:pt>
                <c:pt idx="2">
                  <c:v>公务接待费</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b38029c-7e9a-4416-9b36-5b1ba5ef8e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791</Words>
  <Characters>3159</Characters>
  <Lines>0</Lines>
  <Paragraphs>0</Paragraphs>
  <TotalTime>23</TotalTime>
  <ScaleCrop>false</ScaleCrop>
  <LinksUpToDate>false</LinksUpToDate>
  <CharactersWithSpaces>3167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2022-06-16T23:45:00Z</dcterms:created>
  <dc:creator>牵你右手</dc:creator>
  <cp:lastModifiedBy>momo</cp:lastModifiedBy>
  <cp:lastPrinted>2024-08-13T11:12:00Z</cp:lastPrinted>
  <dcterms:modified xsi:type="dcterms:W3CDTF">2025-08-11T07:30:34Z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ACEDCD8AA4164476B00ECD9EAE6F72CA_13</vt:lpwstr>
  </property>
  <property fmtid="{D5CDD505-2E9C-101B-9397-08002B2CF9AE}" pid="4" name="KSOTemplateDocerSaveRecord">
    <vt:lpwstr>eyJoZGlkIjoiYjk5ODM0YmMxOWJiYWQyNDU4MGIzYWRmYTA0ZmI5NDciLCJ1c2VySWQiOiI3ODY5MzE0ODEifQ==</vt:lpwstr>
  </property>
</Properties>
</file>