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017C2">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ascii="宋体" w:hAnsi="宋体" w:eastAsia="宋体" w:cs="宋体"/>
          <w:b/>
          <w:bCs/>
          <w:sz w:val="30"/>
          <w:szCs w:val="30"/>
        </w:rPr>
      </w:pPr>
      <w:r>
        <w:rPr>
          <w:rFonts w:ascii="宋体" w:hAnsi="宋体" w:eastAsia="宋体" w:cs="宋体"/>
          <w:b/>
          <w:bCs/>
          <w:sz w:val="30"/>
          <w:szCs w:val="30"/>
        </w:rPr>
        <w:t>附件1</w:t>
      </w:r>
    </w:p>
    <w:p w14:paraId="0B2CBAC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宋体" w:hAnsi="宋体" w:eastAsia="宋体" w:cs="宋体"/>
          <w:b/>
          <w:bCs/>
          <w:sz w:val="44"/>
          <w:szCs w:val="44"/>
        </w:rPr>
      </w:pPr>
    </w:p>
    <w:p w14:paraId="4B42FDF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sz w:val="44"/>
          <w:szCs w:val="44"/>
          <w:lang w:eastAsia="zh-CN"/>
        </w:rPr>
      </w:pPr>
      <w:r>
        <w:rPr>
          <w:rFonts w:ascii="宋体" w:hAnsi="宋体" w:eastAsia="宋体" w:cs="宋体"/>
          <w:b/>
          <w:bCs/>
          <w:sz w:val="44"/>
          <w:szCs w:val="44"/>
        </w:rPr>
        <w:t>蓬溪县人民政府关于</w:t>
      </w:r>
    </w:p>
    <w:p w14:paraId="3C0546B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sz w:val="44"/>
          <w:szCs w:val="44"/>
          <w:lang w:eastAsia="zh-CN"/>
        </w:rPr>
      </w:pPr>
      <w:r>
        <w:rPr>
          <w:rFonts w:ascii="宋体" w:hAnsi="宋体" w:eastAsia="宋体" w:cs="宋体"/>
          <w:b/>
          <w:bCs/>
          <w:sz w:val="44"/>
          <w:szCs w:val="44"/>
        </w:rPr>
        <w:t>202</w:t>
      </w:r>
      <w:r>
        <w:rPr>
          <w:rFonts w:hint="eastAsia" w:ascii="宋体" w:hAnsi="宋体" w:eastAsia="宋体" w:cs="宋体"/>
          <w:b/>
          <w:bCs/>
          <w:sz w:val="44"/>
          <w:szCs w:val="44"/>
          <w:lang w:val="en-US" w:eastAsia="zh-CN"/>
        </w:rPr>
        <w:t>4</w:t>
      </w:r>
      <w:r>
        <w:rPr>
          <w:rFonts w:ascii="宋体" w:hAnsi="宋体" w:eastAsia="宋体" w:cs="宋体"/>
          <w:b/>
          <w:bCs/>
          <w:sz w:val="44"/>
          <w:szCs w:val="44"/>
        </w:rPr>
        <w:t>年度县级财政决算（草案）情况的报告</w:t>
      </w:r>
    </w:p>
    <w:p w14:paraId="6491547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——在蓬溪县第十九届人大常委会第</w:t>
      </w:r>
      <w:r>
        <w:rPr>
          <w:rFonts w:hint="eastAsia" w:ascii="仿宋" w:hAnsi="仿宋" w:eastAsia="仿宋" w:cs="仿宋"/>
          <w:sz w:val="30"/>
          <w:szCs w:val="30"/>
          <w:lang w:val="en-US" w:eastAsia="zh-CN"/>
        </w:rPr>
        <w:t>三十九</w:t>
      </w:r>
      <w:r>
        <w:rPr>
          <w:rFonts w:hint="eastAsia" w:ascii="仿宋" w:hAnsi="仿宋" w:eastAsia="仿宋" w:cs="仿宋"/>
          <w:sz w:val="30"/>
          <w:szCs w:val="30"/>
        </w:rPr>
        <w:t>次会议上</w:t>
      </w:r>
    </w:p>
    <w:p w14:paraId="1ACE7C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0"/>
          <w:szCs w:val="30"/>
          <w:lang w:eastAsia="zh-CN"/>
        </w:rPr>
      </w:pPr>
      <w:r>
        <w:rPr>
          <w:rFonts w:hint="eastAsia" w:ascii="仿宋" w:hAnsi="仿宋" w:eastAsia="仿宋" w:cs="仿宋"/>
          <w:sz w:val="30"/>
          <w:szCs w:val="30"/>
        </w:rPr>
        <w:t>县委常委、常务副县长鲜艳君</w:t>
      </w:r>
    </w:p>
    <w:p w14:paraId="40A0D1B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0"/>
          <w:szCs w:val="30"/>
          <w:lang w:eastAsia="zh-CN"/>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年7月</w:t>
      </w:r>
      <w:r>
        <w:rPr>
          <w:rFonts w:hint="eastAsia" w:ascii="仿宋" w:hAnsi="仿宋" w:eastAsia="仿宋" w:cs="仿宋"/>
          <w:sz w:val="30"/>
          <w:szCs w:val="30"/>
          <w:lang w:val="en-US" w:eastAsia="zh-CN"/>
        </w:rPr>
        <w:t>28</w:t>
      </w:r>
      <w:r>
        <w:rPr>
          <w:rFonts w:hint="eastAsia" w:ascii="仿宋" w:hAnsi="仿宋" w:eastAsia="仿宋" w:cs="仿宋"/>
          <w:sz w:val="30"/>
          <w:szCs w:val="30"/>
        </w:rPr>
        <w:t>日</w:t>
      </w:r>
    </w:p>
    <w:p w14:paraId="61C6339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宋体" w:hAnsi="宋体" w:eastAsia="宋体" w:cs="宋体"/>
          <w:sz w:val="24"/>
          <w:szCs w:val="24"/>
        </w:rPr>
      </w:pPr>
    </w:p>
    <w:p w14:paraId="50C1A2F1">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县人大常委会：</w:t>
      </w:r>
    </w:p>
    <w:p w14:paraId="1255AB32">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我代表县人民政府，向本次会议报告2024年度县级财政决算（草案）情况，请予审议。</w:t>
      </w:r>
    </w:p>
    <w:p w14:paraId="00B7E4BE">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一、202</w:t>
      </w:r>
      <w:r>
        <w:rPr>
          <w:rFonts w:hint="eastAsia" w:ascii="仿宋" w:hAnsi="仿宋" w:eastAsia="仿宋" w:cs="仿宋"/>
          <w:sz w:val="30"/>
          <w:szCs w:val="30"/>
          <w:lang w:val="en-US" w:eastAsia="zh-CN"/>
        </w:rPr>
        <w:t>4</w:t>
      </w:r>
      <w:r>
        <w:rPr>
          <w:rFonts w:hint="eastAsia" w:ascii="仿宋" w:hAnsi="仿宋" w:eastAsia="仿宋" w:cs="仿宋"/>
          <w:sz w:val="30"/>
          <w:szCs w:val="30"/>
        </w:rPr>
        <w:t>年财政决算情况</w:t>
      </w:r>
    </w:p>
    <w:p w14:paraId="3D22EA48">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（一）一般公共预算收支决算情况</w:t>
      </w:r>
    </w:p>
    <w:p w14:paraId="29B545B2">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2024年，全县地方一般公共预算收入完成69699万元，为预算的96.94%，同比下降14.24%。其中：税收收入35188万元，同比下降24.87%；非税收入34511万元，同比增长0.22%；税收占比为50.49%。地方一般公共预算收入加上级补助收入320496万元、地方政府一般债务转贷收入65741万元、上年结余32445万元、动用预算稳定调节基金8619万元、调入资金59002万元后，收入总量为556002万元。全县一般公共预算支出完成450022万元，为预算的93.50%，同比增长5.26%。加上上解上级支出 24915万元、债务还本支出47950万元、安排预算稳定调节基金1840万元后，支出总量为524727万元。收支品迭，年终结余31275 万元（结转下年支出）。</w:t>
      </w:r>
    </w:p>
    <w:p w14:paraId="0387319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政府性基金收支决算情况</w:t>
      </w:r>
    </w:p>
    <w:p w14:paraId="2852964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2024年，全县政府性基金收入完成71663万元，为预算的68.09%，同比下降19.83%。加上级补助收入27469万元、地方政府专项债务转贷收入142880万元、上年结余6194万元、调入资金59332万元后，收入总量为307538万元。全县政府性基金支出完成209143万元，为预算的81.46%，同比下降25.86%。加债务还本支出50780万元后，支出总量为259923万元。收支品迭，年终结余47615万元（结转下年支出）。</w:t>
      </w:r>
    </w:p>
    <w:p w14:paraId="1C90FA4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国有资本经营收支决算情况</w:t>
      </w:r>
    </w:p>
    <w:p w14:paraId="7612ED6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2024年，全县国有资本经营预算收入完成314万元，为预算的100%，同比增长109.33%。加上级补助收入26万元、上年结余80万元，收入总量为420万元。全县国有资本经营预算支出完成220万元，为预算的67.48%，同比增长109.52%。加上调出资金94万元后，支出总量为314万元。收支品迭，年终结余106万元（结转下年支出）。</w:t>
      </w:r>
    </w:p>
    <w:p w14:paraId="7B3161E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地方政府债务情况</w:t>
      </w:r>
    </w:p>
    <w:p w14:paraId="3FF9C5A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1.政府法定债务总限额情况。截至2024年末，全县政府法定债务总限额为1162045万元，其中：一般债务415673万元（含外债2143万元）、专项债务746372万元</w:t>
      </w:r>
      <w:r>
        <w:rPr>
          <w:rFonts w:hint="eastAsia" w:ascii="仿宋" w:hAnsi="仿宋" w:eastAsia="仿宋" w:cs="仿宋"/>
          <w:sz w:val="30"/>
          <w:szCs w:val="30"/>
          <w:lang w:eastAsia="zh-CN"/>
        </w:rPr>
        <w:t>。</w:t>
      </w:r>
    </w:p>
    <w:p w14:paraId="3D2BDDB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2.政府法定债务总余额情况。截至2024年末，全县地方政府法定债务总余额为1093313万元（其中：一般债务412612万元，专项债务680701万元），债务空间为68732万元，总余额严格控制在总限额内。</w:t>
      </w:r>
    </w:p>
    <w:p w14:paraId="67F3A54A">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其他需要报告的事项</w:t>
      </w:r>
    </w:p>
    <w:p w14:paraId="2C469AF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1.结转结余资金情况。2024年，一般公共预算年终结余31275万元，主要是高标准农田建设资金、粮油生产保障资金、稻谷目标价格补贴资金、智慧警务项目资金、工业发展资金、先进制造业和现代服务业发展专项资金、应急抢险救灾能力提升建设项目资金、地方公共文化服务体系建设资金等专项资金支出结转下年。政府性基金预算年终结余47615万元，主要是排水防涝、增减挂钩项目、移民补助以及彩票公益金等专项资金支出结转下年。国有资本经营预算年终结余106万元，主要是国有企业退休人员社会化管理补助支出。</w:t>
      </w:r>
    </w:p>
    <w:p w14:paraId="3C39B93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预算稳定调节基金变动情况。2024年，年初预算稳定调节基金余额为8496万元，办理2023年年终决算后增加结余资金123万，减动用预算稳定调节基金8619万元，加结余资金1840万元按规定补充预算稳定调节基金后，年末预算稳定调节基金余额为1840万元。</w:t>
      </w:r>
    </w:p>
    <w:p w14:paraId="2D03857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上级补助收入情况。2024年，全县上级补助收入347991万元，同比增长11.08%。其中：一般公共预算上级补助收入320496万元，同比增长5.13%；政府性基金上级补助收入27469万元，同比增长227.13%；国有资本经营预算上级补助收入26万元，与上年一致。</w:t>
      </w:r>
    </w:p>
    <w:p w14:paraId="04C901F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 xml:space="preserve"> 4.决算数与执行数变动情况。2024年县级决算草案与县十九届人民代表大会第五次会议报告的执行数相比：一般公共预算收入总量增加1万元，主要是上级补助收入增加1万元；一般公共预算支出总量增加1万元，主要是上解上级支出增加48万元、安排预算稳定调节基金减少47万元。政府性基金预算、国有资本经营预算收支决算数均与县十九届人民代表大会第五次会议报告的执行数一致。</w:t>
      </w:r>
    </w:p>
    <w:p w14:paraId="1254594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5.2023 年度财政决算公开情况。2023年财政总决算和部门决</w:t>
      </w:r>
      <w:r>
        <w:rPr>
          <w:rFonts w:hint="eastAsia" w:ascii="仿宋" w:hAnsi="仿宋" w:eastAsia="仿宋" w:cs="仿宋"/>
          <w:sz w:val="30"/>
          <w:szCs w:val="30"/>
          <w:lang w:val="en-US" w:eastAsia="zh-CN"/>
        </w:rPr>
        <w:t>算</w:t>
      </w:r>
      <w:r>
        <w:rPr>
          <w:rFonts w:hint="eastAsia" w:ascii="仿宋" w:hAnsi="仿宋" w:eastAsia="仿宋" w:cs="仿宋"/>
          <w:sz w:val="30"/>
          <w:szCs w:val="30"/>
        </w:rPr>
        <w:t>于2024年7月31日经蓬溪县第十九届人大常委会第二十八次会议审查批准。决算经批准后，均按预算法规定时间在“蓬溪县政府门户网站”进行了公开，具体为：财政总决算2024年8月14日公开；同期间，财政部门于2024年8月9日向本级94个部门批复决算，部门接到批复决算后15日内向88个所属单位批复决算，部门和所属单位均于2024年9月8日前公开。</w:t>
      </w:r>
    </w:p>
    <w:p w14:paraId="18B059B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6.2024 年“三公”经费使用情况。2024年“三公”经费支出1226万元，占调整预算96.38%，同比下降0.73%，较年初预算压降18.27%，其中：公务接待费397万元，压降27.29%，同比下降0.75%；公务用车购置及运行维护费829万元，压降13.10%， 同比下降0.72%；公务出国（境）费用0万元，与2023年一致。</w:t>
      </w:r>
    </w:p>
    <w:p w14:paraId="24A848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二、落实县人大预算决议和重点财政工作情况</w:t>
      </w:r>
    </w:p>
    <w:p w14:paraId="589CF03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坚持把“聚财源、稳增长”贯穿始终，推动财政持续向好。紧盯全年预期目标，强化与税务部门沟通联动，加强税源分析和监控，抓好重点行业、重点企业、重大工程和重点税种的征管，坚定不移堵塞税收漏洞，确保税收颗粒归仓。规范非税收入管理，严格落实非税收缴政策，对应征非税收入明确缴库时限、制定缴库计划，确保及时足额入库。加强国有资本经营收入管理，促进国有资产资源优化配置和有效使用，激活资本增值潜力。全力培植税源。加大招商引资力度，争取更多的项目落地，努力涵养税源，把加快项目建设作为增加财政收入的重要手段，促进在建项目尽快达产见效，扩大财政收入规模。</w:t>
      </w:r>
    </w:p>
    <w:p w14:paraId="62AD815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坚持把“抓机遇、强增资”贯穿始终，提升全县综合财力。积极抢抓政策机遇，科学铺排向上争资工作，全力争取上级资金、政策扶持，努力做大财政“蛋糕”。2024年，争取到位上级转移支付资金347991万元，同比增长11.08%。发行专项债券131500万元，其中：项目建设专项债券资金101400万元，用于四川蓬溪经开区仓储物流中心及配套基础设施建设项目、蓬溪县城区学前教育建设项目等12个项目；6万亿再融资化解存量债务资金15500万元、补充政府性基金财力化债资金14600万元，用于遂宁市农村公路路网建设项目（一期）、蓬溪县人民医院整体迁建项目等8个项目存量债务化解；发行一般债券17791.15万元（含外债20.25万元），安排用于蓬溪县宝梵生态农旅融合 产业园项目、四川省蓬溪中学综合楼建设项目等9个项目。争取超长期国债20262万元，主要用于墨砚湖片区排水防涝建设、“以旧换新”补贴等项目。通过对到位资金的有效调度和合理安排，推动全县基础设施建设和产业升级，持续改善民生福祉，为地方经济发展提供支撑。</w:t>
      </w:r>
    </w:p>
    <w:p w14:paraId="74D6797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坚持把“优支出、提质效”贯穿始终，全力保障重点支出。不折不扣地落实过“紧日子”要求，优化支出结构，大力压减一般性支出和不必要支出，把宝贵的财政资金用在发展紧要处、民生急需上，推动人民群众获得感、幸福感、安全感更加充实。“三公”经费支出1226万元，较年初预算压降18.27%。不断加大“三保”支出力度，牢牢兜住基层“三保”底线，“三保”支出完成167145万元，为预算的96.57%。筑牢民生政策底线，聚焦人民群众的需求，持续增进民生福祉。2024年，民生支出320416万元，占一般公共预算支出的比重达到71.2%，主要用于教育、社会保障、医疗卫生等。2024年三个票决民生实事项目中，仁和幼儿园建设完成并投入使用，城东街改造项目、鸣凤经高升至任隆快捷通道建设项目将分别</w:t>
      </w:r>
      <w:r>
        <w:rPr>
          <w:rFonts w:hint="eastAsia" w:ascii="仿宋" w:hAnsi="仿宋" w:eastAsia="仿宋" w:cs="仿宋"/>
          <w:sz w:val="30"/>
          <w:szCs w:val="30"/>
          <w:lang w:val="en-US" w:eastAsia="zh-CN"/>
        </w:rPr>
        <w:t>于</w:t>
      </w:r>
      <w:r>
        <w:rPr>
          <w:rFonts w:hint="eastAsia" w:ascii="仿宋" w:hAnsi="仿宋" w:eastAsia="仿宋" w:cs="仿宋"/>
          <w:sz w:val="30"/>
          <w:szCs w:val="30"/>
        </w:rPr>
        <w:t>2025年8月底、12月底前建设完成。</w:t>
      </w:r>
    </w:p>
    <w:p w14:paraId="0B2BA8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（四）坚持把“强农基、促发展”贯穿始终，持续助力乡村振兴。持续巩固拓展脱贫攻坚成果，大力推动乡村全面振兴，以促进乡村产业发展</w:t>
      </w:r>
      <w:r>
        <w:rPr>
          <w:rFonts w:hint="eastAsia" w:ascii="仿宋" w:hAnsi="仿宋" w:eastAsia="仿宋" w:cs="仿宋"/>
          <w:sz w:val="30"/>
          <w:szCs w:val="30"/>
          <w:lang w:eastAsia="zh-CN"/>
        </w:rPr>
        <w:t>，</w:t>
      </w:r>
      <w:r>
        <w:rPr>
          <w:rFonts w:hint="eastAsia" w:ascii="仿宋" w:hAnsi="仿宋" w:eastAsia="仿宋" w:cs="仿宋"/>
          <w:sz w:val="30"/>
          <w:szCs w:val="30"/>
        </w:rPr>
        <w:t>乡村建设为重点，在推进乡村振兴中见行动、求实效，保持财政支持政策力度和资金支出总体规模，坚决守住不发生规模性返贫底线。2024年</w:t>
      </w:r>
      <w:r>
        <w:rPr>
          <w:rFonts w:hint="eastAsia" w:ascii="仿宋" w:hAnsi="仿宋" w:eastAsia="仿宋" w:cs="仿宋"/>
          <w:sz w:val="30"/>
          <w:szCs w:val="30"/>
          <w:lang w:eastAsia="zh-CN"/>
        </w:rPr>
        <w:t>，</w:t>
      </w:r>
      <w:r>
        <w:rPr>
          <w:rFonts w:hint="eastAsia" w:ascii="仿宋" w:hAnsi="仿宋" w:eastAsia="仿宋" w:cs="仿宋"/>
          <w:sz w:val="30"/>
          <w:szCs w:val="30"/>
        </w:rPr>
        <w:t>乡村振兴实际投入139459万元，同比增加8392万元，用于“天府粮仓”建设、美丽乡村建设、厕所革命、惠农补贴发放。实施好货币政策工具，充分发挥好金融助力乡村振兴的积极作用，鼓励银行机构开发特色信贷产品</w:t>
      </w:r>
      <w:r>
        <w:rPr>
          <w:rFonts w:hint="eastAsia" w:ascii="仿宋" w:hAnsi="仿宋" w:eastAsia="仿宋" w:cs="仿宋"/>
          <w:sz w:val="30"/>
          <w:szCs w:val="30"/>
          <w:lang w:eastAsia="zh-CN"/>
        </w:rPr>
        <w:t>，</w:t>
      </w:r>
      <w:r>
        <w:rPr>
          <w:rFonts w:hint="eastAsia" w:ascii="仿宋" w:hAnsi="仿宋" w:eastAsia="仿宋" w:cs="仿宋"/>
          <w:sz w:val="30"/>
          <w:szCs w:val="30"/>
        </w:rPr>
        <w:t>协调相关部门给予再贷款、合规贴息等优惠支持。</w:t>
      </w:r>
    </w:p>
    <w:p w14:paraId="7005D49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（五）坚持把“守底线、防风险”贯穿始终，提升红线安全意识。强化忧患意识和底线思维，下好先手棋、打好主动仗，将防范化解债务及金融风险作为底线任务抓牢抓实。认真贯彻落实好</w:t>
      </w:r>
      <w:r>
        <w:rPr>
          <w:rFonts w:hint="eastAsia" w:ascii="仿宋" w:hAnsi="仿宋" w:eastAsia="仿宋" w:cs="仿宋"/>
          <w:sz w:val="32"/>
          <w:szCs w:val="32"/>
          <w:lang w:val="en-US" w:eastAsia="zh-CN"/>
        </w:rPr>
        <w:t>中央和</w:t>
      </w:r>
      <w:r>
        <w:rPr>
          <w:rFonts w:hint="eastAsia" w:ascii="仿宋" w:hAnsi="仿宋" w:eastAsia="仿宋" w:cs="仿宋"/>
          <w:sz w:val="32"/>
          <w:szCs w:val="32"/>
        </w:rPr>
        <w:t>省</w:t>
      </w:r>
      <w:r>
        <w:rPr>
          <w:rFonts w:hint="eastAsia" w:ascii="仿宋" w:hAnsi="仿宋" w:eastAsia="仿宋" w:cs="仿宋"/>
          <w:sz w:val="32"/>
          <w:szCs w:val="32"/>
          <w:lang w:eastAsia="zh-CN"/>
        </w:rPr>
        <w:t>、</w:t>
      </w:r>
      <w:r>
        <w:rPr>
          <w:rFonts w:hint="eastAsia" w:ascii="仿宋" w:hAnsi="仿宋" w:eastAsia="仿宋" w:cs="仿宋"/>
          <w:sz w:val="32"/>
          <w:szCs w:val="32"/>
        </w:rPr>
        <w:t>市</w:t>
      </w:r>
      <w:r>
        <w:rPr>
          <w:rFonts w:hint="eastAsia" w:ascii="仿宋" w:hAnsi="仿宋" w:eastAsia="仿宋" w:cs="仿宋"/>
          <w:sz w:val="32"/>
          <w:szCs w:val="32"/>
          <w:lang w:eastAsia="zh-CN"/>
        </w:rPr>
        <w:t>、</w:t>
      </w:r>
      <w:r>
        <w:rPr>
          <w:rFonts w:hint="eastAsia" w:ascii="仿宋" w:hAnsi="仿宋" w:eastAsia="仿宋" w:cs="仿宋"/>
          <w:sz w:val="30"/>
          <w:szCs w:val="30"/>
        </w:rPr>
        <w:t>县关于防范化解重大风险决策部署，始终把防范化解政府债务风险作为底线任务抓牢抓实，严格在政府债务限额内举债，严控债务增长规模。精准发力，稳妥化解非法集资风险。全年核减风险资金1256.39万元，全县在台账内剩余风险企业1家，剩余风险资金1455.22万元。强化管控，有效压减不良贷款。严格按照法人银行“一行一策”要求，督促两家法人银行机构在资本补充、不良化解等方面加强研判，细化风险处置措施，全年两家法人银行机构共清收、核销不良贷款3.21亿元。循序渐进，持续压降非标债务存量。严格按照“压降存量、严禁新增”的监管要求，坚持对县属国有企业现存的非标定融产品，采取定期监测预警、有序稳妥压降等措施，非标定融产品存量和融资规模稳步下降。</w:t>
      </w:r>
    </w:p>
    <w:p w14:paraId="300F004C">
      <w:pPr>
        <w:pStyle w:val="2"/>
        <w:rPr>
          <w:rFonts w:hint="eastAsia"/>
        </w:rPr>
      </w:pPr>
      <w:r>
        <w:rPr>
          <w:rFonts w:hint="eastAsia" w:ascii="仿宋" w:hAnsi="仿宋" w:eastAsia="仿宋" w:cs="仿宋"/>
          <w:sz w:val="30"/>
          <w:szCs w:val="30"/>
        </w:rPr>
        <w:t>（六）坚持把“强主体、激活力”贯穿始终，全面优化营商环境。持续强化各类惠企政策扶持，精准施策、倾情帮扶，激发各类市场主体活力。2024年县本级预算安排9000万元（工业发展资金1000万元、产业引导信息化资金8000万元）用于企业扩大生产、技改升级、科技创新奖补及招商引资政策兑现等，全年兑现企业各类奖补及招商引资政策6272.07万元。大力推进创业担保贷款稳就业促发展，全年县域金融机构为符合政策规定条件的城镇登记失业人员、就业困难人员（含残疾人）、复员转业退役军人、大学生等人群223户、小微企业3户发放创业担保贷款约5935.5万元，财政贴息约631.5万元，帮助709人实现创业梦想。引导信贷资源向实体经济、小微企业等薄弱环节倾斜，切实解决小微企业融资难、贵、慢问题，2024年全县普惠小微贷款余额50.13亿元，民营企业贷款余额58.71亿元。</w:t>
      </w:r>
    </w:p>
    <w:p w14:paraId="03435542">
      <w:pPr>
        <w:pStyle w:val="2"/>
        <w:rPr>
          <w:rFonts w:hint="eastAsia"/>
        </w:rPr>
      </w:pPr>
      <w:r>
        <w:rPr>
          <w:rFonts w:hint="eastAsia" w:ascii="仿宋" w:hAnsi="仿宋" w:eastAsia="仿宋" w:cs="仿宋"/>
          <w:sz w:val="30"/>
          <w:szCs w:val="30"/>
        </w:rPr>
        <w:t>（七）坚持把“促规范、守规矩”贯穿始终，持续抓好财经 纪律。规范财政管理，严肃财经纪律，不断提升财政治理效能。持续加强制度建设，牵头制定《关于印发贯彻落实〈关于进一步加强财会监督工作的实施方案〉责任分工方案的通知》，为财会监督工作提供制度保障。扎实开展财政监督检查，组织全县各预算单位开展“六项经费”专项检查和地方财经纪律重点问题专项 行动自查工作，利用检查成果提升财政管理水平。强化政府采购监督管理。严格落实“无预算不采购”规定，进一步简化政府采购流程，提高政府采购效率，全县共计开展采购活动295次，执行采购预算18144.84万元，节约资金611.14万元，节约率3.37%。加强政府投资项目管理，高效推进项目评审，全年完成各类项目预算评审279个，送审金额467028.16万元，审定金额413363.99 万元，审减金额53664.17万元，审减率11.49%。加强项目结算审核管理，完成23个200万元以上项目的审核工作，送审金额 27591.30 万元，审定金额26021.64万元，节约资金1569.66万元，审减率5.69%，比2023年多审结8个项目，审减率提升1.96 个百分点，更好地发挥了结算审核的监督作用，规范了各单位政府投资建设项目结算审核行为，提高了项目投资效益。</w:t>
      </w:r>
    </w:p>
    <w:p w14:paraId="66421B06">
      <w:pPr>
        <w:pStyle w:val="2"/>
        <w:rPr>
          <w:rFonts w:hint="eastAsia"/>
        </w:rPr>
      </w:pPr>
      <w:r>
        <w:rPr>
          <w:rFonts w:hint="eastAsia" w:ascii="仿宋" w:hAnsi="仿宋" w:eastAsia="仿宋" w:cs="仿宋"/>
          <w:sz w:val="30"/>
          <w:szCs w:val="30"/>
        </w:rPr>
        <w:t>（八）坚持把“强监管、重实效”贯穿始终，全面深化绩效管理。按照</w:t>
      </w:r>
      <w:r>
        <w:rPr>
          <w:rFonts w:hint="eastAsia" w:ascii="仿宋" w:hAnsi="仿宋" w:eastAsia="仿宋" w:cs="仿宋"/>
          <w:sz w:val="32"/>
          <w:szCs w:val="32"/>
          <w:lang w:val="en-US" w:eastAsia="zh-CN"/>
        </w:rPr>
        <w:t>中央和</w:t>
      </w:r>
      <w:r>
        <w:rPr>
          <w:rFonts w:hint="eastAsia" w:ascii="仿宋" w:hAnsi="仿宋" w:eastAsia="仿宋" w:cs="仿宋"/>
          <w:sz w:val="32"/>
          <w:szCs w:val="32"/>
        </w:rPr>
        <w:t>省</w:t>
      </w:r>
      <w:r>
        <w:rPr>
          <w:rFonts w:hint="eastAsia" w:ascii="仿宋" w:hAnsi="仿宋" w:eastAsia="仿宋" w:cs="仿宋"/>
          <w:sz w:val="32"/>
          <w:szCs w:val="32"/>
          <w:lang w:eastAsia="zh-CN"/>
        </w:rPr>
        <w:t>、</w:t>
      </w:r>
      <w:r>
        <w:rPr>
          <w:rFonts w:hint="eastAsia" w:ascii="仿宋" w:hAnsi="仿宋" w:eastAsia="仿宋" w:cs="仿宋"/>
          <w:sz w:val="32"/>
          <w:szCs w:val="32"/>
        </w:rPr>
        <w:t>市</w:t>
      </w:r>
      <w:r>
        <w:rPr>
          <w:rFonts w:hint="eastAsia" w:ascii="仿宋" w:hAnsi="仿宋" w:eastAsia="仿宋" w:cs="仿宋"/>
          <w:sz w:val="32"/>
          <w:szCs w:val="32"/>
          <w:lang w:eastAsia="zh-CN"/>
        </w:rPr>
        <w:t>、</w:t>
      </w:r>
      <w:r>
        <w:rPr>
          <w:rFonts w:hint="eastAsia" w:ascii="仿宋" w:hAnsi="仿宋" w:eastAsia="仿宋" w:cs="仿宋"/>
          <w:sz w:val="30"/>
          <w:szCs w:val="30"/>
        </w:rPr>
        <w:t>县关于预算绩效管理工作部署要求，深入推进预算绩效管理，所有预算单位纳入预算绩效管理范围，实现了绩效目标与部门预算同步编制，事前评估规范开展，运行监控和绩效自评全覆盖。同时，委托第三方机构对包括蓬溪智慧城市专项债券项目在内的11个项目及“两癌”困境妇女相关经费（政策支出）开展重点绩效评价，评价资金总额2.47亿元。从重点绩效评价情况看，财政资金的使用发挥了民生保障和产业带动的作用，绩效评价工作有力促进了各预算部门树立“讲绩效，重绩效，用绩效”的管理理念和“用钱必问效，无效必问责”的责任主体意识，绩效评价结果作为完善政策、安排预算、改进管理的重要依据，推动建立以绩效为导向的预算管理机制，切实提高财政资金使用效益。</w:t>
      </w:r>
    </w:p>
    <w:p w14:paraId="7DD982C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三、存在主要问题</w:t>
      </w:r>
    </w:p>
    <w:p w14:paraId="4969246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一）财政收入质量不高。我县税源集中度高，重点税源企业纳税稳定性差，规上企业税收贡献不优，招引企业、新增税源不达预期，税收收入减收严重，2024年，我县税收收入为35188万元，同比下降24.87%，税收占比仅为50.49%。</w:t>
      </w:r>
    </w:p>
    <w:p w14:paraId="2301A61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（二）财政保障矛盾突出。随着民生保障水平提高、基础设施建设加快推进以及各项社会事业发展，财政刚性支出需求不断增加。但当前经济形势整体下行，地方财政收入实现</w:t>
      </w:r>
      <w:r>
        <w:rPr>
          <w:rFonts w:hint="eastAsia" w:ascii="仿宋" w:hAnsi="仿宋" w:eastAsia="仿宋" w:cs="仿宋"/>
          <w:sz w:val="30"/>
          <w:szCs w:val="30"/>
          <w:lang w:val="en-US" w:eastAsia="zh-CN"/>
        </w:rPr>
        <w:t>困</w:t>
      </w:r>
      <w:r>
        <w:rPr>
          <w:rFonts w:hint="eastAsia" w:ascii="仿宋" w:hAnsi="仿宋" w:eastAsia="仿宋" w:cs="仿宋"/>
          <w:sz w:val="30"/>
          <w:szCs w:val="30"/>
        </w:rPr>
        <w:t>难，我县财政保障能力面临严峻考验。</w:t>
      </w:r>
    </w:p>
    <w:p w14:paraId="2794FF9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（三）政府债务还本付息压力大。大部分专项债券项目还处于建设期，收益少、上缴财政额度小，导致财政还本付息压力增大。2024年，本级预算安排偿还5.69亿元（本金2.39亿元、利息3.30 亿元），为全县地方一般公共预算收入6.97亿元的 81.64%。</w:t>
      </w:r>
    </w:p>
    <w:p w14:paraId="09AB30F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四、202</w:t>
      </w:r>
      <w:r>
        <w:rPr>
          <w:rFonts w:hint="eastAsia" w:ascii="仿宋" w:hAnsi="仿宋" w:eastAsia="仿宋" w:cs="仿宋"/>
          <w:sz w:val="30"/>
          <w:szCs w:val="30"/>
          <w:lang w:val="en-US" w:eastAsia="zh-CN"/>
        </w:rPr>
        <w:t>5</w:t>
      </w:r>
      <w:r>
        <w:rPr>
          <w:rFonts w:hint="eastAsia" w:ascii="仿宋" w:hAnsi="仿宋" w:eastAsia="仿宋" w:cs="仿宋"/>
          <w:sz w:val="30"/>
          <w:szCs w:val="30"/>
        </w:rPr>
        <w:t>年工作打算</w:t>
      </w:r>
    </w:p>
    <w:p w14:paraId="40937CE0">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稳”字当头，加强财政资源统筹。积极组织财政收入。密切关注宏观经济形势及各项税费政策对财政收入的影响，强化收入形势研判，依法依规拓宽税收来源渠道，持续推动财政收入实现合理增长。积极主动向上争资。紧盯政策动向，精准把握国家和省、市政策导向、资金投向，找准与蓬溪区域发展、产业布局、民生需求的契合点，积极主动向上对接沟通，加强项目谋划包装，确保项目资金争取取得更大突破。</w:t>
      </w:r>
    </w:p>
    <w:p w14:paraId="1A867C70">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精”字施力，规范财政支出顺序。落实过“紧日子”要求。优化支出结构，严格控制一般性支出，大力压减“三公”经费，兜牢兜实“三保”底线，对低效无效资金进行削减或取消，把有限的资金用在刀刃上。强化财政预算约束。坚持“先有预算后有支出”，从严控制预算追加事项，增强预算执行的严肃性。切实保障重点支出。用好地方经济工作“3+2”统筹法，全面梳理各类资金、资源，加大统筹力度，集中财力办大事。加大民生投入，增进民生福祉，优先保障教育、医疗、社保、就业等民生领域的支出；支持重大项目建设，围绕</w:t>
      </w:r>
      <w:r>
        <w:rPr>
          <w:rFonts w:hint="eastAsia" w:ascii="仿宋" w:hAnsi="仿宋" w:eastAsia="仿宋" w:cs="仿宋"/>
          <w:sz w:val="32"/>
          <w:szCs w:val="32"/>
          <w:lang w:val="en-US" w:eastAsia="zh-CN"/>
        </w:rPr>
        <w:t>中央和省委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市委</w:t>
      </w:r>
      <w:r>
        <w:rPr>
          <w:rFonts w:hint="eastAsia" w:ascii="仿宋" w:hAnsi="仿宋" w:eastAsia="仿宋" w:cs="仿宋"/>
          <w:sz w:val="30"/>
          <w:szCs w:val="30"/>
        </w:rPr>
        <w:t>的重大项目，加大资金投入，确保项目顺利推进。</w:t>
      </w:r>
    </w:p>
    <w:p w14:paraId="5514F4C8">
      <w:pPr>
        <w:pStyle w:val="2"/>
        <w:rPr>
          <w:rFonts w:hint="eastAsia" w:eastAsia="仿宋"/>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w:t>
      </w:r>
      <w:r>
        <w:rPr>
          <w:rFonts w:hint="eastAsia" w:ascii="仿宋" w:hAnsi="仿宋" w:eastAsia="仿宋" w:cs="仿宋"/>
          <w:sz w:val="30"/>
          <w:szCs w:val="30"/>
          <w:lang w:eastAsia="zh-CN"/>
        </w:rPr>
        <w:t>）“安”字夯基，强化风险防范化解。严防地方债务风险。加强债务风险的监测和预警，建立健全债务风险监测体系和投融资计划审批机制，加强全口径地方债务监测监管，切实防范债务风险。严防财政资金支付风险。切实加强和规范财政总预算会计基础管理，强化资金拨付审核，保障财政资金安全运行。严防</w:t>
      </w:r>
      <w:r>
        <w:rPr>
          <w:rFonts w:hint="eastAsia" w:ascii="仿宋" w:hAnsi="仿宋" w:eastAsia="仿宋" w:cs="仿宋"/>
          <w:sz w:val="30"/>
          <w:szCs w:val="30"/>
          <w:lang w:val="en-US" w:eastAsia="zh-CN"/>
        </w:rPr>
        <w:t>非法</w:t>
      </w:r>
      <w:r>
        <w:rPr>
          <w:rFonts w:hint="eastAsia" w:ascii="仿宋" w:hAnsi="仿宋" w:eastAsia="仿宋" w:cs="仿宋"/>
          <w:sz w:val="30"/>
          <w:szCs w:val="30"/>
          <w:lang w:eastAsia="zh-CN"/>
        </w:rPr>
        <w:t>集资领域风险，建立健全金融监管体系，对风险早识别、早预警、早暴露、早处置，稳妥化解非法集资风险。</w:t>
      </w:r>
    </w:p>
    <w:p w14:paraId="365A78D6">
      <w:pPr>
        <w:pStyle w:val="2"/>
        <w:rPr>
          <w:rFonts w:hint="eastAsia" w:eastAsia="仿宋"/>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四</w:t>
      </w:r>
      <w:r>
        <w:rPr>
          <w:rFonts w:hint="eastAsia" w:ascii="仿宋" w:hAnsi="仿宋" w:eastAsia="仿宋" w:cs="仿宋"/>
          <w:sz w:val="30"/>
          <w:szCs w:val="30"/>
          <w:lang w:eastAsia="zh-CN"/>
        </w:rPr>
        <w:t>）“优”字定向，深化财政改革攻坚</w:t>
      </w:r>
      <w:bookmarkStart w:id="0" w:name="_GoBack"/>
      <w:bookmarkEnd w:id="0"/>
      <w:r>
        <w:rPr>
          <w:rFonts w:hint="eastAsia" w:ascii="仿宋" w:hAnsi="仿宋" w:eastAsia="仿宋" w:cs="仿宋"/>
          <w:sz w:val="30"/>
          <w:szCs w:val="30"/>
          <w:lang w:eastAsia="zh-CN"/>
        </w:rPr>
        <w:t>。持续推进预算管理改革。推动数字财政建设，深化财政信息系统一体化建设和整合，保持财政业务数据纵横贯通，实现对预算单位预算执行情况的动态管理。持续深化预算绩效管理改革。以“全方位、全过程、全覆盖”为目标，坚持“花钱必问效、无效必问责”理念，严把事前、事中、事后“三关”，将绩效评价结果作为下一年增减预算安排、调整支持方向的重要参考，倒逼财政资金使用提质增效。</w:t>
      </w:r>
    </w:p>
    <w:p w14:paraId="121A9B4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以上</w:t>
      </w:r>
      <w:r>
        <w:rPr>
          <w:rFonts w:hint="eastAsia" w:ascii="仿宋" w:hAnsi="仿宋" w:eastAsia="仿宋" w:cs="仿宋"/>
          <w:sz w:val="30"/>
          <w:szCs w:val="30"/>
          <w:lang w:val="en-US" w:eastAsia="zh-CN"/>
        </w:rPr>
        <w:t>报告</w:t>
      </w:r>
      <w:r>
        <w:rPr>
          <w:rFonts w:hint="eastAsia" w:ascii="仿宋" w:hAnsi="仿宋" w:eastAsia="仿宋" w:cs="仿宋"/>
          <w:sz w:val="30"/>
          <w:szCs w:val="30"/>
        </w:rPr>
        <w:t>，请予</w:t>
      </w:r>
      <w:r>
        <w:rPr>
          <w:rFonts w:hint="eastAsia" w:ascii="仿宋" w:hAnsi="仿宋" w:eastAsia="仿宋" w:cs="仿宋"/>
          <w:sz w:val="30"/>
          <w:szCs w:val="30"/>
          <w:lang w:val="en-US" w:eastAsia="zh-CN"/>
        </w:rPr>
        <w:t>审议</w:t>
      </w:r>
      <w:r>
        <w:rPr>
          <w:rFonts w:hint="eastAsia" w:ascii="仿宋" w:hAnsi="仿宋" w:eastAsia="仿宋" w:cs="仿宋"/>
          <w:sz w:val="30"/>
          <w:szCs w:val="30"/>
        </w:rPr>
        <w:t>。</w:t>
      </w:r>
    </w:p>
    <w:p w14:paraId="2E5B7D4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sz w:val="24"/>
          <w:szCs w:val="24"/>
        </w:rPr>
      </w:pPr>
    </w:p>
    <w:p w14:paraId="56875E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sz w:val="24"/>
          <w:szCs w:val="24"/>
        </w:rPr>
      </w:pPr>
    </w:p>
    <w:p w14:paraId="3E1BCE9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sz w:val="24"/>
          <w:szCs w:val="24"/>
        </w:rPr>
      </w:pPr>
    </w:p>
    <w:p w14:paraId="3C37A42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sz w:val="24"/>
          <w:szCs w:val="24"/>
        </w:rPr>
      </w:pPr>
    </w:p>
    <w:p w14:paraId="0AC7D7D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sz w:val="24"/>
          <w:szCs w:val="24"/>
        </w:rPr>
      </w:pPr>
    </w:p>
    <w:p w14:paraId="158377D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sz w:val="24"/>
          <w:szCs w:val="24"/>
        </w:rPr>
      </w:pPr>
    </w:p>
    <w:p w14:paraId="7C8C04C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sz w:val="24"/>
          <w:szCs w:val="24"/>
        </w:rPr>
      </w:pPr>
    </w:p>
    <w:p w14:paraId="737598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p>
    <w:p w14:paraId="2A8E7A1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p>
    <w:p w14:paraId="50CD587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p>
    <w:p w14:paraId="5BD715C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p>
    <w:p w14:paraId="4E6AF52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p>
    <w:p w14:paraId="61D70A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p>
    <w:p w14:paraId="2AEC027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p>
    <w:p w14:paraId="711B722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p>
    <w:p w14:paraId="2310B39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p>
    <w:p w14:paraId="2B81F91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p>
    <w:p w14:paraId="55487E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p>
    <w:p w14:paraId="6266B54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p>
    <w:p w14:paraId="299B616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b/>
          <w:bCs/>
          <w:sz w:val="30"/>
          <w:szCs w:val="30"/>
        </w:rPr>
      </w:pPr>
      <w:r>
        <w:rPr>
          <w:rFonts w:ascii="宋体" w:hAnsi="宋体" w:eastAsia="宋体" w:cs="宋体"/>
          <w:b/>
          <w:bCs/>
          <w:sz w:val="30"/>
          <w:szCs w:val="30"/>
        </w:rPr>
        <w:t>附件2</w:t>
      </w:r>
    </w:p>
    <w:p w14:paraId="7747CDA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center"/>
        <w:textAlignment w:val="auto"/>
        <w:rPr>
          <w:rFonts w:ascii="宋体" w:hAnsi="宋体" w:eastAsia="宋体" w:cs="宋体"/>
          <w:b/>
          <w:bCs/>
          <w:sz w:val="24"/>
          <w:szCs w:val="24"/>
        </w:rPr>
      </w:pPr>
    </w:p>
    <w:p w14:paraId="1B53DE2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center"/>
        <w:textAlignment w:val="auto"/>
        <w:rPr>
          <w:rFonts w:ascii="宋体" w:hAnsi="宋体" w:eastAsia="宋体" w:cs="宋体"/>
          <w:b/>
          <w:bCs/>
          <w:sz w:val="44"/>
          <w:szCs w:val="44"/>
        </w:rPr>
      </w:pPr>
      <w:r>
        <w:rPr>
          <w:rFonts w:ascii="宋体" w:hAnsi="宋体" w:eastAsia="宋体" w:cs="宋体"/>
          <w:b/>
          <w:bCs/>
          <w:sz w:val="44"/>
          <w:szCs w:val="44"/>
        </w:rPr>
        <w:t>蓬溪县人大常委会预算工作委员会</w:t>
      </w:r>
    </w:p>
    <w:p w14:paraId="51FF6A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center"/>
        <w:textAlignment w:val="auto"/>
        <w:rPr>
          <w:rFonts w:hint="default" w:ascii="宋体" w:hAnsi="宋体" w:eastAsia="宋体" w:cs="宋体"/>
          <w:b/>
          <w:bCs/>
          <w:sz w:val="44"/>
          <w:szCs w:val="44"/>
          <w:lang w:val="en-US" w:eastAsia="zh-CN"/>
        </w:rPr>
      </w:pPr>
      <w:r>
        <w:rPr>
          <w:rFonts w:ascii="宋体" w:hAnsi="宋体" w:eastAsia="宋体" w:cs="宋体"/>
          <w:b/>
          <w:bCs/>
          <w:sz w:val="44"/>
          <w:szCs w:val="44"/>
        </w:rPr>
        <w:t>关于蓬溪县202</w:t>
      </w:r>
      <w:r>
        <w:rPr>
          <w:rFonts w:hint="eastAsia" w:ascii="宋体" w:hAnsi="宋体" w:eastAsia="宋体" w:cs="宋体"/>
          <w:b/>
          <w:bCs/>
          <w:sz w:val="44"/>
          <w:szCs w:val="44"/>
          <w:lang w:val="en-US" w:eastAsia="zh-CN"/>
        </w:rPr>
        <w:t>4</w:t>
      </w:r>
      <w:r>
        <w:rPr>
          <w:rFonts w:ascii="宋体" w:hAnsi="宋体" w:eastAsia="宋体" w:cs="宋体"/>
          <w:b/>
          <w:bCs/>
          <w:sz w:val="44"/>
          <w:szCs w:val="44"/>
        </w:rPr>
        <w:t>年县级决算草案的</w:t>
      </w:r>
      <w:r>
        <w:rPr>
          <w:rFonts w:hint="eastAsia" w:ascii="宋体" w:hAnsi="宋体" w:eastAsia="宋体" w:cs="宋体"/>
          <w:b/>
          <w:bCs/>
          <w:sz w:val="44"/>
          <w:szCs w:val="44"/>
          <w:lang w:val="en-US" w:eastAsia="zh-CN"/>
        </w:rPr>
        <w:t>审查结果</w:t>
      </w:r>
    </w:p>
    <w:p w14:paraId="5153328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center"/>
        <w:textAlignment w:val="auto"/>
        <w:rPr>
          <w:rFonts w:ascii="宋体" w:hAnsi="宋体" w:eastAsia="宋体" w:cs="宋体"/>
          <w:b/>
          <w:bCs/>
          <w:sz w:val="44"/>
          <w:szCs w:val="44"/>
        </w:rPr>
      </w:pPr>
      <w:r>
        <w:rPr>
          <w:rFonts w:ascii="宋体" w:hAnsi="宋体" w:eastAsia="宋体" w:cs="宋体"/>
          <w:b/>
          <w:bCs/>
          <w:sz w:val="44"/>
          <w:szCs w:val="44"/>
        </w:rPr>
        <w:t>报告</w:t>
      </w:r>
    </w:p>
    <w:p w14:paraId="5DEEB1A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center"/>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年7月</w:t>
      </w:r>
      <w:r>
        <w:rPr>
          <w:rFonts w:hint="eastAsia" w:ascii="仿宋" w:hAnsi="仿宋" w:eastAsia="仿宋" w:cs="仿宋"/>
          <w:sz w:val="30"/>
          <w:szCs w:val="30"/>
          <w:lang w:val="en-US" w:eastAsia="zh-CN"/>
        </w:rPr>
        <w:t>28</w:t>
      </w:r>
      <w:r>
        <w:rPr>
          <w:rFonts w:hint="eastAsia" w:ascii="仿宋" w:hAnsi="仿宋" w:eastAsia="仿宋" w:cs="仿宋"/>
          <w:sz w:val="30"/>
          <w:szCs w:val="30"/>
        </w:rPr>
        <w:t>日在蓬溪县第十九届人民代表大会常务委员会</w:t>
      </w:r>
    </w:p>
    <w:p w14:paraId="30C543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center"/>
        <w:textAlignment w:val="auto"/>
        <w:rPr>
          <w:rFonts w:hint="eastAsia" w:ascii="仿宋" w:hAnsi="仿宋" w:eastAsia="仿宋" w:cs="仿宋"/>
          <w:sz w:val="30"/>
          <w:szCs w:val="30"/>
        </w:rPr>
      </w:pPr>
      <w:r>
        <w:rPr>
          <w:rFonts w:hint="eastAsia" w:ascii="仿宋" w:hAnsi="仿宋" w:eastAsia="仿宋" w:cs="仿宋"/>
          <w:sz w:val="30"/>
          <w:szCs w:val="30"/>
        </w:rPr>
        <w:t>第</w:t>
      </w:r>
      <w:r>
        <w:rPr>
          <w:rFonts w:hint="eastAsia" w:ascii="仿宋" w:hAnsi="仿宋" w:eastAsia="仿宋" w:cs="仿宋"/>
          <w:sz w:val="30"/>
          <w:szCs w:val="30"/>
          <w:lang w:val="en-US" w:eastAsia="zh-CN"/>
        </w:rPr>
        <w:t>三十九</w:t>
      </w:r>
      <w:r>
        <w:rPr>
          <w:rFonts w:hint="eastAsia" w:ascii="仿宋" w:hAnsi="仿宋" w:eastAsia="仿宋" w:cs="仿宋"/>
          <w:sz w:val="30"/>
          <w:szCs w:val="30"/>
        </w:rPr>
        <w:t>次会议上</w:t>
      </w:r>
    </w:p>
    <w:p w14:paraId="1BA3E9C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ascii="宋体" w:hAnsi="宋体" w:eastAsia="宋体" w:cs="宋体"/>
          <w:sz w:val="24"/>
          <w:szCs w:val="24"/>
        </w:rPr>
      </w:pPr>
    </w:p>
    <w:p w14:paraId="553FF44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jc w:val="left"/>
        <w:textAlignment w:val="auto"/>
        <w:rPr>
          <w:rFonts w:hint="eastAsia" w:ascii="仿宋" w:hAnsi="仿宋" w:eastAsia="仿宋" w:cs="仿宋"/>
          <w:sz w:val="32"/>
          <w:szCs w:val="32"/>
        </w:rPr>
      </w:pPr>
      <w:r>
        <w:rPr>
          <w:rFonts w:hint="eastAsia" w:ascii="仿宋" w:hAnsi="仿宋" w:eastAsia="仿宋" w:cs="仿宋"/>
          <w:sz w:val="32"/>
          <w:szCs w:val="32"/>
        </w:rPr>
        <w:t>县人大常委会：</w:t>
      </w:r>
    </w:p>
    <w:p w14:paraId="03DF00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县人民政府提请县人大常委会审议《关于蓬溪县2024年县 级财政决算（草案）情况的报告》和《关于蓬溪县2024年度县本级财政预算执行和其他财政收支情况的审计工作报告》。7</w:t>
      </w:r>
      <w:r>
        <w:rPr>
          <w:rFonts w:hint="eastAsia" w:ascii="仿宋" w:hAnsi="仿宋" w:eastAsia="仿宋" w:cs="仿宋"/>
          <w:sz w:val="32"/>
          <w:szCs w:val="32"/>
          <w:lang w:val="en-US" w:eastAsia="zh-CN"/>
        </w:rPr>
        <w:t>月</w:t>
      </w:r>
      <w:r>
        <w:rPr>
          <w:rFonts w:hint="eastAsia" w:ascii="仿宋" w:hAnsi="仿宋" w:eastAsia="仿宋" w:cs="仿宋"/>
          <w:sz w:val="32"/>
          <w:szCs w:val="32"/>
        </w:rPr>
        <w:t>上旬，县人大常委会预算工委结合审计工作报告及常委会财经咨 询专家集中审查决算草案意见，对2024年县级决算草案及报告 提出了研究意见，县财政局对研究意见进行了研究反馈，研究意见和反馈的研究处理情况报告已印发会议，现将审查结果报告如下：</w:t>
      </w:r>
    </w:p>
    <w:p w14:paraId="60A7BFB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2024 年县级决算草案反映，地方一般公共预算收入69699万元，下降14.24%；加上上级补助收入、上年结余、调入资金、 一般债务转贷收入、动用预算稳定调节基金，收入总量556002万元。一般公共预算支出450022万元，增长5.26%。收入总量减去当年支出、上解上级支出、一般债务还本支出、安排预算稳定调节基金等524727万元后，结转下年支出31275万元。县</w:t>
      </w:r>
      <w:r>
        <w:rPr>
          <w:rFonts w:hint="eastAsia" w:ascii="仿宋" w:hAnsi="仿宋" w:eastAsia="仿宋" w:cs="仿宋"/>
          <w:sz w:val="32"/>
          <w:szCs w:val="32"/>
          <w:lang w:val="en-US" w:eastAsia="zh-CN"/>
        </w:rPr>
        <w:t>级</w:t>
      </w:r>
      <w:r>
        <w:rPr>
          <w:rFonts w:hint="eastAsia" w:ascii="仿宋" w:hAnsi="仿宋" w:eastAsia="仿宋" w:cs="仿宋"/>
          <w:sz w:val="32"/>
          <w:szCs w:val="32"/>
        </w:rPr>
        <w:t>政府性基金预算收入71663万元，下降19.83%；加上上级补助收入、上年结余、调入资金、专项债务转贷收入，收入总量307538万元。政府性基金预算支出209143万元，下降25.86%。收入总量减去当年支出、专项债务还本支出等259923万元后，结转下年支出47615万元。县级国有资本经营预算收入314万元，增长109.33%；加上上级补助收入、上年结余，收入总量420万元。国有资本经营预算支出220万元，增长109.52%。收入总量减去当年支出、调出资金等314万元后，结转下年支出106万元。</w:t>
      </w:r>
    </w:p>
    <w:p w14:paraId="2EA6AE9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2024 年末，地方政府债务余额1093313万元，其中一般债 务412612万元、专项债务680701万元，控制在核定的债务限额 1162045万元以内。</w:t>
      </w:r>
    </w:p>
    <w:p w14:paraId="208AE2E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2024 年县级决算草案与向县十九届人大五次会议报告的县级预算执行数相比：一般公共预算的决算收入总量增加1万元， 主要是上级补助收入增加1万元；一般公共预算的决算支出总量增加1万元，主要是上解上级支出增加48万元、安排预算稳定调节基金减少47万元；收支品迭后，一般公共预算结转下年支出不变。政府性基金预算、国有资本经营预算收支决算数均与人代会批准的执行数一致。</w:t>
      </w:r>
    </w:p>
    <w:p w14:paraId="0D21B8A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预算工委认为，2024年，在县委的坚强领导下，县人民政 府及其财政等部门坚持以习近平新时代中国特色社会主义思想为指导，全面贯彻落实党的二十大和二十届二中、三中全会精神，落实</w:t>
      </w:r>
      <w:r>
        <w:rPr>
          <w:rFonts w:hint="eastAsia" w:ascii="仿宋" w:hAnsi="仿宋" w:eastAsia="仿宋" w:cs="仿宋"/>
          <w:sz w:val="32"/>
          <w:szCs w:val="32"/>
          <w:lang w:val="en-US" w:eastAsia="zh-CN"/>
        </w:rPr>
        <w:t>中央和</w:t>
      </w:r>
      <w:r>
        <w:rPr>
          <w:rFonts w:hint="eastAsia" w:ascii="仿宋" w:hAnsi="仿宋" w:eastAsia="仿宋" w:cs="仿宋"/>
          <w:sz w:val="32"/>
          <w:szCs w:val="32"/>
        </w:rPr>
        <w:t>省</w:t>
      </w:r>
      <w:r>
        <w:rPr>
          <w:rFonts w:hint="eastAsia" w:ascii="仿宋" w:hAnsi="仿宋" w:eastAsia="仿宋" w:cs="仿宋"/>
          <w:sz w:val="32"/>
          <w:szCs w:val="32"/>
          <w:lang w:eastAsia="zh-CN"/>
        </w:rPr>
        <w:t>、</w:t>
      </w:r>
      <w:r>
        <w:rPr>
          <w:rFonts w:hint="eastAsia" w:ascii="仿宋" w:hAnsi="仿宋" w:eastAsia="仿宋" w:cs="仿宋"/>
          <w:sz w:val="32"/>
          <w:szCs w:val="32"/>
        </w:rPr>
        <w:t>市决策部署和十九届人大四次会议有关决议要求，坚持稳中求进工作总基调，落实更加精准积极的财政政策，推动稳经济政策措施落地生效，坚持党政机关习惯过紧日子，兜牢兜实“三保”底线，优先保障重点民生支出，全力支持重点项目和重大产业发展，加强财政风险防控，按期归还债务本息，牢牢守住了财政金融风险底线，确保财政经济平稳运行。县审计局紧紧围绕县委中心工作，对2024年度县本级财政预算执行和其他财政收支依法开展审计，审计工作报告比较全面和客观地指出了预算执行、政府投资项目竣工结算办理、民生领域、国有企业、国有资产管理等方面存在的一些突出问题，并从提升财政资金使用绩效、加强国有资产监管、严控政府投资风险、守住民生保障底线等方面提出了针对性较强的建议，在促进经济健康发展、揭示风险隐患等方面发挥了积极作用。对审计报告中反映的问题和提出的建议，有关部门要高度重视，认真扎实做好整改工作。按照有关法律条例规定，县人民政府在今年年底前向县人大常委会报告审计查出问题整改情况。</w:t>
      </w:r>
    </w:p>
    <w:p w14:paraId="0AE452C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 预算工委认为，2024年县级决算情况总体较好，符合预算法规定。建议县人大常委会同意县人民政府提出的《关于蓬溪县2024年县级财政决算（草案）情况的报告》，批准2024年县级决算草案。</w:t>
      </w:r>
    </w:p>
    <w:p w14:paraId="6096A77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预算工委认为，2024年县级决算和审计工作报告也反映出 财政预算管理、财政政策落实中存在的一些问题。主要有：收入质量显著下降、结余资金难以保障、暂付款消化不到位、专户管理不到位、债券资金使用偏慢、部门预算调整比例较大、部门绩效管理实效性不强、部门科目分类不科学。</w:t>
      </w:r>
    </w:p>
    <w:p w14:paraId="1AEEBD6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为深入贯彻落实</w:t>
      </w:r>
      <w:r>
        <w:rPr>
          <w:rFonts w:hint="eastAsia" w:ascii="仿宋" w:hAnsi="仿宋" w:eastAsia="仿宋" w:cs="仿宋"/>
          <w:sz w:val="32"/>
          <w:szCs w:val="32"/>
          <w:lang w:val="en-US" w:eastAsia="zh-CN"/>
        </w:rPr>
        <w:t>中央和</w:t>
      </w:r>
      <w:r>
        <w:rPr>
          <w:rFonts w:hint="eastAsia" w:ascii="仿宋" w:hAnsi="仿宋" w:eastAsia="仿宋" w:cs="仿宋"/>
          <w:sz w:val="32"/>
          <w:szCs w:val="32"/>
        </w:rPr>
        <w:t>省</w:t>
      </w:r>
      <w:r>
        <w:rPr>
          <w:rFonts w:hint="eastAsia" w:ascii="仿宋" w:hAnsi="仿宋" w:eastAsia="仿宋" w:cs="仿宋"/>
          <w:sz w:val="32"/>
          <w:szCs w:val="32"/>
          <w:lang w:eastAsia="zh-CN"/>
        </w:rPr>
        <w:t>、</w:t>
      </w:r>
      <w:r>
        <w:rPr>
          <w:rFonts w:hint="eastAsia" w:ascii="仿宋" w:hAnsi="仿宋" w:eastAsia="仿宋" w:cs="仿宋"/>
          <w:sz w:val="32"/>
          <w:szCs w:val="32"/>
        </w:rPr>
        <w:t>市</w:t>
      </w:r>
      <w:r>
        <w:rPr>
          <w:rFonts w:hint="eastAsia" w:ascii="仿宋" w:hAnsi="仿宋" w:eastAsia="仿宋" w:cs="仿宋"/>
          <w:sz w:val="32"/>
          <w:szCs w:val="32"/>
          <w:lang w:eastAsia="zh-CN"/>
        </w:rPr>
        <w:t>、</w:t>
      </w:r>
      <w:r>
        <w:rPr>
          <w:rFonts w:hint="eastAsia" w:ascii="仿宋" w:hAnsi="仿宋" w:eastAsia="仿宋" w:cs="仿宋"/>
          <w:sz w:val="32"/>
          <w:szCs w:val="32"/>
        </w:rPr>
        <w:t>县决策部署，全面贯彻实施监督法、预算法、预算审查监督条例和县人大及其常委会有关预算决议等要求，进一步做好财政预算和审计监督工作，预算工委提出以下意见建议：</w:t>
      </w:r>
    </w:p>
    <w:p w14:paraId="54EB5A53">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2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积极培育涵养税源，增强财政保障能力持续加强重点税源、重点税种和重点项目的税收征管，密切跟踪减税降费实施情况，做到应征尽征、应免尽免、能减则减、应退尽退、能缓则缓，降低实体经济成本负担，确保政策执行到位。运用减税降费政策红利，支持引导企业加大科技创新投入，加快传统产业改造提升和新兴产业的培育发展，助力企业提质增效。积极培育涵养税源，不断厚植税基，提高收入质量。</w:t>
      </w:r>
    </w:p>
    <w:p w14:paraId="30F6B08B">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2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提升预算管理效能，强化预算刚性约束 加力提效实施积极的财政政策，在合理增加和优化支出上再下功夫，严控暂付款新增规模，坚持“无预算不支出”理念，强化预算约束。加强结转项目支出排查，对可做可不做的项目坚决不做，对必须做的项目，统筹资金适时安排。推深做实绩效管理，将绩效理念融入预算管理全过程。严格国债资金管理使用，专户存储，专款专用，确保项目顺利推进。</w:t>
      </w:r>
    </w:p>
    <w:p w14:paraId="779D99B2">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2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加强债务风险管控，提高债券支出进度 持续做强债务管控，实时监控债务规模、债务结构和偿债能力，坚持控增化存，加强债务监测，及时识别和防范债务风险隐患。做好政府债券项目管理，提升项目可行性、必要性，增加项目精准度、成熟度，有效降低债务风险隐患。要提高债券资金使用效益，科学合理统筹资金，加快债券资金支出进度，做好债券资金项目建设跟踪监管，高效推进项目建设。</w:t>
      </w:r>
    </w:p>
    <w:p w14:paraId="184F85CA">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2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加强财经纪律监督，提高财会管理水平强化财政监督、严肃财经纪律、规范财经秩序，围绕预算编制、预算执行、国库集中支付、政府采购、政府投融资评审等重要环节，优化方式方法、加强问责问效，不断推进完善财政监督体系。强化对预算部门财务的督促指导，聚焦财政体制改革、党政机关习惯过紧日子要求、预算绩效管理等重点，组织开展财务培训，提高财会管理水平。</w:t>
      </w:r>
    </w:p>
    <w:p w14:paraId="26A622FE">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2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发挥审计监督作用，扎实推进审计整改紧紧围绕县委、县政府中心工作，加大对重大政策落实、重大专项资金使用等方面的审计工作力度。加强对预算管理绩效和落实过紧日子要求的审计监督，强化对国有资产管理情况、政府债务管理情况的审计监督。深入分析审计发现问题背后的体制机制原因，提高审计监督质量。加强审计监督、纪检监察监督、财会监督、人大监督的贯通协同，形成监督合力，一体推进做好审计整改“下半篇”文章。</w:t>
      </w:r>
    </w:p>
    <w:p w14:paraId="1A1E4D0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20" w:leftChars="0" w:firstLine="640" w:firstLineChars="200"/>
        <w:jc w:val="left"/>
        <w:textAlignment w:val="auto"/>
        <w:rPr>
          <w:rFonts w:hint="eastAsia" w:ascii="仿宋" w:hAnsi="仿宋" w:eastAsia="仿宋" w:cs="仿宋"/>
          <w:bCs/>
          <w:spacing w:val="-11"/>
          <w:sz w:val="32"/>
          <w:szCs w:val="32"/>
        </w:rPr>
      </w:pPr>
      <w:r>
        <w:rPr>
          <w:rFonts w:hint="eastAsia" w:ascii="仿宋" w:hAnsi="仿宋" w:eastAsia="仿宋" w:cs="仿宋"/>
          <w:sz w:val="32"/>
          <w:szCs w:val="32"/>
        </w:rPr>
        <w:t>以上报告，请予审议。</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45D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58C10">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558C10">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7B4CB1"/>
    <w:multiLevelType w:val="singleLevel"/>
    <w:tmpl w:val="497B4CB1"/>
    <w:lvl w:ilvl="0" w:tentative="0">
      <w:start w:val="1"/>
      <w:numFmt w:val="chineseCounting"/>
      <w:suff w:val="nothing"/>
      <w:lvlText w:val="（%1）"/>
      <w:lvlJc w:val="left"/>
      <w:rPr>
        <w:rFonts w:hint="eastAsia"/>
      </w:rPr>
    </w:lvl>
  </w:abstractNum>
  <w:abstractNum w:abstractNumId="1">
    <w:nsid w:val="6100AB33"/>
    <w:multiLevelType w:val="singleLevel"/>
    <w:tmpl w:val="6100AB33"/>
    <w:lvl w:ilvl="0" w:tentative="0">
      <w:start w:val="2"/>
      <w:numFmt w:val="chineseCounting"/>
      <w:suff w:val="nothing"/>
      <w:lvlText w:val="（%1）"/>
      <w:lvlJc w:val="left"/>
      <w:rPr>
        <w:rFonts w:hint="eastAsia"/>
      </w:rPr>
    </w:lvl>
  </w:abstractNum>
  <w:abstractNum w:abstractNumId="2">
    <w:nsid w:val="711C7ED1"/>
    <w:multiLevelType w:val="singleLevel"/>
    <w:tmpl w:val="711C7ED1"/>
    <w:lvl w:ilvl="0" w:tentative="0">
      <w:start w:val="1"/>
      <w:numFmt w:val="chineseCounting"/>
      <w:suff w:val="nothing"/>
      <w:lvlText w:val="%1、"/>
      <w:lvlJc w:val="left"/>
      <w:pPr>
        <w:ind w:left="120" w:leftChars="0" w:firstLine="0" w:firstLineChars="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NjMzMDMxYTM1ZGY4NDNkZTk3M2Q0MzhhZmI5Y2IifQ=="/>
  </w:docVars>
  <w:rsids>
    <w:rsidRoot w:val="1C1B7973"/>
    <w:rsid w:val="040252C1"/>
    <w:rsid w:val="09EB7CA7"/>
    <w:rsid w:val="10260EA8"/>
    <w:rsid w:val="1361772B"/>
    <w:rsid w:val="163C175D"/>
    <w:rsid w:val="1C1B7973"/>
    <w:rsid w:val="29FA6504"/>
    <w:rsid w:val="320F6599"/>
    <w:rsid w:val="480037BE"/>
    <w:rsid w:val="48C861C6"/>
    <w:rsid w:val="4BA56A66"/>
    <w:rsid w:val="56656494"/>
    <w:rsid w:val="5FC22DD0"/>
    <w:rsid w:val="60477BA7"/>
    <w:rsid w:val="6BCC55E2"/>
    <w:rsid w:val="6D45667A"/>
    <w:rsid w:val="77A023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eastAsia="方正仿宋简体"/>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Body Text First Indent 2"/>
    <w:basedOn w:val="9"/>
    <w:qFormat/>
    <w:uiPriority w:val="0"/>
    <w:pPr>
      <w:ind w:firstLine="420" w:firstLineChars="200"/>
    </w:pPr>
  </w:style>
  <w:style w:type="paragraph" w:customStyle="1" w:styleId="9">
    <w:name w:val="Body Text Indent"/>
    <w:basedOn w:val="1"/>
    <w:qFormat/>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5246</Words>
  <Characters>5838</Characters>
  <Lines>0</Lines>
  <Paragraphs>0</Paragraphs>
  <TotalTime>5</TotalTime>
  <ScaleCrop>false</ScaleCrop>
  <LinksUpToDate>false</LinksUpToDate>
  <CharactersWithSpaces>5838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2022-09-20T07:55:00Z</dcterms:created>
  <dc:creator>要得</dc:creator>
  <cp:lastModifiedBy> </cp:lastModifiedBy>
  <dcterms:modified xsi:type="dcterms:W3CDTF">2025-08-05T02:33:42Z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800371D6B2084B51A718E0AF441B9A75</vt:lpwstr>
  </property>
</Properties>
</file>