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2024年蓬溪县财政局预算绩效管理工作</w:t>
      </w:r>
    </w:p>
    <w:p w14:paraId="7005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开展情况</w:t>
      </w:r>
    </w:p>
    <w:p w14:paraId="025F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9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2024年，蓬溪县财政局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紧紧围绕财政预算管理主线，坚持“管资金必须管绩效和监督、管项目必须管绩效和监督、管政策必须管绩效和监督”，不断提高绩效监督工作质效，全力确保财政支出的有效性和安全性。全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面建成管理层级全方位、管理链条全过程、公共资金全覆盖的预算绩效管理体系，实现预算和绩效管理一体化。</w:t>
      </w:r>
    </w:p>
    <w:p w14:paraId="4608B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一、工作开展情况</w:t>
      </w:r>
    </w:p>
    <w:p w14:paraId="7C7C4E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（一）建立指标体系。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推动我县预算绩效管理工作，提升标准化、规范化管理水平，我局按照内容完整、层次分明、量化可行、分析可比的原则，制定《蓬溪县2024年共性绩效指标体系》，建立了会议培训、新闻宣传、政策研究、大型活动、基建工程等15类共性绩效指标，为全县各部门（单位）在编制绩效目标、绩效运行监控和绩效评价等方面提供了重要参考，更好地提高绩效管理工作质量。</w:t>
      </w:r>
    </w:p>
    <w:p w14:paraId="0056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（二）做细目标管理。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预算“同步编制、同步审核、同步上会、同步批复”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县财政局印发了《蓬溪县财政局关于编制2024年部门预算绩效目标的通知》，组织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编制了部门整体支出绩效目标表和项目支出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目标表，将绩效目标设置作为项目支出预算资金安排的前置条件，实现了绩效目标编制全覆盖。</w:t>
      </w:r>
    </w:p>
    <w:p w14:paraId="25E2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（三）做好事前评估。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财政局委托第三方机构对新增的8个项目开展事前绩效评估工作。第三方机构运用科学合理的评估方法，对预算项目的立项必要性、投入经济性、绩效目标合理性、实施方案可行性和筹资合规性等内容进行了全面评估。评估后，2个项目“不予以支持”，2个项目“部分支持”，压减预算资金560万元，压减率为36.64%。</w:t>
      </w:r>
    </w:p>
    <w:p w14:paraId="799E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（四）做实运行监控。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采取线上和线下双监控的方式，对全县92个一级预算单位的2024年1-9月预算执行进度和绩效目标（产出指标）实现程度开展“双监控”，对存在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绩效目标偏差和管理漏洞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及时采取措施予以纠正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实现绩效监控全覆盖。同时，选取县住建局、县民政局、县教体局、县水利局等4个单位的部门支出，以及困难残疾人生活补贴金、普通高中免学费、小型水库除险加固工程勘察设计等9个项目支出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财政重点绩效运行监控，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具绩效监控报告和《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绩效运行监控综合意见反馈表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》，并制定整改通知，要求相关部门（单位）及时整改，按时报送整改情况报告。</w:t>
      </w:r>
    </w:p>
    <w:p w14:paraId="1D9E64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（五）做全事后评价。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印发绩效自评工作方案，明确工作内容和工作时限，部门支出、项目支出和政策支出绩效自评覆盖率达100%。在部门自评基础上，县财政局选取10个项目支出进行重点抽查，形成了工作底稿和审核意见稿。同时，按照“资金量大、代表性强、社会关注度高”原则，选取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学校食堂劳务费、县级财政衔接推进乡村振兴补助资金”等12个项目（政策）支出开展重点绩效评价，涉及项目资金24721万元；对县委组织部、县自规局、县退役军人事务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局等10个单位开展部门支出重点绩效评价。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重点绩效评价范围实现了本级预算类型全覆盖，并向行政事业性资产、政府购买服务、政府采购和政府债券项目等重点领域拓展。</w:t>
      </w:r>
    </w:p>
    <w:p w14:paraId="6541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（六）做深</w:t>
      </w:r>
      <w:r>
        <w:rPr>
          <w:rFonts w:hint="eastAsia" w:ascii="楷体_GB2312" w:hAnsi="楷体_GB2312" w:eastAsia="楷体_GB2312" w:cs="楷体_GB2312"/>
          <w:sz w:val="32"/>
          <w:szCs w:val="32"/>
        </w:rPr>
        <w:t>结果应用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蓬溪县县级财政预算绩效管理结果应用暂行办法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》规定，将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财政重点绩效评价结果作为调整预算项目、资金规模、支出方向的重要依据，并作为下年度预算安排的重要决策支撑，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对评价结果为“优”的项目（政策）予以保障，对评价结果为“良”的项目不予增加预算，对评价结果为“中”的项目予以压减预算资金，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切实提高财政资金的使用效益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。对评价发现的问题，及时印发整改通知，要求各相关部门制定整改方案，落实整改责任，明确整改措施，对绩效评价中发现的问题整改到位，不断改进预算绩效管理工作，提高财政资金使用效益。</w:t>
      </w:r>
    </w:p>
    <w:p w14:paraId="341A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（七）做精业务培训。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2024年5月，蓬溪县财政局组织开展了预算绩效管理业务专题培训会，结合年初预算编制工作，重点对中央和省、市县预算绩效管理相关文件、绩效自评的线上操作流程、绩效自评撰写等方面进行了培训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通过业务培训，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不断提高各部门（单位）预算绩效管理工作水平。</w:t>
      </w:r>
    </w:p>
    <w:p w14:paraId="4E641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（八）自觉接受监督。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主动向县人大、县政府汇报重点绩效评价工作，自觉接受人大的监督和指导。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评价报告、预算绩效管理工作总结等内容，主动接受社会监督。</w:t>
      </w:r>
    </w:p>
    <w:p w14:paraId="120F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二、取得的成效</w:t>
      </w:r>
    </w:p>
    <w:p w14:paraId="15CAB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预算绩效管理工作的深入推进，在树立绩效理念、放大财政杠杆效应、优化支出结构等方面取得显著成效。一是绩效意识全面强化。通过“花钱必问效、无效必问责”的机制倒逼，各预算单位实现从“重分配”向“重效益”的思维转变。部门主体责任链条进一步压实，项目资金使用的合规性、精准性显著提高，财政资金效益持续放大。二是目标管理提质增效。依托标准化共性绩效指标体系和动态调整机制，部门（单位）绩效目标设置实现科学化、规范化、合理化。三是预算绩效管理结果运用更加充分，对绩效好的政策和项目原则上优先保障支出需求；对绩效一般的政策和项目督促改进；对交叉重复、碎片化的政策和项目予以调整；对低效无效的政策和项目资金一律削减或取消；对长期沉淀的资金一律收回。</w:t>
      </w:r>
    </w:p>
    <w:p w14:paraId="219AB02F">
      <w:pPr>
        <w:pStyle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三、下步工作打算</w:t>
      </w:r>
    </w:p>
    <w:p w14:paraId="1ECE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（一）抓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业务指导，把管理水平提升。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过多种形式组织开展专项业务培训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各预算单位对预算绩效管理的认识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二是加大对各部门（单位）的指导力度，通过现场指导、电话访问、“两书一函”等方式，不断提升各预算单位的绩效管理工作质量。</w:t>
      </w:r>
    </w:p>
    <w:p w14:paraId="769E08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000000"/>
          <w:kern w:val="1"/>
          <w:sz w:val="32"/>
          <w:szCs w:val="32"/>
          <w:lang w:val="en-US" w:eastAsia="zh-CN"/>
        </w:rPr>
        <w:t>（二）抓责任落实，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把绩效氛围做浓。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  <w:lang w:val="en-US" w:eastAsia="zh-CN"/>
        </w:rPr>
        <w:t>督促各预算部门（单位）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树牢“花钱必问效、无效必问责”的理念，层层传导和落实绩效主体责任，将预算绩效管理工作纳入部门党组（党委）会议（办公会）集体议事范围，健全内部预算绩效管理机制，提高预算绩效管理整体效能。</w:t>
      </w:r>
    </w:p>
    <w:p w14:paraId="73420FC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000000"/>
          <w:kern w:val="1"/>
          <w:sz w:val="32"/>
          <w:szCs w:val="32"/>
          <w:lang w:val="en-US" w:eastAsia="zh-CN"/>
        </w:rPr>
        <w:t>（三）抓项目管理，把资金效益发挥。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  <w:lang w:val="en-US" w:eastAsia="zh-CN"/>
        </w:rPr>
        <w:t>督促预算部门（单位）紧盯项目建设程序、项目实施进度、资金使用管理等重点环节，强化项目建设全流程监管。充分应用绩效评价结果，对评价结果好的项目给予资金支持，形成激励作用；评价结果一般或者较差的项目，根据实际情况对资金和项目进行调整和压减，切实提升财政资源配置效率和资金使用效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E79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4155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4155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C974DD7"/>
    <w:rsid w:val="0D4E10C0"/>
    <w:rsid w:val="23185EB0"/>
    <w:rsid w:val="29125FE0"/>
    <w:rsid w:val="2AE8703B"/>
    <w:rsid w:val="2D1917AD"/>
    <w:rsid w:val="2D706D15"/>
    <w:rsid w:val="380126F8"/>
    <w:rsid w:val="3A2C5841"/>
    <w:rsid w:val="412937A3"/>
    <w:rsid w:val="440E7424"/>
    <w:rsid w:val="47BD53BB"/>
    <w:rsid w:val="4B86222C"/>
    <w:rsid w:val="4FAD1565"/>
    <w:rsid w:val="602F2435"/>
    <w:rsid w:val="68A07432"/>
    <w:rsid w:val="691E4234"/>
    <w:rsid w:val="6B625919"/>
    <w:rsid w:val="6E7B35B3"/>
    <w:rsid w:val="7205184D"/>
    <w:rsid w:val="76780840"/>
    <w:rsid w:val="7B55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1"/>
      <w:sz w:val="22"/>
      <w:szCs w:val="22"/>
      <w:lang w:eastAsia="ar-SA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常用样式（方正仿宋简）"/>
    <w:basedOn w:val="10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customStyle="1" w:styleId="10">
    <w:name w:val="正文1"/>
    <w:next w:val="9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1">
    <w:name w:val="NormalIndent"/>
    <w:basedOn w:val="1"/>
    <w:autoRedefine/>
    <w:qFormat/>
    <w:uiPriority w:val="0"/>
    <w:pPr>
      <w:spacing w:line="240" w:lineRule="auto"/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2352</Words>
  <Characters>2406</Characters>
  <Lines>0</Lines>
  <Paragraphs>0</Paragraphs>
  <TotalTime>24</TotalTime>
  <ScaleCrop>false</ScaleCrop>
  <LinksUpToDate>false</LinksUpToDate>
  <CharactersWithSpaces>2406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 </cp:lastModifiedBy>
  <dcterms:modified xsi:type="dcterms:W3CDTF">2025-08-05T02:26:59Z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3B442065B9824FDB965B14747E5FB57D_13</vt:lpwstr>
  </property>
</Properties>
</file>