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225C">
      <w:pPr>
        <w:suppressAutoHyphens/>
        <w:spacing w:line="580" w:lineRule="exact"/>
        <w:jc w:val="center"/>
        <w:rPr>
          <w:rFonts w:hint="eastAsia" w:ascii="方正小标宋简体" w:hAnsi="方正小标宋简体" w:eastAsia="方正小标宋简体" w:cs="方正小标宋简体"/>
          <w:b w:val="0"/>
          <w:bCs w:val="0"/>
          <w:color w:val="000000"/>
          <w:sz w:val="44"/>
          <w:szCs w:val="44"/>
        </w:rPr>
      </w:pPr>
      <w:bookmarkStart w:id="0" w:name="_GoBack"/>
      <w:bookmarkEnd w:id="0"/>
      <w:r>
        <w:rPr>
          <w:rFonts w:hint="eastAsia" w:ascii="方正小标宋简体" w:hAnsi="方正小标宋简体" w:eastAsia="方正小标宋简体" w:cs="方正小标宋简体"/>
          <w:b w:val="0"/>
          <w:bCs w:val="0"/>
          <w:color w:val="000000"/>
          <w:sz w:val="44"/>
          <w:szCs w:val="44"/>
        </w:rPr>
        <w:t>蓬溪县关于进一步推动经济回升向好的</w:t>
      </w:r>
    </w:p>
    <w:p w14:paraId="33BFDF8D">
      <w:pPr>
        <w:suppressAutoHyphens/>
        <w:spacing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若干政策措施</w:t>
      </w:r>
    </w:p>
    <w:p w14:paraId="38E186AB">
      <w:pPr>
        <w:suppressAutoHyphens/>
        <w:spacing w:line="580" w:lineRule="exact"/>
        <w:jc w:val="center"/>
        <w:rPr>
          <w:rFonts w:hint="eastAsia" w:eastAsia="楷体_GB2312"/>
          <w:b w:val="0"/>
          <w:bCs w:val="0"/>
          <w:color w:val="000000"/>
          <w:szCs w:val="32"/>
        </w:rPr>
      </w:pPr>
      <w:r>
        <w:rPr>
          <w:rFonts w:eastAsia="楷体_GB2312"/>
          <w:b w:val="0"/>
          <w:bCs w:val="0"/>
          <w:color w:val="000000"/>
          <w:szCs w:val="32"/>
        </w:rPr>
        <w:t>（</w:t>
      </w:r>
      <w:r>
        <w:rPr>
          <w:rFonts w:hint="eastAsia" w:eastAsia="楷体_GB2312"/>
          <w:b w:val="0"/>
          <w:bCs w:val="0"/>
          <w:color w:val="000000"/>
          <w:szCs w:val="32"/>
        </w:rPr>
        <w:t>征求意见稿</w:t>
      </w:r>
      <w:r>
        <w:rPr>
          <w:rFonts w:eastAsia="楷体_GB2312"/>
          <w:b w:val="0"/>
          <w:bCs w:val="0"/>
          <w:color w:val="000000"/>
          <w:szCs w:val="32"/>
        </w:rPr>
        <w:t>）</w:t>
      </w:r>
    </w:p>
    <w:p w14:paraId="0D40CC24">
      <w:pPr>
        <w:spacing w:line="576" w:lineRule="exact"/>
        <w:rPr>
          <w:rFonts w:hint="eastAsia"/>
          <w:b w:val="0"/>
          <w:bCs w:val="0"/>
        </w:rPr>
      </w:pPr>
    </w:p>
    <w:p w14:paraId="7689336D">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为深入贯彻习近平总书记对四川工作系列重要指示精神，全面落实中央、省委、市委经济工作会议部署及全国、全省、全市两会精神，聚焦《四川省人民政府办公厅印发关于进一步推动经济运行回升向好的若干政策措施的通知》（川办规〔2025〕3号）、《遂宁市人民政府办公室印发关于进一步推动经济回升向好的若干措施的通知》（遂府办规〔2025〕4号）文件要求，结合蓬溪县实际，围绕提振消费、促进产业发展，制定以下政策措施：</w:t>
      </w:r>
    </w:p>
    <w:p w14:paraId="737A87A1">
      <w:pPr>
        <w:spacing w:line="576" w:lineRule="exact"/>
        <w:ind w:firstLine="640" w:firstLineChars="200"/>
        <w:rPr>
          <w:rFonts w:ascii="黑体" w:hAnsi="黑体" w:eastAsia="黑体" w:cs="黑体"/>
          <w:b w:val="0"/>
          <w:bCs w:val="0"/>
          <w:kern w:val="0"/>
          <w:szCs w:val="32"/>
          <w:shd w:val="clear" w:color="auto" w:fill="FFFFFF"/>
        </w:rPr>
      </w:pPr>
      <w:r>
        <w:rPr>
          <w:rFonts w:hint="eastAsia" w:ascii="黑体" w:hAnsi="黑体" w:eastAsia="黑体" w:cs="黑体"/>
          <w:b w:val="0"/>
          <w:bCs w:val="0"/>
          <w:kern w:val="0"/>
          <w:szCs w:val="32"/>
          <w:shd w:val="clear" w:color="auto" w:fill="FFFFFF"/>
        </w:rPr>
        <w:t>一、实施购房补贴</w:t>
      </w:r>
    </w:p>
    <w:p w14:paraId="1123FFF2">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1.时间范围：2025年7月1日—2027年12月31日</w:t>
      </w:r>
    </w:p>
    <w:p w14:paraId="4261864F">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2.补贴标准</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主城区（赤城镇、普安街道）购买新建商品住房</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建筑面积80㎡以下</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补贴6000元/套；80-100㎡（含）</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补贴8000元/套；100㎡以上</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补贴10000元/套(经开区金桥片区按照主城区50%标准执行）;</w:t>
      </w:r>
      <w:r>
        <w:rPr>
          <w:rFonts w:hint="eastAsia" w:ascii="仿宋_GB2312" w:hAnsi="仿宋_GB2312" w:cs="仿宋_GB2312"/>
          <w:b w:val="0"/>
          <w:bCs w:val="0"/>
          <w:szCs w:val="32"/>
          <w:lang w:val="en-US" w:eastAsia="zh-CN"/>
        </w:rPr>
        <w:t>购买新建地下车位的</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每个地下车位给予合同价款5%的现金补贴。</w:t>
      </w:r>
    </w:p>
    <w:p w14:paraId="6E2F881D">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3.特殊群体叠加补贴：二孩/三孩家庭、B1类人才、现役/退役军人、教师、医护工作者、农民工、蓬溪农村户籍人员、毕业5年内大学生，按建筑面积再给予50元/㎡补贴，每套最高不超过6000元（不重复享受）。</w:t>
      </w:r>
    </w:p>
    <w:p w14:paraId="66EB468B">
      <w:pPr>
        <w:spacing w:line="576" w:lineRule="exact"/>
        <w:ind w:firstLine="480" w:firstLineChars="150"/>
        <w:rPr>
          <w:rFonts w:ascii="仿宋_GB2312" w:hAnsi="仿宋_GB2312" w:cs="仿宋_GB2312"/>
          <w:b w:val="0"/>
          <w:bCs w:val="0"/>
          <w:szCs w:val="32"/>
        </w:rPr>
      </w:pPr>
      <w:r>
        <w:rPr>
          <w:rFonts w:hint="eastAsia" w:ascii="仿宋_GB2312" w:hAnsi="仿宋_GB2312" w:cs="仿宋_GB2312"/>
          <w:b w:val="0"/>
          <w:bCs w:val="0"/>
          <w:szCs w:val="32"/>
        </w:rPr>
        <w:t>责任单位：县住房城乡建设局、县自然资源</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规划局、县财政局</w:t>
      </w:r>
    </w:p>
    <w:p w14:paraId="45545D97">
      <w:pPr>
        <w:spacing w:line="576" w:lineRule="exact"/>
        <w:ind w:firstLine="640" w:firstLineChars="200"/>
        <w:rPr>
          <w:rFonts w:ascii="黑体" w:hAnsi="黑体" w:eastAsia="黑体"/>
          <w:b w:val="0"/>
          <w:bCs w:val="0"/>
          <w:kern w:val="0"/>
          <w:szCs w:val="32"/>
          <w:shd w:val="clear" w:color="auto" w:fill="FFFFFF"/>
        </w:rPr>
      </w:pPr>
      <w:r>
        <w:rPr>
          <w:rFonts w:hint="eastAsia" w:ascii="黑体" w:hAnsi="黑体" w:eastAsia="黑体"/>
          <w:b w:val="0"/>
          <w:bCs w:val="0"/>
          <w:kern w:val="0"/>
          <w:szCs w:val="32"/>
          <w:shd w:val="clear" w:color="auto" w:fill="FFFFFF"/>
        </w:rPr>
        <w:t>二、房地产新项目开工建设激励</w:t>
      </w:r>
    </w:p>
    <w:p w14:paraId="6C64D541">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1.时间范围：2025年7月1日—2027年12月31日</w:t>
      </w:r>
    </w:p>
    <w:p w14:paraId="242D5624">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2.奖励标准：新拍卖商业、居住用地项目，自土地出让合同签订之日起6个月内取得施工许可并实质性开工</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土地规模＜50亩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奖励10万元；50亩≤土地规模＜100亩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奖励20万元；土地规模≥100亩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奖励30万元</w:t>
      </w:r>
      <w:r>
        <w:rPr>
          <w:rFonts w:hint="eastAsia" w:ascii="仿宋_GB2312" w:hAnsi="仿宋_GB2312" w:cs="仿宋_GB2312"/>
          <w:b w:val="0"/>
          <w:bCs w:val="0"/>
          <w:szCs w:val="32"/>
        </w:rPr>
        <w:t>(经开区金桥片区按照主城区50%标准执行）</w:t>
      </w:r>
      <w:r>
        <w:rPr>
          <w:rFonts w:hint="eastAsia" w:ascii="仿宋_GB2312" w:hAnsi="仿宋_GB2312" w:cs="仿宋_GB2312"/>
          <w:b w:val="0"/>
          <w:bCs w:val="0"/>
          <w:kern w:val="0"/>
          <w:szCs w:val="32"/>
          <w:shd w:val="clear" w:color="auto" w:fill="FFFFFF"/>
        </w:rPr>
        <w:t>。</w:t>
      </w:r>
    </w:p>
    <w:p w14:paraId="0FDCD91C">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责任单位：</w:t>
      </w:r>
      <w:r>
        <w:rPr>
          <w:rFonts w:hint="eastAsia" w:ascii="仿宋_GB2312" w:hAnsi="仿宋_GB2312" w:cs="仿宋_GB2312"/>
          <w:b w:val="0"/>
          <w:bCs w:val="0"/>
          <w:szCs w:val="32"/>
        </w:rPr>
        <w:t>县住房城乡建设局</w:t>
      </w:r>
      <w:r>
        <w:rPr>
          <w:rFonts w:hint="eastAsia" w:ascii="仿宋_GB2312" w:hAnsi="仿宋_GB2312" w:cs="仿宋_GB2312"/>
          <w:b w:val="0"/>
          <w:bCs w:val="0"/>
          <w:kern w:val="0"/>
          <w:szCs w:val="32"/>
          <w:shd w:val="clear" w:color="auto" w:fill="FFFFFF"/>
        </w:rPr>
        <w:t>、</w:t>
      </w:r>
      <w:r>
        <w:rPr>
          <w:rFonts w:hint="eastAsia" w:ascii="仿宋_GB2312" w:hAnsi="仿宋_GB2312" w:cs="仿宋_GB2312"/>
          <w:b w:val="0"/>
          <w:bCs w:val="0"/>
          <w:szCs w:val="32"/>
        </w:rPr>
        <w:t>县自然资源和规划局、</w:t>
      </w:r>
      <w:r>
        <w:rPr>
          <w:rFonts w:hint="eastAsia" w:ascii="仿宋_GB2312" w:hAnsi="仿宋_GB2312" w:cs="仿宋_GB2312"/>
          <w:b w:val="0"/>
          <w:bCs w:val="0"/>
          <w:kern w:val="0"/>
          <w:szCs w:val="32"/>
          <w:shd w:val="clear" w:color="auto" w:fill="FFFFFF"/>
        </w:rPr>
        <w:t>县财政局</w:t>
      </w:r>
    </w:p>
    <w:p w14:paraId="00A776CD">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三、实施品牌演艺活动激励</w:t>
      </w:r>
    </w:p>
    <w:p w14:paraId="57AC6464">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64B57FE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2.奖励标准：在县城区大型户外场地举办演艺活动，累计售票超1万人次且市外观众≥30%</w:t>
      </w:r>
      <w:r>
        <w:rPr>
          <w:rFonts w:hint="eastAsia" w:ascii="仿宋_GB2312" w:hAnsi="仿宋_GB2312" w:cs="仿宋_GB2312"/>
          <w:b w:val="0"/>
          <w:bCs w:val="0"/>
          <w:szCs w:val="32"/>
          <w:lang w:val="en-US" w:eastAsia="zh-CN"/>
        </w:rPr>
        <w:t>的</w:t>
      </w:r>
      <w:r>
        <w:rPr>
          <w:rFonts w:hint="eastAsia" w:ascii="仿宋_GB2312" w:hAnsi="仿宋_GB2312" w:cs="仿宋_GB2312"/>
          <w:b w:val="0"/>
          <w:bCs w:val="0"/>
          <w:szCs w:val="32"/>
        </w:rPr>
        <w:t>奖励20万元，每增加1000人次</w:t>
      </w:r>
      <w:r>
        <w:rPr>
          <w:rFonts w:hint="eastAsia" w:ascii="仿宋_GB2312" w:hAnsi="仿宋_GB2312" w:cs="仿宋_GB2312"/>
          <w:b w:val="0"/>
          <w:bCs w:val="0"/>
          <w:szCs w:val="32"/>
          <w:lang w:val="en-US" w:eastAsia="zh-CN"/>
        </w:rPr>
        <w:t>奖励</w:t>
      </w:r>
      <w:r>
        <w:rPr>
          <w:rFonts w:hint="eastAsia" w:ascii="仿宋_GB2312" w:hAnsi="仿宋_GB2312" w:cs="仿宋_GB2312"/>
          <w:b w:val="0"/>
          <w:bCs w:val="0"/>
          <w:szCs w:val="32"/>
        </w:rPr>
        <w:t>递增2万元，最高不超过100万元。</w:t>
      </w:r>
    </w:p>
    <w:p w14:paraId="32D4C1E8">
      <w:pPr>
        <w:spacing w:line="576" w:lineRule="exact"/>
        <w:ind w:firstLine="320" w:firstLineChars="100"/>
        <w:jc w:val="left"/>
        <w:rPr>
          <w:rFonts w:ascii="仿宋_GB2312" w:hAnsi="仿宋_GB2312" w:cs="仿宋_GB2312"/>
          <w:b w:val="0"/>
          <w:bCs w:val="0"/>
          <w:szCs w:val="32"/>
        </w:rPr>
      </w:pPr>
      <w:r>
        <w:rPr>
          <w:rFonts w:hint="eastAsia" w:ascii="仿宋_GB2312" w:hAnsi="仿宋_GB2312" w:cs="仿宋_GB2312"/>
          <w:b w:val="0"/>
          <w:bCs w:val="0"/>
          <w:szCs w:val="32"/>
        </w:rPr>
        <w:t>责任单位：县文化广电体育旅游局、县财政局</w:t>
      </w:r>
    </w:p>
    <w:p w14:paraId="57F02D4D">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四、实施旅游宣传营销激励</w:t>
      </w:r>
    </w:p>
    <w:p w14:paraId="159E244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76191E43">
      <w:pPr>
        <w:spacing w:line="576" w:lineRule="exact"/>
        <w:ind w:firstLine="640" w:firstLineChars="200"/>
        <w:jc w:val="left"/>
        <w:rPr>
          <w:rFonts w:ascii="仿宋_GB2312"/>
          <w:b w:val="0"/>
          <w:bCs w:val="0"/>
          <w:szCs w:val="32"/>
        </w:rPr>
      </w:pPr>
      <w:r>
        <w:rPr>
          <w:rFonts w:hint="eastAsia" w:ascii="仿宋_GB2312" w:hAnsi="仿宋_GB2312" w:cs="仿宋_GB2312"/>
          <w:b w:val="0"/>
          <w:bCs w:val="0"/>
          <w:szCs w:val="32"/>
        </w:rPr>
        <w:t>2.奖励标准：</w:t>
      </w:r>
      <w:r>
        <w:rPr>
          <w:rFonts w:hint="eastAsia" w:ascii="仿宋_GB2312"/>
          <w:b w:val="0"/>
          <w:bCs w:val="0"/>
          <w:szCs w:val="32"/>
        </w:rPr>
        <w:t>以自驾游形式组织游客到蓬溪旅游的旅行社，单次规模车辆达4辆(含)以上且单次人数在20人(含)以上游客团，按40元/人给予奖励。单个旅行社年度奖励金额总计不超过30万。</w:t>
      </w:r>
    </w:p>
    <w:p w14:paraId="3E5CC15C">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五、实施旅游品牌建设激励</w:t>
      </w:r>
    </w:p>
    <w:p w14:paraId="46D4B74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0DB8F1B2">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2.奖励标准：新评定为国家4A级及以上旅游景区或省级旅游度假区奖励100万元；新评定为国家3A级旅游景区奖励30万元。</w:t>
      </w:r>
    </w:p>
    <w:p w14:paraId="7DF0FDB3">
      <w:pPr>
        <w:spacing w:line="576" w:lineRule="exact"/>
        <w:ind w:firstLine="480" w:firstLineChars="150"/>
        <w:jc w:val="left"/>
        <w:rPr>
          <w:rFonts w:ascii="仿宋_GB2312"/>
          <w:b w:val="0"/>
          <w:bCs w:val="0"/>
          <w:szCs w:val="32"/>
        </w:rPr>
      </w:pPr>
      <w:r>
        <w:rPr>
          <w:rFonts w:hint="eastAsia" w:ascii="仿宋_GB2312" w:hAnsi="仿宋_GB2312" w:cs="仿宋_GB2312"/>
          <w:b w:val="0"/>
          <w:bCs w:val="0"/>
          <w:szCs w:val="32"/>
        </w:rPr>
        <w:t>责任单位：县文化广电体育旅游局、县财政局</w:t>
      </w:r>
    </w:p>
    <w:p w14:paraId="628BC90A">
      <w:pPr>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六、实施体育赛事活动激励</w:t>
      </w:r>
    </w:p>
    <w:p w14:paraId="5B4F7BC4">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327CD5C4">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奖励标准：市场主体或社会组织自筹经费举办国际/国内高水平体育赛事，参赛及观赛人数（按门票核算）2000—4000人奖励5万元；4001—6000人奖励8万元；6001—8000人奖励10万元；每增加2000人递增2万元，单个赛事最高奖励20万元。</w:t>
      </w:r>
    </w:p>
    <w:p w14:paraId="66BB9056">
      <w:pPr>
        <w:spacing w:line="576" w:lineRule="exact"/>
        <w:ind w:firstLine="640" w:firstLineChars="200"/>
        <w:rPr>
          <w:rFonts w:ascii="仿宋_GB2312"/>
          <w:b w:val="0"/>
          <w:bCs w:val="0"/>
          <w:szCs w:val="32"/>
        </w:rPr>
      </w:pPr>
      <w:r>
        <w:rPr>
          <w:rFonts w:hint="eastAsia" w:ascii="仿宋_GB2312" w:hAnsi="仿宋_GB2312" w:cs="仿宋_GB2312"/>
          <w:b w:val="0"/>
          <w:bCs w:val="0"/>
          <w:szCs w:val="32"/>
        </w:rPr>
        <w:t>责任单位：县文化广电体育旅游局、县财政局</w:t>
      </w:r>
    </w:p>
    <w:p w14:paraId="5EDAB375">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七、实施工业企业生产规模增长激励</w:t>
      </w:r>
    </w:p>
    <w:p w14:paraId="03654161">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6E0FA723">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2.奖励标准：大型企业（2024年产值≥5亿元）</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产值增长10%—20%奖励5万元；产值增长＞20%奖励10万元。中小型企业（2024年产值1亿元—5亿元）</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产值增长15%—25%奖励3万元；产值增长＞25%奖励5万元。</w:t>
      </w:r>
    </w:p>
    <w:p w14:paraId="2C4F3D2C">
      <w:pPr>
        <w:spacing w:line="576" w:lineRule="exact"/>
        <w:ind w:firstLine="320" w:firstLineChars="1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4534FE33">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八、实施工业企业兼并重组激励</w:t>
      </w:r>
    </w:p>
    <w:p w14:paraId="29FB521A">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D15BA7C">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鼓励企业对停产半停产、低效闲置厂房采取兼并重组、并购等方式盘活企业资产，在政策期间完成交易的，按成交额的2%进行补助，单个企业最高补助金额不超过50万元</w:t>
      </w:r>
    </w:p>
    <w:p w14:paraId="0F5DC507">
      <w:pPr>
        <w:spacing w:line="576" w:lineRule="exact"/>
        <w:ind w:firstLine="640" w:firstLineChars="200"/>
        <w:rPr>
          <w:rFonts w:ascii="仿宋_GB2312" w:hAnsi="黑体"/>
          <w:b w:val="0"/>
          <w:bCs w:val="0"/>
          <w:szCs w:val="32"/>
        </w:rPr>
      </w:pPr>
      <w:r>
        <w:rPr>
          <w:rFonts w:hint="eastAsia" w:ascii="仿宋_GB2312" w:hAnsi="黑体"/>
          <w:b w:val="0"/>
          <w:bCs w:val="0"/>
          <w:szCs w:val="32"/>
        </w:rPr>
        <w:t>责任单位：县经科局、县财政局。</w:t>
      </w:r>
    </w:p>
    <w:p w14:paraId="2FB372FD">
      <w:pPr>
        <w:numPr>
          <w:ilvl w:val="0"/>
          <w:numId w:val="1"/>
        </w:num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实施工业企业设备更新激励</w:t>
      </w:r>
    </w:p>
    <w:p w14:paraId="03BA7706">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9F6D154">
      <w:pPr>
        <w:spacing w:line="576" w:lineRule="exact"/>
        <w:ind w:firstLine="640" w:firstLineChars="200"/>
        <w:rPr>
          <w:rFonts w:ascii="仿宋_GB2312" w:hAnsi="仿宋_GB2312" w:cs="仿宋_GB2312"/>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鼓励企业对落后生产设备进行技改升级、设备更新、智能化改造、数字化转型，按设备投入金额的5%进行补助，单个企业最高补助金额不超过100万元，（同一项目不重复享受政策）。</w:t>
      </w:r>
    </w:p>
    <w:p w14:paraId="4063C189">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1E930462">
      <w:pPr>
        <w:spacing w:line="576" w:lineRule="exact"/>
        <w:ind w:left="640" w:leftChars="200" w:firstLine="160" w:firstLineChars="50"/>
        <w:rPr>
          <w:rFonts w:ascii="黑体" w:hAnsi="黑体" w:eastAsia="黑体" w:cs="黑体"/>
          <w:b w:val="0"/>
          <w:bCs w:val="0"/>
          <w:szCs w:val="32"/>
        </w:rPr>
      </w:pPr>
      <w:r>
        <w:rPr>
          <w:rFonts w:hint="eastAsia" w:ascii="黑体" w:hAnsi="黑体" w:eastAsia="黑体" w:cs="黑体"/>
          <w:b w:val="0"/>
          <w:bCs w:val="0"/>
          <w:szCs w:val="32"/>
        </w:rPr>
        <w:t>十、实施科技服务业增长激励</w:t>
      </w:r>
    </w:p>
    <w:p w14:paraId="12B3ADA7">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08C447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2.奖励标准：注册地为</w:t>
      </w:r>
      <w:r>
        <w:rPr>
          <w:rFonts w:hint="eastAsia" w:ascii="仿宋_GB2312" w:hAnsi="仿宋_GB2312" w:cs="仿宋_GB2312"/>
          <w:b w:val="0"/>
          <w:bCs w:val="0"/>
          <w:szCs w:val="32"/>
        </w:rPr>
        <w:t>蓬溪的规模以上科技服务业主营业务收入增速达5%以上，按照企业实际营业收入总量的5‰给予奖励，单个企业不超过20万元激励。</w:t>
      </w:r>
    </w:p>
    <w:p w14:paraId="34AB83FA">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3DE3266A">
      <w:pPr>
        <w:spacing w:line="576" w:lineRule="exact"/>
        <w:ind w:left="640" w:leftChars="200" w:firstLine="160" w:firstLineChars="50"/>
        <w:rPr>
          <w:rFonts w:ascii="黑体" w:hAnsi="黑体" w:eastAsia="黑体" w:cs="黑体"/>
          <w:b w:val="0"/>
          <w:bCs w:val="0"/>
          <w:szCs w:val="32"/>
        </w:rPr>
      </w:pPr>
      <w:r>
        <w:rPr>
          <w:rFonts w:hint="eastAsia" w:ascii="黑体" w:hAnsi="黑体" w:eastAsia="黑体" w:cs="黑体"/>
          <w:b w:val="0"/>
          <w:bCs w:val="0"/>
          <w:szCs w:val="32"/>
        </w:rPr>
        <w:t>十一、实施中试研发平台服务收入激励</w:t>
      </w:r>
    </w:p>
    <w:p w14:paraId="590CAD71">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4C3AF12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对市级以上中试研发平台按中试服务性收入的5%给予运营主体支持，单个平台最高不超过30万元激励。</w:t>
      </w:r>
    </w:p>
    <w:p w14:paraId="05241616">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29200B8D">
      <w:pPr>
        <w:spacing w:line="576" w:lineRule="exact"/>
        <w:ind w:left="640" w:leftChars="200"/>
        <w:rPr>
          <w:rFonts w:ascii="黑体" w:hAnsi="黑体" w:eastAsia="黑体" w:cs="黑体"/>
          <w:b w:val="0"/>
          <w:bCs w:val="0"/>
          <w:szCs w:val="32"/>
        </w:rPr>
      </w:pPr>
      <w:r>
        <w:rPr>
          <w:rFonts w:hint="eastAsia" w:ascii="黑体" w:hAnsi="黑体" w:eastAsia="黑体" w:cs="黑体"/>
          <w:b w:val="0"/>
          <w:bCs w:val="0"/>
          <w:szCs w:val="32"/>
        </w:rPr>
        <w:t>十二、实施技术合同登记额激励</w:t>
      </w:r>
    </w:p>
    <w:p w14:paraId="42652D35">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1D117375">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对新实施技术交易合同认定登记的企业，按照在“全国技术合同认定登记系统”登记的技术成交额的5‰给予奖励，单个企业最高不超过10万元。</w:t>
      </w:r>
    </w:p>
    <w:p w14:paraId="64648F30">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748D8508">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十三、实施重点工业项目竣工激励</w:t>
      </w:r>
    </w:p>
    <w:p w14:paraId="206B6C88">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FEBF07E">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新建成投产且新增生产规模500万元以上的蓬溪县重点项目中的工业项目，县财政按核定项目设备（含软件）投资的5%给予激励，单个项目最高不超过50万元。</w:t>
      </w:r>
    </w:p>
    <w:p w14:paraId="2E494039">
      <w:pPr>
        <w:spacing w:line="576" w:lineRule="exact"/>
        <w:ind w:firstLine="640" w:firstLineChars="200"/>
        <w:rPr>
          <w:rFonts w:ascii="仿宋_GB2312" w:hAnsi="黑体"/>
          <w:b w:val="0"/>
          <w:bCs w:val="0"/>
          <w:szCs w:val="32"/>
        </w:rPr>
      </w:pPr>
      <w:r>
        <w:rPr>
          <w:rFonts w:hint="eastAsia" w:ascii="仿宋_GB2312" w:hAnsi="仿宋_GB2312" w:cs="仿宋_GB2312"/>
          <w:b w:val="0"/>
          <w:bCs w:val="0"/>
          <w:szCs w:val="32"/>
        </w:rPr>
        <w:t>责任单位：县经科局、县财政局</w:t>
      </w:r>
    </w:p>
    <w:p w14:paraId="10114181">
      <w:pPr>
        <w:spacing w:line="576" w:lineRule="exact"/>
        <w:ind w:left="640" w:leftChars="200" w:firstLine="156" w:firstLineChars="49"/>
        <w:rPr>
          <w:rFonts w:ascii="黑体" w:hAnsi="黑体" w:eastAsia="黑体" w:cs="黑体"/>
          <w:b w:val="0"/>
          <w:bCs w:val="0"/>
          <w:szCs w:val="32"/>
        </w:rPr>
      </w:pPr>
      <w:r>
        <w:rPr>
          <w:rFonts w:hint="eastAsia" w:ascii="黑体" w:hAnsi="黑体" w:eastAsia="黑体" w:cs="黑体"/>
          <w:b w:val="0"/>
          <w:bCs w:val="0"/>
          <w:szCs w:val="32"/>
        </w:rPr>
        <w:t>十四、实施工业企业定向采购激励</w:t>
      </w:r>
    </w:p>
    <w:p w14:paraId="0652F3B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B4427EC">
      <w:pPr>
        <w:spacing w:line="576" w:lineRule="exact"/>
        <w:ind w:firstLine="640" w:firstLineChars="200"/>
        <w:rPr>
          <w:rFonts w:ascii="仿宋_GB2312" w:hAnsi="仿宋_GB2312" w:cs="仿宋_GB2312"/>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规上工业企业新增采购县内配套制造业企业产品累计交易额在500万元以上的（以交易合同和发票实际金额为准），按照实际新增采购金额1%给予奖励；单个企业最高不超过10万元。</w:t>
      </w:r>
    </w:p>
    <w:p w14:paraId="140C35EB">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04A99D8F">
      <w:pPr>
        <w:spacing w:line="576" w:lineRule="exact"/>
        <w:ind w:left="640" w:leftChars="200"/>
        <w:rPr>
          <w:rFonts w:ascii="黑体" w:hAnsi="黑体" w:eastAsia="黑体" w:cs="黑体"/>
          <w:b w:val="0"/>
          <w:bCs w:val="0"/>
          <w:szCs w:val="32"/>
        </w:rPr>
      </w:pPr>
      <w:r>
        <w:rPr>
          <w:rFonts w:hint="eastAsia" w:ascii="黑体" w:hAnsi="黑体" w:eastAsia="黑体" w:cs="黑体"/>
          <w:b w:val="0"/>
          <w:bCs w:val="0"/>
          <w:szCs w:val="32"/>
        </w:rPr>
        <w:t>十五、实施规上工业企业产需联动激励</w:t>
      </w:r>
    </w:p>
    <w:p w14:paraId="3335F806">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137E2EB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支持制造业领域行业商协、公共服务平台、小型微型企业创业创新示范基地，围绕县域主导产业开展产销对接活动，邀请供需双方企业不低于20户，促成供需双方达成单笔交易额100万元以上的，或单笔超过10万元且多笔累计交易额200万元以上的，按交易额5‰给予奖励（以交易合同和发票实际金额为准），单个主办方最高奖励5万元（同一达成合作项目不重复享受）。</w:t>
      </w:r>
    </w:p>
    <w:p w14:paraId="2314ACC5">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2234A0ED">
      <w:pPr>
        <w:tabs>
          <w:tab w:val="left" w:pos="5640"/>
        </w:tabs>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十六、实施畜禽生产激励</w:t>
      </w:r>
    </w:p>
    <w:p w14:paraId="3ABCB86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452D7A70">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2.奖励标准：从市外引种的能繁母猪、母牛、母羊分别按照100元/头、1000元/头、100元/头给予激励;对较同期新增白羽肉鸡出栏按照5000元/万羽给予激励。</w:t>
      </w:r>
    </w:p>
    <w:p w14:paraId="7F6B7283">
      <w:pPr>
        <w:spacing w:line="576" w:lineRule="exact"/>
        <w:ind w:firstLine="640" w:firstLineChars="200"/>
        <w:rPr>
          <w:rFonts w:ascii="仿宋_GB2312"/>
          <w:b w:val="0"/>
          <w:bCs w:val="0"/>
          <w:szCs w:val="32"/>
        </w:rPr>
      </w:pPr>
      <w:r>
        <w:rPr>
          <w:rFonts w:hint="eastAsia" w:ascii="仿宋_GB2312" w:hAnsi="黑体"/>
          <w:b w:val="0"/>
          <w:bCs w:val="0"/>
          <w:szCs w:val="32"/>
        </w:rPr>
        <w:t>责任单位:县农业农村局、县财政局</w:t>
      </w:r>
    </w:p>
    <w:p w14:paraId="0985BFF1">
      <w:pPr>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十七、</w:t>
      </w:r>
      <w:r>
        <w:rPr>
          <w:rFonts w:hint="eastAsia" w:ascii="黑体" w:hAnsi="黑体" w:eastAsia="黑体" w:cs="黑体"/>
          <w:b w:val="0"/>
          <w:bCs w:val="0"/>
          <w:szCs w:val="32"/>
        </w:rPr>
        <w:t>发放“蜀里安逸·遂心遂意”消费券</w:t>
      </w:r>
    </w:p>
    <w:p w14:paraId="4FA7CC2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03B5CA2B">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cs="仿宋_GB2312"/>
          <w:b w:val="0"/>
          <w:bCs w:val="0"/>
          <w:szCs w:val="32"/>
        </w:rPr>
        <w:t>结合重要节假日和重点消费促进活动，发放餐饮、住宿等消费券，充分挖掘消费潜力，推动消费回升向好。</w:t>
      </w:r>
    </w:p>
    <w:p w14:paraId="29E63939">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222E89A5">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十八、</w:t>
      </w:r>
      <w:r>
        <w:rPr>
          <w:rFonts w:hint="eastAsia" w:ascii="黑体" w:hAnsi="黑体" w:eastAsia="黑体" w:cs="黑体"/>
          <w:b w:val="0"/>
          <w:bCs w:val="0"/>
          <w:szCs w:val="32"/>
        </w:rPr>
        <w:t>实施首发经济激励</w:t>
      </w:r>
    </w:p>
    <w:p w14:paraId="638409EB">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57130D2">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在蓬溪开设遂宁首店的经营主体，给予最高10万元激励。</w:t>
      </w:r>
    </w:p>
    <w:p w14:paraId="1FFDBF57">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094E4624">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十九、</w:t>
      </w:r>
      <w:r>
        <w:rPr>
          <w:rFonts w:hint="eastAsia" w:ascii="黑体" w:hAnsi="黑体" w:eastAsia="黑体" w:cs="黑体"/>
          <w:b w:val="0"/>
          <w:bCs w:val="0"/>
          <w:szCs w:val="32"/>
        </w:rPr>
        <w:t>实施消费新场景激励</w:t>
      </w:r>
    </w:p>
    <w:p w14:paraId="69D8D76D">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27FA5DF1">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城市商业类新场景、农商文旅体新场景等消费新场景，举办线上线下促销活动，营业收入较上年同期增长10％以上</w:t>
      </w:r>
      <w:r>
        <w:rPr>
          <w:rFonts w:hint="eastAsia" w:ascii="仿宋_GB2312" w:cs="仿宋_GB2312"/>
          <w:b w:val="0"/>
          <w:bCs w:val="0"/>
          <w:szCs w:val="32"/>
          <w:lang w:eastAsia="zh-CN"/>
        </w:rPr>
        <w:t>且</w:t>
      </w:r>
      <w:r>
        <w:rPr>
          <w:rFonts w:hint="eastAsia" w:ascii="仿宋_GB2312" w:cs="仿宋_GB2312"/>
          <w:b w:val="0"/>
          <w:bCs w:val="0"/>
          <w:szCs w:val="32"/>
        </w:rPr>
        <w:t>2024年营业收入超过500万元，符合条件的“蜀里安逸”消费新场景运营主体，按其促销活动实际投入的50％给予补助，单户最高10万元。</w:t>
      </w:r>
    </w:p>
    <w:p w14:paraId="3CF9BB6C">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00C1ECD7">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w:t>
      </w:r>
      <w:r>
        <w:rPr>
          <w:rFonts w:hint="eastAsia" w:ascii="黑体" w:hAnsi="黑体" w:eastAsia="黑体" w:cs="黑体"/>
          <w:b w:val="0"/>
          <w:bCs w:val="0"/>
          <w:szCs w:val="32"/>
        </w:rPr>
        <w:t>实施企业拓展市场激励</w:t>
      </w:r>
    </w:p>
    <w:p w14:paraId="65D74184">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DF2B438">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参加境内线下展会的企业，给予差旅费激励，最高不超过</w:t>
      </w:r>
      <w:r>
        <w:rPr>
          <w:rFonts w:hint="eastAsia" w:ascii="仿宋_GB2312"/>
          <w:b w:val="0"/>
          <w:bCs w:val="0"/>
          <w:szCs w:val="32"/>
        </w:rPr>
        <w:t>0.3</w:t>
      </w:r>
      <w:r>
        <w:rPr>
          <w:rFonts w:hint="eastAsia" w:ascii="仿宋_GB2312" w:cs="仿宋_GB2312"/>
          <w:b w:val="0"/>
          <w:bCs w:val="0"/>
          <w:szCs w:val="32"/>
        </w:rPr>
        <w:t>万元。</w:t>
      </w:r>
    </w:p>
    <w:p w14:paraId="662477C3">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3B979AE5">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二十一、</w:t>
      </w:r>
      <w:r>
        <w:rPr>
          <w:rFonts w:hint="eastAsia" w:ascii="黑体" w:hAnsi="黑体" w:eastAsia="黑体" w:cs="黑体"/>
          <w:b w:val="0"/>
          <w:bCs w:val="0"/>
          <w:szCs w:val="32"/>
        </w:rPr>
        <w:t>实施会展经济发展激励</w:t>
      </w:r>
    </w:p>
    <w:p w14:paraId="4135294C">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D4EC8BF">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在</w:t>
      </w:r>
      <w:r>
        <w:rPr>
          <w:rFonts w:hint="eastAsia" w:ascii="仿宋_GB2312" w:hAnsi="Calibri" w:cs="仿宋_GB2312"/>
          <w:b w:val="0"/>
          <w:bCs w:val="0"/>
          <w:kern w:val="0"/>
          <w:szCs w:val="32"/>
        </w:rPr>
        <w:t>蓬溪837会展广场举办的市场化展会，展期不少于2天，展览面积达</w:t>
      </w:r>
      <w:r>
        <w:rPr>
          <w:rFonts w:hint="eastAsia" w:ascii="仿宋_GB2312"/>
          <w:b w:val="0"/>
          <w:bCs w:val="0"/>
          <w:kern w:val="0"/>
          <w:szCs w:val="32"/>
        </w:rPr>
        <w:t>3000</w:t>
      </w:r>
      <w:r>
        <w:rPr>
          <w:rFonts w:hint="eastAsia" w:ascii="仿宋_GB2312" w:hAnsi="Calibri" w:cs="仿宋_GB2312"/>
          <w:b w:val="0"/>
          <w:bCs w:val="0"/>
          <w:kern w:val="0"/>
          <w:szCs w:val="32"/>
        </w:rPr>
        <w:t>平方米以上，观展人数在</w:t>
      </w:r>
      <w:r>
        <w:rPr>
          <w:rFonts w:hint="eastAsia" w:ascii="仿宋_GB2312"/>
          <w:b w:val="0"/>
          <w:bCs w:val="0"/>
          <w:kern w:val="0"/>
          <w:szCs w:val="32"/>
        </w:rPr>
        <w:t>3000</w:t>
      </w:r>
      <w:r>
        <w:rPr>
          <w:rFonts w:hint="eastAsia" w:ascii="仿宋_GB2312" w:hAnsi="Calibri" w:cs="仿宋_GB2312"/>
          <w:b w:val="0"/>
          <w:bCs w:val="0"/>
          <w:kern w:val="0"/>
          <w:szCs w:val="32"/>
        </w:rPr>
        <w:t>人以上的，</w:t>
      </w:r>
      <w:r>
        <w:rPr>
          <w:rFonts w:hint="eastAsia" w:ascii="仿宋_GB2312" w:cs="仿宋_GB2312"/>
          <w:b w:val="0"/>
          <w:bCs w:val="0"/>
          <w:szCs w:val="32"/>
        </w:rPr>
        <w:t>对展会主办方给予5万元奖励。对引进的、在县外已成功举办</w:t>
      </w:r>
      <w:r>
        <w:rPr>
          <w:rFonts w:hint="eastAsia" w:ascii="仿宋_GB2312"/>
          <w:b w:val="0"/>
          <w:bCs w:val="0"/>
          <w:szCs w:val="32"/>
        </w:rPr>
        <w:t>3</w:t>
      </w:r>
      <w:r>
        <w:rPr>
          <w:rFonts w:hint="eastAsia" w:ascii="仿宋_GB2312" w:cs="仿宋_GB2312"/>
          <w:b w:val="0"/>
          <w:bCs w:val="0"/>
          <w:szCs w:val="32"/>
        </w:rPr>
        <w:t>届以上的品牌展会，首届标准展位15</w:t>
      </w:r>
      <w:r>
        <w:rPr>
          <w:rFonts w:hint="eastAsia" w:ascii="仿宋_GB2312"/>
          <w:b w:val="0"/>
          <w:bCs w:val="0"/>
          <w:szCs w:val="32"/>
        </w:rPr>
        <w:t>0</w:t>
      </w:r>
      <w:r>
        <w:rPr>
          <w:rFonts w:hint="eastAsia" w:ascii="仿宋_GB2312" w:cs="仿宋_GB2312"/>
          <w:b w:val="0"/>
          <w:bCs w:val="0"/>
          <w:szCs w:val="32"/>
        </w:rPr>
        <w:t>个以上、观展人数在5</w:t>
      </w:r>
      <w:r>
        <w:rPr>
          <w:rFonts w:hint="eastAsia" w:ascii="仿宋_GB2312"/>
          <w:b w:val="0"/>
          <w:bCs w:val="0"/>
          <w:szCs w:val="32"/>
        </w:rPr>
        <w:t>000</w:t>
      </w:r>
      <w:r>
        <w:rPr>
          <w:rFonts w:hint="eastAsia" w:ascii="仿宋_GB2312" w:cs="仿宋_GB2312"/>
          <w:b w:val="0"/>
          <w:bCs w:val="0"/>
          <w:szCs w:val="32"/>
        </w:rPr>
        <w:t>人以上的，在前述政策条款基础上给予主办方5万元奖励；之后在蓬溪连续举办，展位数不少于首次落地遂宁的品牌展会，每届增加</w:t>
      </w:r>
      <w:r>
        <w:rPr>
          <w:rFonts w:hint="eastAsia" w:ascii="仿宋_GB2312"/>
          <w:b w:val="0"/>
          <w:bCs w:val="0"/>
          <w:szCs w:val="32"/>
        </w:rPr>
        <w:t>5</w:t>
      </w:r>
      <w:r>
        <w:rPr>
          <w:rFonts w:hint="eastAsia" w:ascii="仿宋_GB2312" w:cs="仿宋_GB2312"/>
          <w:b w:val="0"/>
          <w:bCs w:val="0"/>
          <w:szCs w:val="32"/>
        </w:rPr>
        <w:t>万元奖励，最高不超过2</w:t>
      </w:r>
      <w:r>
        <w:rPr>
          <w:rFonts w:hint="eastAsia" w:ascii="仿宋_GB2312"/>
          <w:b w:val="0"/>
          <w:bCs w:val="0"/>
          <w:szCs w:val="32"/>
        </w:rPr>
        <w:t>0</w:t>
      </w:r>
      <w:r>
        <w:rPr>
          <w:rFonts w:hint="eastAsia" w:ascii="仿宋_GB2312" w:cs="仿宋_GB2312"/>
          <w:b w:val="0"/>
          <w:bCs w:val="0"/>
          <w:szCs w:val="32"/>
        </w:rPr>
        <w:t>万元。</w:t>
      </w:r>
    </w:p>
    <w:p w14:paraId="775C1075">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4CF1C0AF">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二十二、</w:t>
      </w:r>
      <w:r>
        <w:rPr>
          <w:rFonts w:hint="eastAsia" w:ascii="黑体" w:hAnsi="黑体" w:eastAsia="黑体" w:cs="黑体"/>
          <w:b w:val="0"/>
          <w:bCs w:val="0"/>
          <w:szCs w:val="32"/>
        </w:rPr>
        <w:t>实施餐饮品牌建设激励</w:t>
      </w:r>
    </w:p>
    <w:p w14:paraId="347011B8">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22DE9BA8">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新认定的“中华老字号”“四川老字号”“遂宁老字号”分别给予企业主体</w:t>
      </w:r>
      <w:r>
        <w:rPr>
          <w:rFonts w:hint="eastAsia" w:ascii="仿宋_GB2312"/>
          <w:b w:val="0"/>
          <w:bCs w:val="0"/>
          <w:szCs w:val="32"/>
        </w:rPr>
        <w:t>5</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3</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1</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家的一次性奖励。鼓励企业参加系列评选活动，对新获得中央、省、市评选称号的分别给予</w:t>
      </w:r>
      <w:r>
        <w:rPr>
          <w:rFonts w:hint="eastAsia" w:ascii="仿宋_GB2312"/>
          <w:b w:val="0"/>
          <w:bCs w:val="0"/>
          <w:szCs w:val="32"/>
        </w:rPr>
        <w:t>3</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1</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0.5</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家的一次性奖励。打造美食名村、名街、名镇等新消费场景，对成功引入“中华老字号”“四川老字号”等品牌餐饮企业</w:t>
      </w:r>
      <w:r>
        <w:rPr>
          <w:rFonts w:hint="eastAsia" w:ascii="仿宋_GB2312"/>
          <w:b w:val="0"/>
          <w:bCs w:val="0"/>
          <w:szCs w:val="32"/>
        </w:rPr>
        <w:t>10</w:t>
      </w:r>
      <w:r>
        <w:rPr>
          <w:rFonts w:hint="eastAsia" w:ascii="仿宋_GB2312" w:cs="仿宋_GB2312"/>
          <w:b w:val="0"/>
          <w:bCs w:val="0"/>
          <w:szCs w:val="32"/>
        </w:rPr>
        <w:t>家以上的，给予街区管理主体</w:t>
      </w:r>
      <w:r>
        <w:rPr>
          <w:rFonts w:hint="eastAsia" w:ascii="仿宋_GB2312"/>
          <w:b w:val="0"/>
          <w:bCs w:val="0"/>
          <w:szCs w:val="32"/>
        </w:rPr>
        <w:t>10</w:t>
      </w:r>
      <w:r>
        <w:rPr>
          <w:rFonts w:hint="eastAsia" w:ascii="仿宋_GB2312" w:cs="仿宋_GB2312"/>
          <w:b w:val="0"/>
          <w:bCs w:val="0"/>
          <w:szCs w:val="32"/>
        </w:rPr>
        <w:t>万元一次性奖励。</w:t>
      </w:r>
    </w:p>
    <w:p w14:paraId="5007D3AB">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3ED58E76">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二十三、</w:t>
      </w:r>
      <w:r>
        <w:rPr>
          <w:rFonts w:hint="eastAsia" w:ascii="黑体" w:hAnsi="黑体" w:eastAsia="黑体" w:cs="黑体"/>
          <w:b w:val="0"/>
          <w:bCs w:val="0"/>
          <w:szCs w:val="32"/>
        </w:rPr>
        <w:t>实施商贸企业经营增长激励</w:t>
      </w:r>
    </w:p>
    <w:p w14:paraId="204CEDCB">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7390D71">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年经营规模5000万元以上的批发企业，每户给予激励1万元；经营规模比上年同期增长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年经营规模2000万元以上的零售企业，每户给予激励1万元；经营规模比上年同期增长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w:t>
      </w:r>
      <w:r>
        <w:rPr>
          <w:rFonts w:hint="eastAsia" w:ascii="仿宋_GB2312"/>
          <w:b w:val="0"/>
          <w:bCs w:val="0"/>
          <w:szCs w:val="32"/>
        </w:rPr>
        <w:t>1000万</w:t>
      </w:r>
      <w:r>
        <w:rPr>
          <w:rFonts w:hint="eastAsia" w:ascii="仿宋_GB2312" w:cs="仿宋_GB2312"/>
          <w:b w:val="0"/>
          <w:bCs w:val="0"/>
          <w:szCs w:val="32"/>
        </w:rPr>
        <w:t>元以上的餐饮住宿企业，每户给予奖励1万元；经营规模比上年同期增长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年经营规模5000万元以上的营利性服务业企业，每户给予激励1万元。</w:t>
      </w:r>
    </w:p>
    <w:p w14:paraId="26BD1131">
      <w:pPr>
        <w:spacing w:line="576" w:lineRule="exact"/>
        <w:ind w:firstLine="630"/>
        <w:rPr>
          <w:rFonts w:hint="eastAsia" w:ascii="仿宋_GB2312" w:hAnsi="黑体"/>
          <w:b w:val="0"/>
          <w:bCs w:val="0"/>
          <w:szCs w:val="32"/>
        </w:rPr>
      </w:pPr>
      <w:r>
        <w:rPr>
          <w:rFonts w:hint="eastAsia" w:ascii="仿宋_GB2312" w:cs="仿宋_GB2312"/>
          <w:b w:val="0"/>
          <w:bCs w:val="0"/>
          <w:szCs w:val="32"/>
        </w:rPr>
        <w:t>责任单位：县商务局、县财政局</w:t>
      </w:r>
    </w:p>
    <w:p w14:paraId="65E87DC7">
      <w:pPr>
        <w:spacing w:line="576" w:lineRule="exact"/>
        <w:ind w:firstLine="640" w:firstLineChars="200"/>
        <w:rPr>
          <w:rFonts w:ascii="仿宋_GB2312" w:hAnsi="黑体"/>
          <w:b w:val="0"/>
          <w:bCs w:val="0"/>
          <w:szCs w:val="32"/>
        </w:rPr>
      </w:pPr>
      <w:r>
        <w:rPr>
          <w:rFonts w:hint="eastAsia" w:ascii="仿宋_GB2312" w:hAnsi="黑体"/>
          <w:b w:val="0"/>
          <w:bCs w:val="0"/>
          <w:szCs w:val="32"/>
          <w:lang w:val="en-US" w:eastAsia="zh-CN"/>
        </w:rPr>
        <w:t>上述</w:t>
      </w:r>
      <w:r>
        <w:rPr>
          <w:rFonts w:hint="eastAsia" w:ascii="仿宋_GB2312" w:hAnsi="黑体"/>
          <w:b w:val="0"/>
          <w:bCs w:val="0"/>
          <w:szCs w:val="32"/>
        </w:rPr>
        <w:t>政策措施与县级其他同类政策不重复享受，按“就高不就低”原则执行。政策实施期间，如遇上级政策调整，按上级政策执行。</w:t>
      </w:r>
      <w:r>
        <w:rPr>
          <w:rFonts w:hint="eastAsia" w:ascii="仿宋_GB2312" w:hAnsi="黑体"/>
          <w:b w:val="0"/>
          <w:bCs w:val="0"/>
          <w:szCs w:val="32"/>
          <w:lang w:val="en-US" w:eastAsia="zh-CN"/>
        </w:rPr>
        <w:t>上述</w:t>
      </w:r>
      <w:r>
        <w:rPr>
          <w:rFonts w:hint="eastAsia" w:ascii="仿宋_GB2312" w:hAnsi="黑体"/>
          <w:b w:val="0"/>
          <w:bCs w:val="0"/>
          <w:szCs w:val="32"/>
        </w:rPr>
        <w:t>政策自发布之日起施行由各责任单位负责解释并制定实施细则。</w:t>
      </w:r>
    </w:p>
    <w:p w14:paraId="06FE10F4">
      <w:pPr>
        <w:spacing w:line="576" w:lineRule="exact"/>
        <w:rPr>
          <w:rFonts w:hint="eastAsia" w:ascii="仿宋_GB2312" w:hAnsi="仿宋_GB2312" w:cs="仿宋_GB2312"/>
          <w:b w:val="0"/>
          <w:bCs w:val="0"/>
          <w:szCs w:val="32"/>
        </w:rPr>
      </w:pPr>
    </w:p>
    <w:p w14:paraId="6C2E431E">
      <w:pPr>
        <w:rPr>
          <w:b w:val="0"/>
          <w:bCs w:val="0"/>
        </w:rPr>
      </w:pPr>
    </w:p>
    <w:p w14:paraId="7F7143D0"/>
    <w:sectPr>
      <w:footerReference r:id="rId3" w:type="default"/>
      <w:pgSz w:w="11906" w:h="16838"/>
      <w:pgMar w:top="2098" w:right="1474" w:bottom="1984" w:left="1587" w:header="851" w:footer="992" w:gutter="0"/>
      <w:cols w:space="720" w:num="1"/>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3FAB">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04B16">
                          <w:pPr>
                            <w:pStyle w:val="3"/>
                            <w:rPr>
                              <w:rStyle w:val="6"/>
                              <w:rFonts w:hint="eastAsia" w:ascii="宋体" w:hAnsi="宋体" w:eastAsia="宋体" w:cs="宋体"/>
                              <w:sz w:val="28"/>
                              <w:szCs w:val="28"/>
                            </w:rPr>
                          </w:pPr>
                          <w:r>
                            <w:rPr>
                              <w:rStyle w:val="6"/>
                              <w:rFonts w:hint="eastAsia" w:ascii="宋体" w:hAnsi="宋体" w:eastAsia="宋体" w:cs="宋体"/>
                              <w:sz w:val="28"/>
                              <w:szCs w:val="28"/>
                            </w:rPr>
                            <w:t xml:space="preserve">— </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ascii="宋体" w:hAnsi="宋体" w:eastAsia="宋体" w:cs="宋体"/>
                              <w:sz w:val="28"/>
                              <w:szCs w:val="28"/>
                            </w:rPr>
                            <w:t>3</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4.2pt;height:144pt;width:144pt;mso-position-horizontal:outside;mso-position-horizontal-relative:margin;mso-wrap-style:none;z-index:251659264;mso-width-relative:page;mso-height-relative:page;" filled="f" stroked="f" coordsize="21600,21600" o:gfxdata="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Rctld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14:paraId="5CC04B16">
                    <w:pPr>
                      <w:pStyle w:val="3"/>
                      <w:rPr>
                        <w:rStyle w:val="6"/>
                        <w:rFonts w:hint="eastAsia" w:ascii="宋体" w:hAnsi="宋体" w:eastAsia="宋体" w:cs="宋体"/>
                        <w:sz w:val="28"/>
                        <w:szCs w:val="28"/>
                      </w:rPr>
                    </w:pPr>
                    <w:r>
                      <w:rPr>
                        <w:rStyle w:val="6"/>
                        <w:rFonts w:hint="eastAsia" w:ascii="宋体" w:hAnsi="宋体" w:eastAsia="宋体" w:cs="宋体"/>
                        <w:sz w:val="28"/>
                        <w:szCs w:val="28"/>
                      </w:rPr>
                      <w:t xml:space="preserve">— </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ascii="宋体" w:hAnsi="宋体" w:eastAsia="宋体" w:cs="宋体"/>
                        <w:sz w:val="28"/>
                        <w:szCs w:val="28"/>
                      </w:rPr>
                      <w:t>3</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73270"/>
    <w:multiLevelType w:val="singleLevel"/>
    <w:tmpl w:val="3297327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30328"/>
    <w:rsid w:val="37A30ED5"/>
    <w:rsid w:val="52930328"/>
    <w:rsid w:val="5CDB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0"/>
    <w:pPr>
      <w:keepNext/>
      <w:keepLines/>
      <w:widowControl w:val="0"/>
      <w:suppressAutoHyphens/>
      <w:spacing w:before="340" w:after="330" w:line="578" w:lineRule="auto"/>
      <w:ind w:firstLine="0"/>
      <w:jc w:val="both"/>
      <w:outlineLvl w:val="0"/>
    </w:pPr>
    <w:rPr>
      <w:rFonts w:ascii="Times New Roman" w:hAnsi="Times New Roman" w:eastAsia="仿宋_GB2312"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3680</Words>
  <Characters>4103</Characters>
  <Lines>0</Lines>
  <Paragraphs>0</Paragraphs>
  <TotalTime>0</TotalTime>
  <ScaleCrop>false</ScaleCrop>
  <LinksUpToDate>false</LinksUpToDate>
  <CharactersWithSpaces>4103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2025-06-12T02:03:00Z</dcterms:created>
  <dc:creator>哈哈*^o^*</dc:creator>
  <cp:lastModifiedBy>哈哈*^o^*</cp:lastModifiedBy>
  <dcterms:modified xsi:type="dcterms:W3CDTF">2025-07-21T01:52:13Z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FDE17F1086BA4FA3875001C8E3E7D9AC_13</vt:lpwstr>
  </property>
  <property fmtid="{D5CDD505-2E9C-101B-9397-08002B2CF9AE}" pid="4" name="KSOTemplateDocerSaveRecord">
    <vt:lpwstr>eyJoZGlkIjoiNzhkMjE1YjIzMTA0Nzc1MzVlNDAxN2ViNzEzOTk2M2QiLCJ1c2VySWQiOiI0MjA0MDUyMDgifQ==</vt:lpwstr>
  </property>
</Properties>
</file>