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6C2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lang w:val="en-US" w:eastAsia="zh-CN"/>
        </w:rPr>
        <w:t>蓬溪县</w:t>
      </w:r>
      <w:r>
        <w:rPr>
          <w:rFonts w:hint="default" w:ascii="Times New Roman" w:hAnsi="Times New Roman" w:eastAsia="黑体" w:cs="Times New Roman"/>
          <w:b/>
          <w:color w:val="auto"/>
          <w:sz w:val="48"/>
          <w:szCs w:val="48"/>
        </w:rPr>
        <w:t>“十四五”生态环境</w:t>
      </w:r>
    </w:p>
    <w:p w14:paraId="69C88E4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rPr>
        <w:t>保护规划</w:t>
      </w:r>
    </w:p>
    <w:p w14:paraId="1615605B">
      <w:pPr>
        <w:pStyle w:val="8"/>
        <w:ind w:firstLine="2420" w:firstLineChars="1100"/>
        <w:rPr>
          <w:rFonts w:hint="default" w:ascii="Times New Roman" w:hAnsi="Times New Roman" w:eastAsia="黑体" w:cs="Times New Roman"/>
          <w:color w:val="auto"/>
          <w:sz w:val="22"/>
          <w:szCs w:val="22"/>
          <w:lang w:eastAsia="zh-CN"/>
        </w:rPr>
      </w:pPr>
    </w:p>
    <w:p w14:paraId="7C38E6FD">
      <w:pPr>
        <w:pStyle w:val="8"/>
        <w:pageBreakBefore w:val="0"/>
        <w:kinsoku/>
        <w:wordWrap/>
        <w:overflowPunct/>
        <w:topLinePunct w:val="0"/>
        <w:autoSpaceDE/>
        <w:autoSpaceDN/>
        <w:bidi w:val="0"/>
        <w:ind w:firstLine="0" w:firstLineChars="0"/>
        <w:textAlignment w:val="auto"/>
        <w:rPr>
          <w:rFonts w:hint="default" w:ascii="Times New Roman" w:hAnsi="Times New Roman" w:eastAsia="黑体" w:cs="Times New Roman"/>
          <w:b/>
          <w:color w:val="auto"/>
          <w:sz w:val="56"/>
          <w:szCs w:val="56"/>
        </w:rPr>
      </w:pPr>
    </w:p>
    <w:p w14:paraId="36443A31">
      <w:pPr>
        <w:pageBreakBefore w:val="0"/>
        <w:kinsoku/>
        <w:wordWrap/>
        <w:overflowPunct/>
        <w:topLinePunct w:val="0"/>
        <w:autoSpaceDE/>
        <w:autoSpaceDN/>
        <w:bidi w:val="0"/>
        <w:ind w:firstLine="0" w:firstLineChars="0"/>
        <w:textAlignment w:val="auto"/>
        <w:rPr>
          <w:rFonts w:hint="default" w:ascii="Times New Roman" w:hAnsi="Times New Roman" w:eastAsia="黑体" w:cs="Times New Roman"/>
          <w:b/>
          <w:color w:val="auto"/>
          <w:sz w:val="56"/>
          <w:szCs w:val="56"/>
        </w:rPr>
      </w:pPr>
    </w:p>
    <w:p w14:paraId="39AF7275">
      <w:pPr>
        <w:pStyle w:val="8"/>
        <w:pageBreakBefore w:val="0"/>
        <w:kinsoku/>
        <w:wordWrap/>
        <w:overflowPunct/>
        <w:topLinePunct w:val="0"/>
        <w:autoSpaceDE/>
        <w:autoSpaceDN/>
        <w:bidi w:val="0"/>
        <w:ind w:firstLine="0" w:firstLineChars="0"/>
        <w:textAlignment w:val="auto"/>
        <w:rPr>
          <w:rFonts w:hint="default" w:ascii="Times New Roman" w:hAnsi="Times New Roman" w:eastAsia="黑体" w:cs="Times New Roman"/>
          <w:b/>
          <w:color w:val="auto"/>
          <w:sz w:val="56"/>
          <w:szCs w:val="56"/>
        </w:rPr>
      </w:pPr>
    </w:p>
    <w:p w14:paraId="07751BB1">
      <w:pPr>
        <w:rPr>
          <w:rFonts w:hint="default" w:ascii="Times New Roman" w:hAnsi="Times New Roman" w:eastAsia="黑体" w:cs="Times New Roman"/>
          <w:b/>
          <w:color w:val="auto"/>
          <w:sz w:val="56"/>
          <w:szCs w:val="56"/>
        </w:rPr>
      </w:pPr>
    </w:p>
    <w:p w14:paraId="2CAB0E69">
      <w:pPr>
        <w:pStyle w:val="8"/>
        <w:rPr>
          <w:rFonts w:hint="default" w:ascii="Times New Roman" w:hAnsi="Times New Roman" w:eastAsia="黑体" w:cs="Times New Roman"/>
          <w:b/>
          <w:color w:val="auto"/>
          <w:sz w:val="56"/>
          <w:szCs w:val="56"/>
        </w:rPr>
      </w:pPr>
    </w:p>
    <w:p w14:paraId="618150EB">
      <w:pPr>
        <w:rPr>
          <w:rFonts w:hint="default" w:ascii="Times New Roman" w:hAnsi="Times New Roman" w:eastAsia="黑体" w:cs="Times New Roman"/>
          <w:b/>
          <w:color w:val="auto"/>
          <w:sz w:val="56"/>
          <w:szCs w:val="56"/>
        </w:rPr>
      </w:pPr>
    </w:p>
    <w:p w14:paraId="75DE2DFB">
      <w:pPr>
        <w:pStyle w:val="8"/>
        <w:rPr>
          <w:rFonts w:hint="default" w:ascii="Times New Roman" w:hAnsi="Times New Roman" w:eastAsia="黑体" w:cs="Times New Roman"/>
          <w:b/>
          <w:color w:val="auto"/>
          <w:sz w:val="56"/>
          <w:szCs w:val="56"/>
        </w:rPr>
      </w:pPr>
    </w:p>
    <w:p w14:paraId="70B9A98D">
      <w:pPr>
        <w:pageBreakBefore w:val="0"/>
        <w:kinsoku/>
        <w:wordWrap/>
        <w:overflowPunct/>
        <w:topLinePunct w:val="0"/>
        <w:autoSpaceDE/>
        <w:autoSpaceDN/>
        <w:bidi w:val="0"/>
        <w:ind w:firstLine="0" w:firstLineChars="0"/>
        <w:textAlignment w:val="auto"/>
        <w:rPr>
          <w:rFonts w:hint="default" w:ascii="Times New Roman" w:hAnsi="Times New Roman" w:eastAsia="黑体" w:cs="Times New Roman"/>
          <w:b/>
          <w:color w:val="auto"/>
          <w:sz w:val="56"/>
          <w:szCs w:val="56"/>
        </w:rPr>
      </w:pPr>
    </w:p>
    <w:p w14:paraId="70E8BA0D">
      <w:pPr>
        <w:pStyle w:val="8"/>
        <w:rPr>
          <w:rFonts w:hint="default" w:ascii="Times New Roman" w:hAnsi="Times New Roman" w:eastAsia="黑体" w:cs="Times New Roman"/>
          <w:b/>
          <w:color w:val="auto"/>
          <w:sz w:val="56"/>
          <w:szCs w:val="56"/>
        </w:rPr>
      </w:pPr>
    </w:p>
    <w:p w14:paraId="46E22F3D">
      <w:pPr>
        <w:rPr>
          <w:rFonts w:hint="default" w:ascii="Times New Roman" w:hAnsi="Times New Roman" w:cs="Times New Roman"/>
          <w:b w:val="0"/>
          <w:bCs w:val="0"/>
          <w:color w:val="auto"/>
          <w:sz w:val="18"/>
          <w:szCs w:val="20"/>
        </w:rPr>
      </w:pPr>
    </w:p>
    <w:p w14:paraId="3230BFCD">
      <w:pPr>
        <w:pStyle w:val="8"/>
        <w:pageBreakBefore w:val="0"/>
        <w:kinsoku/>
        <w:wordWrap/>
        <w:overflowPunct/>
        <w:topLinePunct w:val="0"/>
        <w:autoSpaceDE/>
        <w:autoSpaceDN/>
        <w:bidi w:val="0"/>
        <w:ind w:firstLine="0" w:firstLineChars="0"/>
        <w:textAlignment w:val="auto"/>
        <w:rPr>
          <w:rFonts w:hint="default" w:ascii="Times New Roman" w:hAnsi="Times New Roman" w:eastAsia="黑体" w:cs="Times New Roman"/>
          <w:b w:val="0"/>
          <w:bCs w:val="0"/>
          <w:color w:val="auto"/>
          <w:sz w:val="48"/>
          <w:szCs w:val="48"/>
        </w:rPr>
      </w:pPr>
    </w:p>
    <w:p w14:paraId="50A40C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蓬溪县人民政府</w:t>
      </w:r>
    </w:p>
    <w:p w14:paraId="7CCB792A">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color w:val="auto"/>
        </w:rPr>
      </w:pPr>
      <w:r>
        <w:rPr>
          <w:rFonts w:hint="default" w:ascii="Times New Roman" w:hAnsi="Times New Roman" w:eastAsia="黑体" w:cs="Times New Roman"/>
          <w:b w:val="0"/>
          <w:bCs w:val="0"/>
          <w:color w:val="auto"/>
          <w:sz w:val="28"/>
          <w:szCs w:val="28"/>
        </w:rPr>
        <w:t>二〇二</w:t>
      </w:r>
      <w:r>
        <w:rPr>
          <w:rFonts w:hint="default" w:ascii="Times New Roman" w:hAnsi="Times New Roman" w:eastAsia="黑体" w:cs="Times New Roman"/>
          <w:b w:val="0"/>
          <w:bCs w:val="0"/>
          <w:color w:val="auto"/>
          <w:sz w:val="28"/>
          <w:szCs w:val="28"/>
          <w:lang w:eastAsia="zh-CN"/>
        </w:rPr>
        <w:t>一</w:t>
      </w:r>
      <w:r>
        <w:rPr>
          <w:rFonts w:hint="default" w:ascii="Times New Roman" w:hAnsi="Times New Roman" w:eastAsia="黑体" w:cs="Times New Roman"/>
          <w:b w:val="0"/>
          <w:bCs w:val="0"/>
          <w:color w:val="auto"/>
          <w:sz w:val="28"/>
          <w:szCs w:val="28"/>
        </w:rPr>
        <w:t>年</w:t>
      </w:r>
      <w:r>
        <w:rPr>
          <w:rFonts w:hint="default" w:ascii="Times New Roman" w:hAnsi="Times New Roman" w:eastAsia="黑体" w:cs="Times New Roman"/>
          <w:b w:val="0"/>
          <w:bCs w:val="0"/>
          <w:color w:val="auto"/>
          <w:sz w:val="28"/>
          <w:szCs w:val="28"/>
          <w:lang w:eastAsia="zh-CN"/>
        </w:rPr>
        <w:t>十一</w:t>
      </w:r>
      <w:r>
        <w:rPr>
          <w:rFonts w:hint="default" w:ascii="Times New Roman" w:hAnsi="Times New Roman" w:eastAsia="黑体" w:cs="Times New Roman"/>
          <w:b w:val="0"/>
          <w:bCs w:val="0"/>
          <w:color w:val="auto"/>
          <w:sz w:val="28"/>
          <w:szCs w:val="28"/>
        </w:rPr>
        <w:t>月</w:t>
      </w:r>
    </w:p>
    <w:p w14:paraId="5C1CAA4A">
      <w:pPr>
        <w:pageBreakBefore w:val="0"/>
        <w:widowControl/>
        <w:kinsoku/>
        <w:wordWrap/>
        <w:overflowPunct/>
        <w:topLinePunct w:val="0"/>
        <w:autoSpaceDE/>
        <w:autoSpaceDN/>
        <w:bidi w:val="0"/>
        <w:ind w:firstLine="0" w:firstLineChars="0"/>
        <w:jc w:val="left"/>
        <w:textAlignment w:val="auto"/>
        <w:rPr>
          <w:rFonts w:hint="default" w:ascii="Times New Roman" w:hAnsi="Times New Roman" w:eastAsia="黑体" w:cs="Times New Roman"/>
          <w:b/>
          <w:color w:val="auto"/>
          <w:sz w:val="44"/>
          <w:szCs w:val="4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E0733B">
      <w:pPr>
        <w:bidi w:val="0"/>
        <w:jc w:val="center"/>
        <w:rPr>
          <w:rFonts w:hint="default" w:ascii="Times New Roman" w:hAnsi="Times New Roman" w:cs="Times New Roman"/>
          <w:b/>
          <w:bCs/>
          <w:color w:val="auto"/>
          <w:sz w:val="32"/>
          <w:szCs w:val="28"/>
          <w:lang w:val="en-US" w:eastAsia="zh-CN"/>
        </w:rPr>
      </w:pPr>
      <w:r>
        <w:rPr>
          <w:rFonts w:hint="default" w:ascii="Times New Roman" w:hAnsi="Times New Roman" w:cs="Times New Roman"/>
          <w:b/>
          <w:bCs/>
          <w:color w:val="auto"/>
          <w:sz w:val="32"/>
          <w:szCs w:val="28"/>
          <w:lang w:val="en-US" w:eastAsia="zh-CN"/>
        </w:rPr>
        <w:t xml:space="preserve">前 </w:t>
      </w:r>
      <w:r>
        <w:rPr>
          <w:rFonts w:hint="eastAsia" w:ascii="Times New Roman" w:hAnsi="Times New Roman" w:cs="Times New Roman"/>
          <w:b/>
          <w:bCs/>
          <w:color w:val="auto"/>
          <w:sz w:val="32"/>
          <w:szCs w:val="28"/>
          <w:lang w:val="en-US" w:eastAsia="zh-CN"/>
        </w:rPr>
        <w:t xml:space="preserve"> </w:t>
      </w:r>
      <w:r>
        <w:rPr>
          <w:rFonts w:hint="default" w:ascii="Times New Roman" w:hAnsi="Times New Roman" w:cs="Times New Roman"/>
          <w:b/>
          <w:bCs/>
          <w:color w:val="auto"/>
          <w:sz w:val="32"/>
          <w:szCs w:val="28"/>
          <w:lang w:val="en-US" w:eastAsia="zh-CN"/>
        </w:rPr>
        <w:t>言</w:t>
      </w:r>
    </w:p>
    <w:p w14:paraId="3DE538F5">
      <w:pPr>
        <w:bidi w:val="0"/>
        <w:ind w:firstLine="600" w:firstLineChars="200"/>
        <w:rPr>
          <w:rFonts w:hint="default" w:ascii="Times New Roman" w:hAnsi="Times New Roman" w:cs="Times New Roman"/>
          <w:color w:val="auto"/>
          <w:lang w:eastAsia="zh-CN"/>
        </w:rPr>
      </w:pPr>
      <w:r>
        <w:rPr>
          <w:rFonts w:hint="default" w:ascii="Times New Roman" w:hAnsi="Times New Roman" w:cs="Times New Roman"/>
          <w:color w:val="auto"/>
        </w:rPr>
        <w:t>“十三五”</w:t>
      </w:r>
      <w:r>
        <w:rPr>
          <w:rFonts w:hint="default" w:ascii="Times New Roman" w:hAnsi="Times New Roman" w:cs="Times New Roman"/>
          <w:color w:val="auto"/>
          <w:lang w:eastAsia="zh-CN"/>
        </w:rPr>
        <w:t>以来</w:t>
      </w:r>
      <w:r>
        <w:rPr>
          <w:rFonts w:hint="default" w:ascii="Times New Roman" w:hAnsi="Times New Roman" w:cs="Times New Roman"/>
          <w:color w:val="auto"/>
        </w:rPr>
        <w:t>，</w:t>
      </w:r>
      <w:r>
        <w:rPr>
          <w:rFonts w:hint="default" w:ascii="Times New Roman" w:hAnsi="Times New Roman" w:cs="Times New Roman"/>
          <w:color w:val="auto"/>
          <w:lang w:eastAsia="zh-CN"/>
        </w:rPr>
        <w:t>蓬溪县</w:t>
      </w:r>
      <w:r>
        <w:rPr>
          <w:rFonts w:hint="default" w:ascii="Times New Roman" w:hAnsi="Times New Roman" w:cs="Times New Roman"/>
          <w:color w:val="auto"/>
        </w:rPr>
        <w:t>始终坚持习近平生态文明思想，围绕县委“生态育县</w:t>
      </w:r>
      <w:r>
        <w:rPr>
          <w:rFonts w:hint="default" w:ascii="Times New Roman" w:hAnsi="Times New Roman" w:cs="Times New Roman"/>
          <w:color w:val="auto"/>
          <w:lang w:eastAsia="zh-CN"/>
        </w:rPr>
        <w:t>，</w:t>
      </w:r>
      <w:r>
        <w:rPr>
          <w:rFonts w:hint="default" w:ascii="Times New Roman" w:hAnsi="Times New Roman" w:cs="Times New Roman"/>
          <w:color w:val="auto"/>
        </w:rPr>
        <w:t>绿色发展”思路</w:t>
      </w:r>
      <w:r>
        <w:rPr>
          <w:rFonts w:hint="default" w:ascii="Times New Roman" w:hAnsi="Times New Roman" w:cs="Times New Roman"/>
          <w:color w:val="auto"/>
          <w:lang w:eastAsia="zh-CN"/>
        </w:rPr>
        <w:t>，</w:t>
      </w:r>
      <w:r>
        <w:rPr>
          <w:rFonts w:hint="default" w:ascii="Times New Roman" w:hAnsi="Times New Roman" w:cs="Times New Roman"/>
          <w:color w:val="auto"/>
        </w:rPr>
        <w:t>以建设</w:t>
      </w:r>
      <w:r>
        <w:rPr>
          <w:rFonts w:hint="default" w:ascii="Times New Roman" w:hAnsi="Times New Roman" w:cs="Times New Roman"/>
          <w:color w:val="auto"/>
          <w:lang w:eastAsia="zh-CN"/>
        </w:rPr>
        <w:t>生态宜居城</w:t>
      </w:r>
      <w:r>
        <w:rPr>
          <w:rFonts w:hint="default" w:ascii="Times New Roman" w:hAnsi="Times New Roman" w:cs="Times New Roman"/>
          <w:color w:val="auto"/>
        </w:rPr>
        <w:t>为主线，聚焦治水、治气、治土和清废，</w:t>
      </w:r>
      <w:r>
        <w:rPr>
          <w:rFonts w:hint="default" w:ascii="Times New Roman" w:hAnsi="Times New Roman" w:cs="Times New Roman"/>
          <w:color w:val="auto"/>
          <w:lang w:eastAsia="zh-CN"/>
        </w:rPr>
        <w:t>聚力</w:t>
      </w:r>
      <w:r>
        <w:rPr>
          <w:rFonts w:hint="default" w:ascii="Times New Roman" w:hAnsi="Times New Roman" w:cs="Times New Roman"/>
          <w:color w:val="auto"/>
        </w:rPr>
        <w:t>生态保护、生态文明体制改革、示范创建等重点工作，坚决打好污染防治攻坚战，</w:t>
      </w:r>
      <w:r>
        <w:rPr>
          <w:rFonts w:hint="default" w:ascii="Times New Roman" w:hAnsi="Times New Roman" w:cs="Times New Roman"/>
          <w:color w:val="auto"/>
          <w:lang w:eastAsia="zh-CN"/>
        </w:rPr>
        <w:t>持续改善生态环境质量，为“三县一城”建设和县域经济高质量发展奠定了绿色基础。</w:t>
      </w:r>
    </w:p>
    <w:p w14:paraId="2A7B14DF">
      <w:pPr>
        <w:bidi w:val="0"/>
        <w:ind w:firstLine="60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十四五”时期是蓬溪县全面建成小康社会向基本实现社会主义现代化迈进的关键时期，绘好“十四五”生态环境保护蓝图，对统筹生态环保各项工作，夯实“新型工业化产业示范县、乡村振兴示范县和川渝毗邻地区城乡融合发展示范区”生态本底，开启美丽蓬溪建设、打造高品质生活宜居地，奋力谱写蓬溪“追赶跨越、绿色崛起”新篇章，具有十分重要的意义。</w:t>
      </w:r>
    </w:p>
    <w:p w14:paraId="7A40C0D6">
      <w:pPr>
        <w:bidi w:val="0"/>
        <w:ind w:firstLine="600" w:firstLineChars="200"/>
        <w:rPr>
          <w:rFonts w:hint="default" w:ascii="Times New Roman" w:hAnsi="Times New Roman" w:cs="Times New Roman"/>
          <w:color w:val="auto"/>
        </w:rPr>
      </w:pPr>
      <w:r>
        <w:rPr>
          <w:rFonts w:hint="default" w:ascii="Times New Roman" w:hAnsi="Times New Roman" w:cs="Times New Roman"/>
          <w:color w:val="auto"/>
        </w:rPr>
        <w:t>为了更好地指导</w:t>
      </w:r>
      <w:r>
        <w:rPr>
          <w:rFonts w:hint="default" w:ascii="Times New Roman" w:hAnsi="Times New Roman" w:cs="Times New Roman"/>
          <w:color w:val="auto"/>
          <w:lang w:eastAsia="zh-CN"/>
        </w:rPr>
        <w:t>蓬溪县</w:t>
      </w:r>
      <w:r>
        <w:rPr>
          <w:rFonts w:hint="default" w:ascii="Times New Roman" w:hAnsi="Times New Roman" w:cs="Times New Roman"/>
          <w:color w:val="auto"/>
        </w:rPr>
        <w:t>生态环境环保工作，达到经济、社会、环境三者的协调发展，按照</w:t>
      </w:r>
      <w:r>
        <w:rPr>
          <w:rFonts w:hint="default" w:ascii="Times New Roman" w:hAnsi="Times New Roman" w:cs="Times New Roman"/>
          <w:color w:val="auto"/>
          <w:lang w:eastAsia="zh-CN"/>
        </w:rPr>
        <w:t>县</w:t>
      </w:r>
      <w:r>
        <w:rPr>
          <w:rFonts w:hint="default" w:ascii="Times New Roman" w:hAnsi="Times New Roman" w:cs="Times New Roman"/>
          <w:color w:val="auto"/>
        </w:rPr>
        <w:t>委、</w:t>
      </w:r>
      <w:r>
        <w:rPr>
          <w:rFonts w:hint="default" w:ascii="Times New Roman" w:hAnsi="Times New Roman" w:cs="Times New Roman"/>
          <w:color w:val="auto"/>
          <w:lang w:eastAsia="zh-CN"/>
        </w:rPr>
        <w:t>县</w:t>
      </w:r>
      <w:r>
        <w:rPr>
          <w:rFonts w:hint="default" w:ascii="Times New Roman" w:hAnsi="Times New Roman" w:cs="Times New Roman"/>
          <w:color w:val="auto"/>
        </w:rPr>
        <w:t>政府关于“十四五”规划编制工作部署，</w:t>
      </w:r>
      <w:r>
        <w:rPr>
          <w:rFonts w:hint="default" w:ascii="Times New Roman" w:hAnsi="Times New Roman" w:cs="Times New Roman"/>
          <w:color w:val="auto"/>
          <w:lang w:eastAsia="zh-CN"/>
        </w:rPr>
        <w:t>有效衔接</w:t>
      </w:r>
      <w:r>
        <w:rPr>
          <w:rFonts w:hint="default" w:ascii="Times New Roman" w:hAnsi="Times New Roman" w:cs="Times New Roman"/>
          <w:color w:val="auto"/>
        </w:rPr>
        <w:t>《</w:t>
      </w:r>
      <w:r>
        <w:rPr>
          <w:rFonts w:hint="default" w:ascii="Times New Roman" w:hAnsi="Times New Roman" w:cs="Times New Roman"/>
          <w:color w:val="auto"/>
          <w:lang w:eastAsia="zh-CN"/>
        </w:rPr>
        <w:t>遂宁</w:t>
      </w:r>
      <w:r>
        <w:rPr>
          <w:rFonts w:hint="default" w:ascii="Times New Roman" w:hAnsi="Times New Roman" w:cs="Times New Roman"/>
          <w:color w:val="auto"/>
        </w:rPr>
        <w:t>市生态环境保护“十四五”规划》</w:t>
      </w:r>
      <w:r>
        <w:rPr>
          <w:rFonts w:hint="default" w:ascii="Times New Roman" w:hAnsi="Times New Roman" w:cs="Times New Roman"/>
          <w:color w:val="auto"/>
          <w:lang w:eastAsia="zh-CN"/>
        </w:rPr>
        <w:t>、《蓬溪县国民经济和社会发展第十四个五年规划和二〇三五远景目标纲要》及其他</w:t>
      </w:r>
      <w:r>
        <w:rPr>
          <w:rFonts w:hint="default" w:ascii="Times New Roman" w:hAnsi="Times New Roman" w:cs="Times New Roman"/>
          <w:color w:val="auto"/>
        </w:rPr>
        <w:t>相关</w:t>
      </w:r>
      <w:r>
        <w:rPr>
          <w:rFonts w:hint="default" w:ascii="Times New Roman" w:hAnsi="Times New Roman" w:cs="Times New Roman"/>
          <w:color w:val="auto"/>
          <w:lang w:eastAsia="zh-CN"/>
        </w:rPr>
        <w:t>专项</w:t>
      </w:r>
      <w:r>
        <w:rPr>
          <w:rFonts w:hint="default" w:ascii="Times New Roman" w:hAnsi="Times New Roman" w:cs="Times New Roman"/>
          <w:color w:val="auto"/>
        </w:rPr>
        <w:t>规划，</w:t>
      </w:r>
      <w:r>
        <w:rPr>
          <w:rFonts w:hint="default" w:ascii="Times New Roman" w:hAnsi="Times New Roman" w:cs="Times New Roman"/>
          <w:color w:val="auto"/>
          <w:lang w:eastAsia="zh-CN"/>
        </w:rPr>
        <w:t>结合蓬溪县实际制定《蓬溪县“十四五”生态环境保护规划》（以下简称“规划”），本规划是蓬溪县国民经济和社会发展第十四个五年规划的重点专项规划，规划期限为</w:t>
      </w:r>
      <w:r>
        <w:rPr>
          <w:rFonts w:hint="default" w:ascii="Times New Roman" w:hAnsi="Times New Roman" w:cs="Times New Roman"/>
          <w:color w:val="auto"/>
          <w:lang w:val="en-US" w:eastAsia="zh-CN"/>
        </w:rPr>
        <w:t>2021-2025年，规划远景目标到2035年。</w:t>
      </w:r>
      <w:r>
        <w:rPr>
          <w:rFonts w:hint="default" w:ascii="Times New Roman" w:hAnsi="Times New Roman" w:cs="Times New Roman"/>
          <w:color w:val="auto"/>
        </w:rPr>
        <w:br w:type="page"/>
      </w:r>
    </w:p>
    <w:p w14:paraId="49523F83">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28"/>
          <w:szCs w:val="28"/>
        </w:rPr>
      </w:pPr>
      <w:r>
        <w:rPr>
          <w:rFonts w:hint="default" w:ascii="Times New Roman" w:hAnsi="Times New Roman" w:eastAsia="宋体" w:cs="Times New Roman"/>
          <w:b/>
          <w:bCs/>
          <w:color w:val="auto"/>
          <w:sz w:val="28"/>
          <w:szCs w:val="28"/>
        </w:rPr>
        <w:t>目</w:t>
      </w:r>
      <w:r>
        <w:rPr>
          <w:rFonts w:hint="eastAsia"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录</w:t>
      </w:r>
    </w:p>
    <w:p w14:paraId="2F3A1781">
      <w:pPr>
        <w:pStyle w:val="14"/>
        <w:tabs>
          <w:tab w:val="right" w:leader="dot" w:pos="8306"/>
        </w:tabs>
        <w:rPr>
          <w:rFonts w:hint="eastAsia" w:ascii="华文楷体" w:hAnsi="华文楷体" w:eastAsia="华文楷体" w:cs="华文楷体"/>
          <w:color w:val="auto"/>
        </w:rPr>
      </w:pPr>
      <w:r>
        <w:rPr>
          <w:rFonts w:hint="default" w:ascii="Times New Roman" w:hAnsi="Times New Roman" w:eastAsia="黑体" w:cs="Times New Roman"/>
          <w:color w:val="auto"/>
          <w:sz w:val="24"/>
          <w:szCs w:val="24"/>
        </w:rPr>
        <w:fldChar w:fldCharType="begin"/>
      </w:r>
      <w:r>
        <w:rPr>
          <w:rFonts w:hint="default" w:ascii="Times New Roman" w:hAnsi="Times New Roman" w:eastAsia="黑体" w:cs="Times New Roman"/>
          <w:color w:val="auto"/>
          <w:sz w:val="24"/>
          <w:szCs w:val="24"/>
        </w:rPr>
        <w:instrText xml:space="preserve">TOC \o "1-3" \h \u </w:instrText>
      </w:r>
      <w:r>
        <w:rPr>
          <w:rFonts w:hint="default" w:ascii="Times New Roman" w:hAnsi="Times New Roman" w:eastAsia="黑体" w:cs="Times New Roman"/>
          <w:color w:val="auto"/>
          <w:sz w:val="24"/>
          <w:szCs w:val="24"/>
        </w:rPr>
        <w:fldChar w:fldCharType="separate"/>
      </w: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_Toc6302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第一章 规划</w:t>
      </w:r>
      <w:r>
        <w:rPr>
          <w:rFonts w:hint="eastAsia" w:ascii="华文楷体" w:hAnsi="华文楷体" w:eastAsia="华文楷体" w:cs="华文楷体"/>
          <w:color w:val="auto"/>
          <w:lang w:eastAsia="zh-CN"/>
        </w:rPr>
        <w:t>基础与形势分析</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_Toc6302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99D5E8A">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_Toc15726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w:t>
      </w:r>
      <w:r>
        <w:rPr>
          <w:rFonts w:hint="eastAsia" w:ascii="华文楷体" w:hAnsi="华文楷体" w:eastAsia="华文楷体" w:cs="华文楷体"/>
          <w:color w:val="auto"/>
          <w:lang w:val="en-US" w:eastAsia="zh-CN"/>
        </w:rPr>
        <w:t>一</w:t>
      </w:r>
      <w:r>
        <w:rPr>
          <w:rFonts w:hint="eastAsia" w:ascii="华文楷体" w:hAnsi="华文楷体" w:eastAsia="华文楷体" w:cs="华文楷体"/>
          <w:color w:val="auto"/>
        </w:rPr>
        <w:t>节  “十三五”生态环境保护工作成效</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_Toc15726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C8B197F">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_Toc10071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一</w:t>
      </w:r>
      <w:r>
        <w:rPr>
          <w:rFonts w:hint="eastAsia" w:ascii="华文楷体" w:hAnsi="华文楷体" w:eastAsia="华文楷体" w:cs="华文楷体"/>
          <w:color w:val="auto"/>
          <w:lang w:eastAsia="zh-CN"/>
        </w:rPr>
        <w:t>、</w:t>
      </w:r>
      <w:r>
        <w:rPr>
          <w:rFonts w:hint="eastAsia" w:ascii="华文楷体" w:hAnsi="华文楷体" w:eastAsia="华文楷体" w:cs="华文楷体"/>
          <w:color w:val="auto"/>
        </w:rPr>
        <w:t>环境质量持续</w:t>
      </w:r>
      <w:r>
        <w:rPr>
          <w:rFonts w:hint="eastAsia" w:ascii="华文楷体" w:hAnsi="华文楷体" w:eastAsia="华文楷体" w:cs="华文楷体"/>
          <w:color w:val="auto"/>
          <w:lang w:eastAsia="zh-CN"/>
        </w:rPr>
        <w:t>稳中向好</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_Toc10071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8EAA021">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_Toc12544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二</w:t>
      </w:r>
      <w:r>
        <w:rPr>
          <w:rFonts w:hint="eastAsia" w:ascii="华文楷体" w:hAnsi="华文楷体" w:eastAsia="华文楷体" w:cs="华文楷体"/>
          <w:color w:val="auto"/>
          <w:lang w:eastAsia="zh-CN"/>
        </w:rPr>
        <w:t>、污染防治攻坚扎实推进</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_Toc12544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F9D6F65">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_Toc3208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三、生态环境修复成效明显</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_Toc3208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18F8B65">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_Toc25684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四、体制机制改革稳步推进</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_Toc25684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3981449">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_Toc25078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五、</w:t>
      </w:r>
      <w:r>
        <w:rPr>
          <w:rFonts w:hint="eastAsia" w:ascii="华文楷体" w:hAnsi="华文楷体" w:eastAsia="华文楷体" w:cs="华文楷体"/>
          <w:color w:val="auto"/>
        </w:rPr>
        <w:t>环境监管能力明显提升</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_Toc25078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092E786">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_Toc19821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六、生态环境保护亮点突出</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_Toc19821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1BBAB25F">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_Toc17312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w:t>
      </w:r>
      <w:r>
        <w:rPr>
          <w:rFonts w:hint="eastAsia" w:ascii="华文楷体" w:hAnsi="华文楷体" w:eastAsia="华文楷体" w:cs="华文楷体"/>
          <w:color w:val="auto"/>
          <w:lang w:val="en-US" w:eastAsia="zh-CN"/>
        </w:rPr>
        <w:t>二</w:t>
      </w:r>
      <w:r>
        <w:rPr>
          <w:rFonts w:hint="eastAsia" w:ascii="华文楷体" w:hAnsi="华文楷体" w:eastAsia="华文楷体" w:cs="华文楷体"/>
          <w:color w:val="auto"/>
        </w:rPr>
        <w:t>节  存在的主要问题</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_Toc17312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6F996A49">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_Toc17972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一</w:t>
      </w:r>
      <w:r>
        <w:rPr>
          <w:rFonts w:hint="eastAsia" w:ascii="华文楷体" w:hAnsi="华文楷体" w:eastAsia="华文楷体" w:cs="华文楷体"/>
          <w:color w:val="auto"/>
          <w:lang w:eastAsia="zh-CN"/>
        </w:rPr>
        <w:t>、环保基础设施仍是突出短板</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_Toc17972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7C4F63D">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_Toc8742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二</w:t>
      </w:r>
      <w:r>
        <w:rPr>
          <w:rFonts w:hint="eastAsia" w:ascii="华文楷体" w:hAnsi="华文楷体" w:eastAsia="华文楷体" w:cs="华文楷体"/>
          <w:color w:val="auto"/>
          <w:lang w:eastAsia="zh-CN"/>
        </w:rPr>
        <w:t>、污染治理阶段性</w:t>
      </w:r>
      <w:r>
        <w:rPr>
          <w:rFonts w:hint="eastAsia" w:ascii="华文楷体" w:hAnsi="华文楷体" w:eastAsia="华文楷体" w:cs="华文楷体"/>
          <w:color w:val="auto"/>
        </w:rPr>
        <w:t>成果需巩固</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_Toc8742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6</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116658CC">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_Toc27057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szCs w:val="28"/>
          <w:lang w:eastAsia="zh-CN"/>
        </w:rPr>
        <w:t>三、生态产品价值实现需创新突破</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_Toc27057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6</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6DBE61F7">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_Toc11670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w:t>
      </w:r>
      <w:r>
        <w:rPr>
          <w:rFonts w:hint="eastAsia" w:ascii="华文楷体" w:hAnsi="华文楷体" w:eastAsia="华文楷体" w:cs="华文楷体"/>
          <w:color w:val="auto"/>
          <w:lang w:val="en-US" w:eastAsia="zh-CN"/>
        </w:rPr>
        <w:t>三</w:t>
      </w:r>
      <w:r>
        <w:rPr>
          <w:rFonts w:hint="eastAsia" w:ascii="华文楷体" w:hAnsi="华文楷体" w:eastAsia="华文楷体" w:cs="华文楷体"/>
          <w:color w:val="auto"/>
        </w:rPr>
        <w:t xml:space="preserve">节 </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面临机遇与挑战</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_Toc11670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7</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71311EB">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_Toc19527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一、面临机遇</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_Toc19527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7</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47D0260">
      <w:pPr>
        <w:pStyle w:val="11"/>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_Toc17223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二、面临挑战</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_Toc17223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8</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FD9241A">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_Toc28284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第二章 总体要求</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_Toc28284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18D92E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_Toc24559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第一节  指导思想</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_Toc24559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DF9B0DB">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_Toc1874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w:t>
      </w:r>
      <w:r>
        <w:rPr>
          <w:rFonts w:hint="eastAsia" w:ascii="华文楷体" w:hAnsi="华文楷体" w:eastAsia="华文楷体" w:cs="华文楷体"/>
          <w:color w:val="auto"/>
          <w:lang w:eastAsia="zh-CN"/>
        </w:rPr>
        <w:t>二</w:t>
      </w:r>
      <w:r>
        <w:rPr>
          <w:rFonts w:hint="eastAsia" w:ascii="华文楷体" w:hAnsi="华文楷体" w:eastAsia="华文楷体" w:cs="华文楷体"/>
          <w:color w:val="auto"/>
        </w:rPr>
        <w:t>节  基本原则</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_Toc1874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FAF16FA">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_Toc24350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rPr>
        <w:t>第</w:t>
      </w:r>
      <w:r>
        <w:rPr>
          <w:rFonts w:hint="eastAsia" w:ascii="华文楷体" w:hAnsi="华文楷体" w:eastAsia="华文楷体" w:cs="华文楷体"/>
          <w:color w:val="auto"/>
          <w:lang w:eastAsia="zh-CN"/>
        </w:rPr>
        <w:t>三</w:t>
      </w:r>
      <w:r>
        <w:rPr>
          <w:rFonts w:hint="eastAsia" w:ascii="华文楷体" w:hAnsi="华文楷体" w:eastAsia="华文楷体" w:cs="华文楷体"/>
          <w:color w:val="auto"/>
        </w:rPr>
        <w:t>节  主要目标</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_Toc24350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10E6EABF">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_Toc27214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第三章 坚持生态优先，加快生态文明建设示范县建设</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_Toc27214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9E94E63">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_Toc23478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第一节</w:t>
      </w:r>
      <w:r>
        <w:rPr>
          <w:rFonts w:hint="eastAsia" w:ascii="华文楷体" w:hAnsi="华文楷体" w:eastAsia="华文楷体" w:cs="华文楷体"/>
          <w:color w:val="auto"/>
          <w:lang w:val="en-US" w:eastAsia="zh-CN"/>
        </w:rPr>
        <w:t xml:space="preserve"> 打造生态文明建设标杆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_Toc23478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3D8A90E">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_Toc11910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提高能源资源利用效率</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_Toc11910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C70A99A">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_Toc24872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加速推进产业绿色升级</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_Toc24872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16</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168D630">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_Toc10113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积极探索“两山”转化路径</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_Toc10113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18</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B7ED36D">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_Toc23407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第四章</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严格空间管控</w:t>
      </w:r>
      <w:r>
        <w:rPr>
          <w:rFonts w:hint="eastAsia" w:ascii="华文楷体" w:hAnsi="华文楷体" w:eastAsia="华文楷体" w:cs="华文楷体"/>
          <w:color w:val="auto"/>
        </w:rPr>
        <w:t>，筑牢生态</w:t>
      </w:r>
      <w:r>
        <w:rPr>
          <w:rFonts w:hint="eastAsia" w:ascii="华文楷体" w:hAnsi="华文楷体" w:eastAsia="华文楷体" w:cs="华文楷体"/>
          <w:color w:val="auto"/>
          <w:lang w:eastAsia="zh-CN"/>
        </w:rPr>
        <w:t>环境</w:t>
      </w:r>
      <w:r>
        <w:rPr>
          <w:rFonts w:hint="eastAsia" w:ascii="华文楷体" w:hAnsi="华文楷体" w:eastAsia="华文楷体" w:cs="华文楷体"/>
          <w:color w:val="auto"/>
        </w:rPr>
        <w:t>安全</w:t>
      </w:r>
      <w:r>
        <w:rPr>
          <w:rFonts w:hint="eastAsia" w:ascii="华文楷体" w:hAnsi="华文楷体" w:eastAsia="华文楷体" w:cs="华文楷体"/>
          <w:color w:val="auto"/>
          <w:lang w:eastAsia="zh-CN"/>
        </w:rPr>
        <w:t>屏障</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_Toc23407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603994F">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_Toc1445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第一节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构筑生态安全空间格局</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_Toc1445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19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ABE226B">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_Toc25645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第二节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统筹生态系统保护与修复</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_Toc25645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7396B6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_Toc25481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加强生物多样性保护</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_Toc25481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22</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AA72163">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_Toc15693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防治水土流失和地质灾害</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_Toc15693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22</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17F8293">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_Toc28263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第五章</w:t>
      </w:r>
      <w:r>
        <w:rPr>
          <w:rFonts w:hint="eastAsia" w:ascii="华文楷体" w:hAnsi="华文楷体" w:eastAsia="华文楷体" w:cs="华文楷体"/>
          <w:color w:val="auto"/>
          <w:lang w:val="en-US" w:eastAsia="zh-CN"/>
        </w:rPr>
        <w:t xml:space="preserve"> 以协同防控为主，巩固提升大气环境质量</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_Toc28263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F9968C6">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_Toc3607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加强工业污染源治理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_Toc3607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6C3CAB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_Toc2939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深化VOCs污染防治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_Toc2939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081BB96">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_Toc23973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深入移动源污染防控</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_Toc23973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25</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D3A10C5">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_Toc10524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第四节</w:t>
      </w:r>
      <w:r>
        <w:rPr>
          <w:rFonts w:hint="eastAsia" w:ascii="华文楷体" w:hAnsi="华文楷体" w:eastAsia="华文楷体" w:cs="华文楷体"/>
          <w:color w:val="auto"/>
          <w:lang w:val="en-US" w:eastAsia="zh-CN"/>
        </w:rPr>
        <w:t xml:space="preserve"> 强化面源污染治理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_Toc10524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27</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0691AF3">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_Toc24069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第六章 强化水生态修复，持续提升水环境质量</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_Toc24069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D28D233">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_Toc8652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加强水资源供给保障</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_Toc8652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29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D1DB258">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_Toc30113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深化水环境综合治理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_Toc30113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532D4E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_Toc2194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第三节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大力推动水生态修复</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_Toc2194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32</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ED7CCC9">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_Toc8348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第四节</w:t>
      </w:r>
      <w:r>
        <w:rPr>
          <w:rFonts w:hint="eastAsia" w:ascii="华文楷体" w:hAnsi="华文楷体" w:eastAsia="华文楷体" w:cs="华文楷体"/>
          <w:color w:val="auto"/>
          <w:lang w:val="en-US" w:eastAsia="zh-CN"/>
        </w:rPr>
        <w:t xml:space="preserve"> 推进美丽河湖建设与保护</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_Toc8348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D70A3B4">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_Toc12635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第七章</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协同防治土壤和地下水污染</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_Toc12635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D1D1CC7">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_Toc21049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推进农用地安全利用</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_Toc21049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815078E">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_Toc7481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加强建设用地治理修复</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_Toc7481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9AFFE5F">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_Toc32413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强化地下水监管与整治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_Toc32413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36</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3009D99">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_Toc29106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第八章</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推进农村环境整治，提升生态宜居水平</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_Toc29106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38</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502E004">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_Toc30559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强化农村污染综合治理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_Toc30559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38</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4D5F6C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_Toc7045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第二节</w:t>
      </w:r>
      <w:r>
        <w:rPr>
          <w:rFonts w:hint="eastAsia" w:ascii="华文楷体" w:hAnsi="华文楷体" w:eastAsia="华文楷体" w:cs="华文楷体"/>
          <w:color w:val="auto"/>
          <w:lang w:val="en-US" w:eastAsia="zh-CN"/>
        </w:rPr>
        <w:t xml:space="preserve"> 推进农业绿色发展行动</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_Toc7045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8702B8E">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_Toc22973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第三节</w:t>
      </w:r>
      <w:r>
        <w:rPr>
          <w:rFonts w:hint="eastAsia" w:ascii="华文楷体" w:hAnsi="华文楷体" w:eastAsia="华文楷体" w:cs="华文楷体"/>
          <w:color w:val="auto"/>
          <w:lang w:val="en-US" w:eastAsia="zh-CN"/>
        </w:rPr>
        <w:t xml:space="preserve"> 加快建设美丽宜居乡村</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_Toc22973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39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5E00465">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_Toc137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第九章</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推动绿色可持续发展，打造高品质公园城市</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_Toc137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D07A93F">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_Toc890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第一节</w:t>
      </w:r>
      <w:r>
        <w:rPr>
          <w:rFonts w:hint="eastAsia" w:ascii="华文楷体" w:hAnsi="华文楷体" w:eastAsia="华文楷体" w:cs="华文楷体"/>
          <w:color w:val="auto"/>
          <w:lang w:val="en-US" w:eastAsia="zh-CN"/>
        </w:rPr>
        <w:t xml:space="preserve"> 加快打造公园城市形态</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_Toc890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6AE1958F">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_Toc404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推进“海绵城市”建设</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_Toc404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E91F5E8">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_Toc27569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第十</w:t>
      </w:r>
      <w:r>
        <w:rPr>
          <w:rFonts w:hint="eastAsia" w:ascii="华文楷体" w:hAnsi="华文楷体" w:eastAsia="华文楷体" w:cs="华文楷体"/>
          <w:color w:val="auto"/>
          <w:lang w:val="en-US" w:eastAsia="zh-CN"/>
        </w:rPr>
        <w:t>章 坚持底线思维，统筹防范生态环境风险</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_Toc27569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4BCD24C">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_Toc21644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健全环境风险防范体系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_Toc21644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E63DCC3">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_Toc26390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推进“无废城市”建设</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_Toc26390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033C8C5C">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_Toc16401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加强核与辐射安全管理</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_Toc16401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46</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6D41EAC">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_Toc23432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第四节 积极应对气候变化</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_Toc23432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47</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D516BB9">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_Toc19807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第十一章</w:t>
      </w:r>
      <w:r>
        <w:rPr>
          <w:rFonts w:hint="eastAsia" w:ascii="华文楷体" w:hAnsi="华文楷体" w:eastAsia="华文楷体" w:cs="华文楷体"/>
          <w:color w:val="auto"/>
          <w:lang w:val="en-US" w:eastAsia="zh-CN"/>
        </w:rPr>
        <w:t xml:space="preserve"> 深化改革创新，构建现代环境治理体系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_Toc19807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2C4FE17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_Toc17626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第一节 构建更严明的环境责任体系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_Toc17626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49</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992131C">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_Toc27224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第二节 塑造更高效的市场治理体系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_Toc27224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50</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9082519">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_Toc15677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第三节 建立更完善的监管制度体系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_Toc15677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51</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42572B1">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_Toc1246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第四节 健全环境治理全民行动体系</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_Toc1246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52</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4C2FC86D">
      <w:pPr>
        <w:pStyle w:val="14"/>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_Toc3514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val="en-US" w:eastAsia="zh-CN"/>
        </w:rPr>
        <w:t>第十二章 规划实施保障措施</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_Toc3514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BE4BE85">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_Toc12763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第一节</w:t>
      </w:r>
      <w:r>
        <w:rPr>
          <w:rFonts w:hint="eastAsia" w:ascii="华文楷体" w:hAnsi="华文楷体" w:eastAsia="华文楷体" w:cs="华文楷体"/>
          <w:color w:val="auto"/>
          <w:lang w:val="en-US" w:eastAsia="zh-CN"/>
        </w:rPr>
        <w:t xml:space="preserve"> 加强组织领导</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_Toc12763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1815D7E0">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_Toc12173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第二节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强化资金投入</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_Toc12173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53</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3CE9507E">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_Toc17833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第三节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加强科技支撑</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_Toc17833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78ED779D">
      <w:pPr>
        <w:pStyle w:val="15"/>
        <w:tabs>
          <w:tab w:val="right" w:leader="dot" w:pos="8306"/>
        </w:tabs>
        <w:rPr>
          <w:rFonts w:hint="eastAsia" w:ascii="华文楷体" w:hAnsi="华文楷体" w:eastAsia="华文楷体" w:cs="华文楷体"/>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_Toc11630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第四节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加强区域合作</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_Toc11630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5607E6CD">
      <w:pPr>
        <w:pStyle w:val="15"/>
        <w:tabs>
          <w:tab w:val="right" w:leader="dot" w:pos="8306"/>
        </w:tabs>
        <w:rPr>
          <w:rFonts w:hint="default" w:ascii="Times New Roman" w:hAnsi="Times New Roman" w:cs="Times New Roman"/>
          <w:color w:val="auto"/>
        </w:rPr>
      </w:pPr>
      <w:r>
        <w:rPr>
          <w:rFonts w:hint="eastAsia" w:ascii="华文楷体" w:hAnsi="华文楷体" w:eastAsia="华文楷体" w:cs="华文楷体"/>
          <w:color w:val="auto"/>
          <w:szCs w:val="24"/>
        </w:rPr>
        <w:fldChar w:fldCharType="begin"/>
      </w:r>
      <w:r>
        <w:rPr>
          <w:rFonts w:hint="eastAsia" w:ascii="华文楷体" w:hAnsi="华文楷体" w:eastAsia="华文楷体" w:cs="华文楷体"/>
          <w:color w:val="auto"/>
          <w:szCs w:val="24"/>
        </w:rPr>
        <w:instrText xml:space="preserve"> HYPERLINK \l _Toc12484 </w:instrText>
      </w:r>
      <w:r>
        <w:rPr>
          <w:rFonts w:hint="eastAsia" w:ascii="华文楷体" w:hAnsi="华文楷体" w:eastAsia="华文楷体" w:cs="华文楷体"/>
          <w:color w:val="auto"/>
          <w:szCs w:val="24"/>
        </w:rPr>
        <w:fldChar w:fldCharType="separate"/>
      </w:r>
      <w:r>
        <w:rPr>
          <w:rFonts w:hint="eastAsia" w:ascii="华文楷体" w:hAnsi="华文楷体" w:eastAsia="华文楷体" w:cs="华文楷体"/>
          <w:color w:val="auto"/>
          <w:lang w:eastAsia="zh-CN"/>
        </w:rPr>
        <w:t>第五节</w:t>
      </w:r>
      <w:r>
        <w:rPr>
          <w:rFonts w:hint="eastAsia" w:ascii="华文楷体" w:hAnsi="华文楷体" w:eastAsia="华文楷体" w:cs="华文楷体"/>
          <w:color w:val="auto"/>
          <w:lang w:val="en-US" w:eastAsia="zh-CN"/>
        </w:rPr>
        <w:t xml:space="preserve"> </w:t>
      </w:r>
      <w:r>
        <w:rPr>
          <w:rFonts w:hint="eastAsia" w:ascii="华文楷体" w:hAnsi="华文楷体" w:eastAsia="华文楷体" w:cs="华文楷体"/>
          <w:color w:val="auto"/>
          <w:lang w:eastAsia="zh-CN"/>
        </w:rPr>
        <w:t>严格评估考核</w:t>
      </w:r>
      <w:r>
        <w:rPr>
          <w:rFonts w:hint="eastAsia" w:ascii="华文楷体" w:hAnsi="华文楷体" w:eastAsia="华文楷体" w:cs="华文楷体"/>
          <w:color w:val="auto"/>
        </w:rPr>
        <w:tab/>
      </w:r>
      <w:r>
        <w:rPr>
          <w:rFonts w:hint="eastAsia" w:ascii="华文楷体" w:hAnsi="华文楷体" w:eastAsia="华文楷体" w:cs="华文楷体"/>
          <w:color w:val="auto"/>
        </w:rPr>
        <w:fldChar w:fldCharType="begin"/>
      </w:r>
      <w:r>
        <w:rPr>
          <w:rFonts w:hint="eastAsia" w:ascii="华文楷体" w:hAnsi="华文楷体" w:eastAsia="华文楷体" w:cs="华文楷体"/>
          <w:color w:val="auto"/>
        </w:rPr>
        <w:instrText xml:space="preserve"> PAGEREF _Toc12484 \h </w:instrText>
      </w:r>
      <w:r>
        <w:rPr>
          <w:rFonts w:hint="eastAsia" w:ascii="华文楷体" w:hAnsi="华文楷体" w:eastAsia="华文楷体" w:cs="华文楷体"/>
          <w:color w:val="auto"/>
        </w:rPr>
        <w:fldChar w:fldCharType="separate"/>
      </w:r>
      <w:r>
        <w:rPr>
          <w:rFonts w:hint="eastAsia" w:ascii="华文楷体" w:hAnsi="华文楷体" w:eastAsia="华文楷体" w:cs="华文楷体"/>
          <w:color w:val="auto"/>
        </w:rPr>
        <w:t>54</w:t>
      </w:r>
      <w:r>
        <w:rPr>
          <w:rFonts w:hint="eastAsia" w:ascii="华文楷体" w:hAnsi="华文楷体" w:eastAsia="华文楷体" w:cs="华文楷体"/>
          <w:color w:val="auto"/>
        </w:rPr>
        <w:fldChar w:fldCharType="end"/>
      </w:r>
      <w:r>
        <w:rPr>
          <w:rFonts w:hint="eastAsia" w:ascii="华文楷体" w:hAnsi="华文楷体" w:eastAsia="华文楷体" w:cs="华文楷体"/>
          <w:color w:val="auto"/>
          <w:szCs w:val="24"/>
        </w:rPr>
        <w:fldChar w:fldCharType="end"/>
      </w:r>
    </w:p>
    <w:p w14:paraId="1B4CB7FC">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_Toc3078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highlight w:val="none"/>
        </w:rPr>
        <w:t>附表1 规划项目投资汇总表</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_Toc3078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56</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411AFCC3">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_Toc19168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附表</w:t>
      </w:r>
      <w:r>
        <w:rPr>
          <w:rFonts w:hint="eastAsia" w:ascii="华文楷体" w:hAnsi="华文楷体" w:eastAsia="华文楷体" w:cs="华文楷体"/>
          <w:b/>
          <w:bCs/>
          <w:color w:val="auto"/>
          <w:sz w:val="28"/>
          <w:szCs w:val="28"/>
          <w:lang w:val="en-US" w:eastAsia="zh-CN"/>
        </w:rPr>
        <w:t>2</w:t>
      </w:r>
      <w:r>
        <w:rPr>
          <w:rFonts w:hint="eastAsia" w:ascii="华文楷体" w:hAnsi="华文楷体" w:eastAsia="华文楷体" w:cs="华文楷体"/>
          <w:b/>
          <w:bCs/>
          <w:color w:val="auto"/>
          <w:sz w:val="28"/>
          <w:szCs w:val="28"/>
        </w:rPr>
        <w:t xml:space="preserve"> </w:t>
      </w:r>
      <w:r>
        <w:rPr>
          <w:rFonts w:hint="eastAsia" w:ascii="华文楷体" w:hAnsi="华文楷体" w:eastAsia="华文楷体" w:cs="华文楷体"/>
          <w:b/>
          <w:bCs/>
          <w:color w:val="auto"/>
          <w:sz w:val="28"/>
          <w:szCs w:val="28"/>
          <w:lang w:eastAsia="zh-CN"/>
        </w:rPr>
        <w:t>蓬溪</w:t>
      </w:r>
      <w:r>
        <w:rPr>
          <w:rFonts w:hint="eastAsia" w:ascii="华文楷体" w:hAnsi="华文楷体" w:eastAsia="华文楷体" w:cs="华文楷体"/>
          <w:b/>
          <w:bCs/>
          <w:color w:val="auto"/>
          <w:sz w:val="28"/>
          <w:szCs w:val="28"/>
        </w:rPr>
        <w:t>县十四五时期生态环境保护重大项目表</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_Toc19168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57</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4B9F8A52">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_Toc23330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lang w:eastAsia="zh-CN"/>
        </w:rPr>
        <w:t>附图</w:t>
      </w:r>
      <w:r>
        <w:rPr>
          <w:rFonts w:hint="eastAsia" w:ascii="华文楷体" w:hAnsi="华文楷体" w:eastAsia="华文楷体" w:cs="华文楷体"/>
          <w:b/>
          <w:bCs/>
          <w:color w:val="auto"/>
          <w:sz w:val="28"/>
          <w:szCs w:val="28"/>
          <w:lang w:val="en-US" w:eastAsia="zh-CN"/>
        </w:rPr>
        <w:t>1 蓬溪县行政区划图</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_Toc23330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69</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361AF629">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_Toc18396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lang w:val="en-US" w:eastAsia="zh-CN"/>
        </w:rPr>
        <w:t>附图2 蓬溪县地形地貌图</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_Toc18396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70</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3BB89606">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_Toc23905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lang w:val="en-US" w:eastAsia="zh-CN"/>
        </w:rPr>
        <w:t>附图3 蓬溪县河流水系图</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_Toc23905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71</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5C4AD406">
      <w:pPr>
        <w:pStyle w:val="14"/>
        <w:tabs>
          <w:tab w:val="right" w:leader="dot" w:pos="8306"/>
        </w:tabs>
        <w:rPr>
          <w:rFonts w:hint="eastAsia" w:ascii="华文楷体" w:hAnsi="华文楷体" w:eastAsia="华文楷体" w:cs="华文楷体"/>
          <w:b/>
          <w:bCs/>
          <w:color w:val="auto"/>
          <w:sz w:val="28"/>
          <w:szCs w:val="28"/>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_Toc11563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lang w:val="en-US" w:eastAsia="zh-CN"/>
        </w:rPr>
        <w:t>附图4 蓬溪县土地利用规划图</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_Toc11563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72</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44D236F6">
      <w:pPr>
        <w:pStyle w:val="14"/>
        <w:tabs>
          <w:tab w:val="right" w:leader="dot" w:pos="8306"/>
        </w:tabs>
        <w:rPr>
          <w:rFonts w:hint="eastAsia" w:ascii="华文楷体" w:hAnsi="华文楷体" w:eastAsia="华文楷体" w:cs="华文楷体"/>
          <w:b/>
          <w:bCs/>
          <w:color w:val="auto"/>
        </w:rPr>
      </w:pP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HYPERLINK \l _Toc25199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lang w:val="en-US" w:eastAsia="zh-CN"/>
        </w:rPr>
        <w:t>附图5 蓬溪县旅游资源分布图</w:t>
      </w:r>
      <w:r>
        <w:rPr>
          <w:rFonts w:hint="eastAsia" w:ascii="华文楷体" w:hAnsi="华文楷体" w:eastAsia="华文楷体" w:cs="华文楷体"/>
          <w:b/>
          <w:bCs/>
          <w:color w:val="auto"/>
          <w:sz w:val="28"/>
          <w:szCs w:val="28"/>
        </w:rPr>
        <w:tab/>
      </w:r>
      <w:r>
        <w:rPr>
          <w:rFonts w:hint="eastAsia" w:ascii="华文楷体" w:hAnsi="华文楷体" w:eastAsia="华文楷体" w:cs="华文楷体"/>
          <w:b/>
          <w:bCs/>
          <w:color w:val="auto"/>
          <w:sz w:val="28"/>
          <w:szCs w:val="28"/>
        </w:rPr>
        <w:fldChar w:fldCharType="begin"/>
      </w:r>
      <w:r>
        <w:rPr>
          <w:rFonts w:hint="eastAsia" w:ascii="华文楷体" w:hAnsi="华文楷体" w:eastAsia="华文楷体" w:cs="华文楷体"/>
          <w:b/>
          <w:bCs/>
          <w:color w:val="auto"/>
          <w:sz w:val="28"/>
          <w:szCs w:val="28"/>
        </w:rPr>
        <w:instrText xml:space="preserve"> PAGEREF _Toc25199 \h </w:instrText>
      </w:r>
      <w:r>
        <w:rPr>
          <w:rFonts w:hint="eastAsia" w:ascii="华文楷体" w:hAnsi="华文楷体" w:eastAsia="华文楷体" w:cs="华文楷体"/>
          <w:b/>
          <w:bCs/>
          <w:color w:val="auto"/>
          <w:sz w:val="28"/>
          <w:szCs w:val="28"/>
        </w:rPr>
        <w:fldChar w:fldCharType="separate"/>
      </w:r>
      <w:r>
        <w:rPr>
          <w:rFonts w:hint="eastAsia" w:ascii="华文楷体" w:hAnsi="华文楷体" w:eastAsia="华文楷体" w:cs="华文楷体"/>
          <w:b/>
          <w:bCs/>
          <w:color w:val="auto"/>
          <w:sz w:val="28"/>
          <w:szCs w:val="28"/>
        </w:rPr>
        <w:t>73</w:t>
      </w:r>
      <w:r>
        <w:rPr>
          <w:rFonts w:hint="eastAsia" w:ascii="华文楷体" w:hAnsi="华文楷体" w:eastAsia="华文楷体" w:cs="华文楷体"/>
          <w:b/>
          <w:bCs/>
          <w:color w:val="auto"/>
          <w:sz w:val="28"/>
          <w:szCs w:val="28"/>
        </w:rPr>
        <w:fldChar w:fldCharType="end"/>
      </w:r>
      <w:r>
        <w:rPr>
          <w:rFonts w:hint="eastAsia" w:ascii="华文楷体" w:hAnsi="华文楷体" w:eastAsia="华文楷体" w:cs="华文楷体"/>
          <w:b/>
          <w:bCs/>
          <w:color w:val="auto"/>
          <w:sz w:val="28"/>
          <w:szCs w:val="28"/>
        </w:rPr>
        <w:fldChar w:fldCharType="end"/>
      </w:r>
    </w:p>
    <w:p w14:paraId="68E63425">
      <w:pPr>
        <w:jc w:val="center"/>
        <w:outlineLvl w:val="9"/>
        <w:rPr>
          <w:rFonts w:hint="default" w:ascii="Times New Roman" w:hAnsi="Times New Roman" w:eastAsia="黑体" w:cs="Times New Roman"/>
          <w:color w:val="auto"/>
          <w:szCs w:val="48"/>
        </w:rPr>
        <w:sectPr>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黑体" w:cs="Times New Roman"/>
          <w:color w:val="auto"/>
          <w:szCs w:val="24"/>
        </w:rPr>
        <w:fldChar w:fldCharType="end"/>
      </w:r>
    </w:p>
    <w:p w14:paraId="54B08E3E">
      <w:pPr>
        <w:pStyle w:val="3"/>
        <w:bidi w:val="0"/>
        <w:jc w:val="center"/>
        <w:rPr>
          <w:rFonts w:hint="default" w:ascii="Times New Roman" w:hAnsi="Times New Roman" w:cs="Times New Roman"/>
          <w:color w:val="auto"/>
          <w:lang w:eastAsia="zh-CN"/>
        </w:rPr>
      </w:pPr>
      <w:bookmarkStart w:id="0" w:name="_Toc6302"/>
      <w:r>
        <w:rPr>
          <w:rFonts w:hint="default" w:ascii="Times New Roman" w:hAnsi="Times New Roman" w:cs="Times New Roman"/>
          <w:color w:val="auto"/>
        </w:rPr>
        <w:t>第一章 规划</w:t>
      </w:r>
      <w:r>
        <w:rPr>
          <w:rFonts w:hint="default" w:ascii="Times New Roman" w:hAnsi="Times New Roman" w:cs="Times New Roman"/>
          <w:color w:val="auto"/>
          <w:lang w:eastAsia="zh-CN"/>
        </w:rPr>
        <w:t>基础与形势分析</w:t>
      </w:r>
      <w:bookmarkEnd w:id="0"/>
    </w:p>
    <w:p w14:paraId="6089A6BC">
      <w:pPr>
        <w:pStyle w:val="4"/>
        <w:bidi w:val="0"/>
        <w:jc w:val="center"/>
        <w:rPr>
          <w:rFonts w:hint="default" w:ascii="Times New Roman" w:hAnsi="Times New Roman" w:cs="Times New Roman"/>
          <w:color w:val="auto"/>
        </w:rPr>
      </w:pPr>
      <w:bookmarkStart w:id="1" w:name="_Toc15726"/>
      <w:r>
        <w:rPr>
          <w:rFonts w:hint="default" w:ascii="Times New Roman" w:hAnsi="Times New Roman" w:cs="Times New Roman"/>
          <w:color w:val="auto"/>
        </w:rPr>
        <w:t>第</w:t>
      </w:r>
      <w:r>
        <w:rPr>
          <w:rFonts w:hint="default" w:ascii="Times New Roman" w:hAnsi="Times New Roman" w:cs="Times New Roman"/>
          <w:color w:val="auto"/>
          <w:lang w:val="en-US" w:eastAsia="zh-CN"/>
        </w:rPr>
        <w:t>一</w:t>
      </w:r>
      <w:r>
        <w:rPr>
          <w:rFonts w:hint="default" w:ascii="Times New Roman" w:hAnsi="Times New Roman" w:cs="Times New Roman"/>
          <w:color w:val="auto"/>
        </w:rPr>
        <w:t>节  “十三五”生态环境保护工作成效</w:t>
      </w:r>
      <w:bookmarkEnd w:id="1"/>
    </w:p>
    <w:p w14:paraId="058DD348">
      <w:pPr>
        <w:pStyle w:val="5"/>
        <w:bidi w:val="0"/>
        <w:rPr>
          <w:rFonts w:hint="default" w:ascii="Times New Roman" w:hAnsi="Times New Roman" w:cs="Times New Roman"/>
          <w:color w:val="auto"/>
        </w:rPr>
      </w:pPr>
      <w:bookmarkStart w:id="2" w:name="_Toc10071"/>
      <w:r>
        <w:rPr>
          <w:rFonts w:hint="default" w:ascii="Times New Roman" w:hAnsi="Times New Roman" w:cs="Times New Roman"/>
          <w:color w:val="auto"/>
        </w:rPr>
        <w:t>一</w:t>
      </w:r>
      <w:r>
        <w:rPr>
          <w:rFonts w:hint="default" w:ascii="Times New Roman" w:hAnsi="Times New Roman" w:cs="Times New Roman"/>
          <w:color w:val="auto"/>
          <w:lang w:eastAsia="zh-CN"/>
        </w:rPr>
        <w:t>、</w:t>
      </w:r>
      <w:r>
        <w:rPr>
          <w:rFonts w:hint="default" w:ascii="Times New Roman" w:hAnsi="Times New Roman" w:cs="Times New Roman"/>
          <w:color w:val="auto"/>
        </w:rPr>
        <w:t>环境质量持续</w:t>
      </w:r>
      <w:r>
        <w:rPr>
          <w:rFonts w:hint="default" w:ascii="Times New Roman" w:hAnsi="Times New Roman" w:cs="Times New Roman"/>
          <w:color w:val="auto"/>
          <w:lang w:eastAsia="zh-CN"/>
        </w:rPr>
        <w:t>稳中向好</w:t>
      </w:r>
      <w:bookmarkEnd w:id="2"/>
    </w:p>
    <w:p w14:paraId="60F20352">
      <w:pPr>
        <w:bidi w:val="0"/>
        <w:rPr>
          <w:rFonts w:hint="default" w:ascii="Times New Roman" w:hAnsi="Times New Roman" w:eastAsia="仿宋" w:cs="Times New Roman"/>
          <w:color w:val="auto"/>
          <w:lang w:val="en-US" w:eastAsia="zh-CN"/>
        </w:rPr>
      </w:pPr>
      <w:r>
        <w:rPr>
          <w:rFonts w:hint="default" w:ascii="Times New Roman" w:hAnsi="Times New Roman" w:cs="Times New Roman"/>
          <w:b/>
          <w:bCs/>
          <w:color w:val="auto"/>
          <w:lang w:eastAsia="zh-CN"/>
        </w:rPr>
        <w:t>环境空气质量稳步提升。</w:t>
      </w:r>
      <w:r>
        <w:rPr>
          <w:rFonts w:hint="default" w:ascii="Times New Roman" w:hAnsi="Times New Roman" w:cs="Times New Roman"/>
          <w:color w:val="auto"/>
          <w:lang w:eastAsia="zh-CN"/>
        </w:rPr>
        <w:t>2020年，蓬溪县城区环境空气质量优良天数比例为</w:t>
      </w:r>
      <w:r>
        <w:rPr>
          <w:rFonts w:hint="default" w:ascii="Times New Roman" w:hAnsi="Times New Roman" w:cs="Times New Roman"/>
          <w:color w:val="auto"/>
        </w:rPr>
        <w:t>93.7%</w:t>
      </w:r>
      <w:r>
        <w:rPr>
          <w:rFonts w:hint="default" w:ascii="Times New Roman" w:hAnsi="Times New Roman" w:cs="Times New Roman"/>
          <w:color w:val="auto"/>
          <w:lang w:eastAsia="zh-CN"/>
        </w:rPr>
        <w:t>，较</w:t>
      </w:r>
      <w:r>
        <w:rPr>
          <w:rFonts w:hint="default" w:ascii="Times New Roman" w:hAnsi="Times New Roman" w:cs="Times New Roman"/>
          <w:color w:val="auto"/>
          <w:lang w:val="en-US" w:eastAsia="zh-CN"/>
        </w:rPr>
        <w:t>2015年93.7%，保持稳定；主城区细颗粒物浓度为26.81μg/m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，较2015年下降31.3%，改善幅度位于全省前列；环境空气质量综合指数为3.02，居于全市前列，入选2018全国百佳深呼吸小城。</w:t>
      </w:r>
    </w:p>
    <w:p w14:paraId="3CE53F80">
      <w:pPr>
        <w:bidi w:val="0"/>
        <w:ind w:firstLine="602" w:firstLineChars="200"/>
        <w:rPr>
          <w:rFonts w:hint="default" w:ascii="Times New Roman" w:hAnsi="Times New Roman" w:cs="Times New Roman"/>
          <w:color w:val="auto"/>
          <w:lang w:val="en-US" w:eastAsia="zh-CN"/>
        </w:rPr>
      </w:pPr>
      <w:r>
        <w:rPr>
          <w:rFonts w:hint="default" w:ascii="Times New Roman" w:hAnsi="Times New Roman" w:cs="Times New Roman"/>
          <w:b/>
          <w:bCs/>
          <w:color w:val="auto"/>
        </w:rPr>
        <w:t>水环境质量取得</w:t>
      </w:r>
      <w:r>
        <w:rPr>
          <w:rFonts w:hint="default" w:ascii="Times New Roman" w:hAnsi="Times New Roman" w:cs="Times New Roman"/>
          <w:b/>
          <w:bCs/>
          <w:color w:val="auto"/>
          <w:lang w:eastAsia="zh-CN"/>
        </w:rPr>
        <w:t>明显</w:t>
      </w:r>
      <w:r>
        <w:rPr>
          <w:rFonts w:hint="default" w:ascii="Times New Roman" w:hAnsi="Times New Roman" w:cs="Times New Roman"/>
          <w:b/>
          <w:bCs/>
          <w:color w:val="auto"/>
        </w:rPr>
        <w:t>改善</w:t>
      </w:r>
      <w:r>
        <w:rPr>
          <w:rFonts w:hint="default" w:ascii="Times New Roman" w:hAnsi="Times New Roman" w:cs="Times New Roman"/>
          <w:b/>
          <w:bCs/>
          <w:color w:val="auto"/>
          <w:lang w:eastAsia="zh-CN"/>
        </w:rPr>
        <w:t>。</w:t>
      </w:r>
      <w:r>
        <w:rPr>
          <w:rFonts w:hint="default" w:ascii="Times New Roman" w:hAnsi="Times New Roman" w:cs="Times New Roman"/>
          <w:b w:val="0"/>
          <w:bCs w:val="0"/>
          <w:color w:val="auto"/>
          <w:lang w:eastAsia="zh-CN"/>
        </w:rPr>
        <w:t>“十三五”期间，蓬溪县无国、省控考核断面，市控断面芝溪河涪山坝断面和荷叶溪铧头咀断面水质良好</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6个市、县、乡集中式饮用水水源地水质达到地表水Ⅲ类标准，达标率100%，饮用水安全得到有效保证。</w:t>
      </w:r>
    </w:p>
    <w:p w14:paraId="7D1D732A">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声土辐射环境质量总体较好。</w:t>
      </w:r>
      <w:r>
        <w:rPr>
          <w:rFonts w:hint="default" w:ascii="Times New Roman" w:hAnsi="Times New Roman" w:cs="Times New Roman"/>
          <w:color w:val="auto"/>
          <w:lang w:val="en-US" w:eastAsia="zh-CN"/>
        </w:rPr>
        <w:t>饮用水水源地、畜禽养殖场周边、工业企业土壤环境质量总体保持稳定；县城区各功能区声环境质量总体良好，区域声环境质量处于“较好”水平，均达到国家标准，道路交通声环境处于“较好”的水平；规范化管理全县23家单位43台射线装置，辐射环境质量良好，总体保持稳定。</w:t>
      </w:r>
    </w:p>
    <w:p w14:paraId="021E3BD0">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主要污染物排放大幅削减。</w:t>
      </w:r>
      <w:r>
        <w:rPr>
          <w:rFonts w:hint="default" w:ascii="Times New Roman" w:hAnsi="Times New Roman" w:cs="Times New Roman"/>
          <w:color w:val="auto"/>
          <w:lang w:val="en-US" w:eastAsia="zh-CN"/>
        </w:rPr>
        <w:t>“十三五”以来，蓬溪县主要污染物排放量持续下降，超额完成减排目标。2016-2020年累计上报大气、水污染物减排项目分别102个、31个，削减二氧化硫414.14吨、氮氧化物166.23吨、挥发性有机物削675吨，化学需氧量2780.283吨、氨氮303.9672吨。</w:t>
      </w:r>
    </w:p>
    <w:p w14:paraId="26DBE07F">
      <w:pPr>
        <w:pStyle w:val="5"/>
        <w:spacing w:before="156"/>
        <w:rPr>
          <w:rFonts w:hint="default" w:ascii="Times New Roman" w:hAnsi="Times New Roman" w:eastAsia="仿宋" w:cs="Times New Roman"/>
          <w:color w:val="auto"/>
          <w:lang w:eastAsia="zh-CN"/>
        </w:rPr>
      </w:pPr>
      <w:bookmarkStart w:id="3" w:name="_Toc12544"/>
      <w:r>
        <w:rPr>
          <w:rFonts w:hint="default" w:ascii="Times New Roman" w:hAnsi="Times New Roman" w:cs="Times New Roman"/>
          <w:color w:val="auto"/>
        </w:rPr>
        <w:t>二</w:t>
      </w:r>
      <w:r>
        <w:rPr>
          <w:rFonts w:hint="default" w:ascii="Times New Roman" w:hAnsi="Times New Roman" w:cs="Times New Roman"/>
          <w:color w:val="auto"/>
          <w:lang w:eastAsia="zh-CN"/>
        </w:rPr>
        <w:t>、污染防治攻坚扎实推进</w:t>
      </w:r>
      <w:bookmarkEnd w:id="3"/>
    </w:p>
    <w:p w14:paraId="56CB814B">
      <w:pPr>
        <w:bidi w:val="0"/>
        <w:rPr>
          <w:rFonts w:hint="default" w:ascii="Times New Roman" w:hAnsi="Times New Roman" w:cs="Times New Roman"/>
          <w:b w:val="0"/>
          <w:bCs w:val="0"/>
          <w:color w:val="auto"/>
          <w:lang w:eastAsia="zh-CN"/>
        </w:rPr>
      </w:pPr>
      <w:r>
        <w:rPr>
          <w:rFonts w:hint="default" w:ascii="Times New Roman" w:hAnsi="Times New Roman" w:cs="Times New Roman"/>
          <w:b/>
          <w:bCs/>
          <w:color w:val="auto"/>
          <w:lang w:eastAsia="zh-CN"/>
        </w:rPr>
        <w:t>蓝天保卫战取得积极成效。</w:t>
      </w:r>
      <w:r>
        <w:rPr>
          <w:rFonts w:hint="default" w:ascii="Times New Roman" w:hAnsi="Times New Roman" w:cs="Times New Roman"/>
          <w:b w:val="0"/>
          <w:bCs w:val="0"/>
          <w:color w:val="auto"/>
          <w:lang w:eastAsia="zh-CN"/>
        </w:rPr>
        <w:t>完成高污染燃料禁燃区划定，完成</w:t>
      </w:r>
      <w:r>
        <w:rPr>
          <w:rFonts w:hint="default" w:ascii="Times New Roman" w:hAnsi="Times New Roman" w:cs="Times New Roman"/>
          <w:b w:val="0"/>
          <w:bCs w:val="0"/>
          <w:color w:val="auto"/>
          <w:lang w:val="en-US" w:eastAsia="zh-CN"/>
        </w:rPr>
        <w:t>45家</w:t>
      </w:r>
      <w:r>
        <w:rPr>
          <w:rFonts w:hint="default" w:ascii="Times New Roman" w:hAnsi="Times New Roman" w:cs="Times New Roman"/>
          <w:b w:val="0"/>
          <w:bCs w:val="0"/>
          <w:color w:val="auto"/>
          <w:lang w:eastAsia="zh-CN"/>
        </w:rPr>
        <w:t>“散乱污”企业整治，淘汰燃煤锅炉企业16户，完成23家门厂喷漆</w:t>
      </w:r>
      <w:r>
        <w:rPr>
          <w:rFonts w:hint="default" w:ascii="Times New Roman" w:hAnsi="Times New Roman" w:cs="Times New Roman"/>
          <w:b w:val="0"/>
          <w:bCs w:val="0"/>
          <w:color w:val="auto"/>
          <w:lang w:val="en-US" w:eastAsia="zh-CN"/>
        </w:rPr>
        <w:t>挥</w:t>
      </w:r>
      <w:r>
        <w:rPr>
          <w:rFonts w:hint="default" w:ascii="Times New Roman" w:hAnsi="Times New Roman" w:cs="Times New Roman"/>
          <w:b w:val="0"/>
          <w:bCs w:val="0"/>
          <w:color w:val="auto"/>
          <w:lang w:eastAsia="zh-CN"/>
        </w:rPr>
        <w:t>发性有机物治理项目升级改造。出台《蓬溪县建筑工地施工扬尘专项治理工作方案》，严格施工、道路、堆场扬尘管控。监销“黄标车”210辆，查处超标柴油货车238辆，完成212家餐饮企业油烟净化器的安装，安装率达78.62%。严禁城市“五烧”，大力推动秸秆“五化”利用，秸秆综合利用率达92%。</w:t>
      </w:r>
    </w:p>
    <w:p w14:paraId="15B4D149">
      <w:pPr>
        <w:bidi w:val="0"/>
        <w:rPr>
          <w:rFonts w:hint="default" w:ascii="Times New Roman" w:hAnsi="Times New Roman" w:cs="Times New Roman"/>
          <w:b w:val="0"/>
          <w:bCs w:val="0"/>
          <w:color w:val="auto"/>
          <w:lang w:eastAsia="zh-CN"/>
        </w:rPr>
      </w:pPr>
      <w:r>
        <w:rPr>
          <w:rFonts w:hint="default" w:ascii="Times New Roman" w:hAnsi="Times New Roman" w:cs="Times New Roman"/>
          <w:b/>
          <w:bCs/>
          <w:color w:val="auto"/>
          <w:lang w:eastAsia="zh-CN"/>
        </w:rPr>
        <w:t>碧水保卫战取得突破性进展。</w:t>
      </w:r>
      <w:r>
        <w:rPr>
          <w:rFonts w:hint="default" w:ascii="Times New Roman" w:hAnsi="Times New Roman" w:cs="Times New Roman"/>
          <w:b w:val="0"/>
          <w:bCs w:val="0"/>
          <w:color w:val="auto"/>
          <w:lang w:eastAsia="zh-CN"/>
        </w:rPr>
        <w:t>全县已建成城镇污水处理厂20座、非建制镇污水处理厂8座，处理能力达5</w:t>
      </w:r>
      <w:r>
        <w:rPr>
          <w:rFonts w:hint="default" w:ascii="Times New Roman" w:hAnsi="Times New Roman" w:cs="Times New Roman"/>
          <w:b w:val="0"/>
          <w:bCs w:val="0"/>
          <w:color w:val="auto"/>
          <w:lang w:val="en-US" w:eastAsia="zh-CN"/>
        </w:rPr>
        <w:t>.</w:t>
      </w:r>
      <w:r>
        <w:rPr>
          <w:rFonts w:hint="default" w:ascii="Times New Roman" w:hAnsi="Times New Roman" w:cs="Times New Roman"/>
          <w:b w:val="0"/>
          <w:bCs w:val="0"/>
          <w:color w:val="auto"/>
          <w:lang w:eastAsia="zh-CN"/>
        </w:rPr>
        <w:t>525</w:t>
      </w:r>
      <w:r>
        <w:rPr>
          <w:rFonts w:hint="default" w:ascii="Times New Roman" w:hAnsi="Times New Roman" w:cs="Times New Roman"/>
          <w:b w:val="0"/>
          <w:bCs w:val="0"/>
          <w:color w:val="auto"/>
          <w:lang w:val="en-US" w:eastAsia="zh-CN"/>
        </w:rPr>
        <w:t>万m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/d</w:t>
      </w:r>
      <w:r>
        <w:rPr>
          <w:rFonts w:hint="default" w:ascii="Times New Roman" w:hAnsi="Times New Roman" w:cs="Times New Roman"/>
          <w:b w:val="0"/>
          <w:bCs w:val="0"/>
          <w:color w:val="auto"/>
          <w:lang w:eastAsia="zh-CN"/>
        </w:rPr>
        <w:t>，实现城镇污水处理设施全覆盖。全县261个行政村中，</w:t>
      </w:r>
      <w:r>
        <w:rPr>
          <w:rFonts w:hint="default" w:ascii="Times New Roman" w:hAnsi="Times New Roman" w:cs="Times New Roman"/>
          <w:b w:val="0"/>
          <w:bCs w:val="0"/>
          <w:color w:val="auto"/>
          <w:lang w:val="en-US" w:eastAsia="zh-CN"/>
        </w:rPr>
        <w:t>有</w:t>
      </w:r>
      <w:r>
        <w:rPr>
          <w:rFonts w:hint="default" w:ascii="Times New Roman" w:hAnsi="Times New Roman" w:cs="Times New Roman"/>
          <w:b w:val="0"/>
          <w:bCs w:val="0"/>
          <w:color w:val="auto"/>
          <w:lang w:eastAsia="zh-CN"/>
        </w:rPr>
        <w:t>180个行政村</w:t>
      </w:r>
      <w:r>
        <w:rPr>
          <w:rFonts w:hint="default" w:ascii="Times New Roman" w:hAnsi="Times New Roman" w:cs="Times New Roman"/>
          <w:b w:val="0"/>
          <w:bCs w:val="0"/>
          <w:color w:val="auto"/>
          <w:lang w:val="en-US" w:eastAsia="zh-CN"/>
        </w:rPr>
        <w:t>的</w:t>
      </w:r>
      <w:r>
        <w:rPr>
          <w:rFonts w:hint="default" w:ascii="Times New Roman" w:hAnsi="Times New Roman" w:cs="Times New Roman"/>
          <w:b w:val="0"/>
          <w:bCs w:val="0"/>
          <w:color w:val="auto"/>
          <w:lang w:eastAsia="zh-CN"/>
        </w:rPr>
        <w:t>生活污水得到有效治理。修订畜禽养殖禁养区划定方案，主要农作物化肥、农药使用量实现零增长，废旧农膜回收利用率达92%，农药废旧包装回收率达</w:t>
      </w:r>
      <w:r>
        <w:rPr>
          <w:rFonts w:hint="default" w:ascii="Times New Roman" w:hAnsi="Times New Roman" w:cs="Times New Roman"/>
          <w:b w:val="0"/>
          <w:bCs w:val="0"/>
          <w:color w:val="auto"/>
          <w:lang w:val="en-US" w:eastAsia="zh-CN"/>
        </w:rPr>
        <w:t>70.1</w:t>
      </w:r>
      <w:r>
        <w:rPr>
          <w:rFonts w:hint="default" w:ascii="Times New Roman" w:hAnsi="Times New Roman" w:cs="Times New Roman"/>
          <w:b w:val="0"/>
          <w:bCs w:val="0"/>
          <w:color w:val="auto"/>
          <w:lang w:eastAsia="zh-CN"/>
        </w:rPr>
        <w:t>%以上，畜禽粪污综合利用率达</w:t>
      </w:r>
      <w:r>
        <w:rPr>
          <w:rFonts w:hint="default" w:ascii="Times New Roman" w:hAnsi="Times New Roman" w:cs="Times New Roman"/>
          <w:b w:val="0"/>
          <w:bCs w:val="0"/>
          <w:color w:val="auto"/>
          <w:lang w:val="en-US" w:eastAsia="zh-CN"/>
        </w:rPr>
        <w:t>95.94</w:t>
      </w:r>
      <w:r>
        <w:rPr>
          <w:rFonts w:hint="default" w:ascii="Times New Roman" w:hAnsi="Times New Roman" w:cs="Times New Roman"/>
          <w:b w:val="0"/>
          <w:bCs w:val="0"/>
          <w:color w:val="auto"/>
          <w:lang w:eastAsia="zh-CN"/>
        </w:rPr>
        <w:t>%，规模养殖场粪污处理设施装备配套率达100%。大食品荣获省级节水型企业称号，美立方门业、川胜电缆获得省级绿色制造示范企业称号。</w:t>
      </w:r>
    </w:p>
    <w:p w14:paraId="6D7BEAFC">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净土攻坚战取得阶段性胜利。</w:t>
      </w:r>
      <w:r>
        <w:rPr>
          <w:rFonts w:hint="default" w:ascii="Times New Roman" w:hAnsi="Times New Roman" w:cs="Times New Roman"/>
          <w:color w:val="auto"/>
          <w:lang w:eastAsia="zh-CN"/>
        </w:rPr>
        <w:t>完成农用地、饮用水水源区土壤污染状况详查和农用地土壤环境质量类别划定；完成12家重点行业企业18个地块的用地调查基础信息采集和3块疑似污染地块开展初步调查；强化未污染土壤保护和监管，实施建设用地准入管理。全面推进垃圾处理设施统一打包建设运营PPP项，目全县辖区城区及19个乡镇共有垃圾中转站27个，压缩转运车辆11辆、收集清运车91辆，确保了垃圾日清理、日收集、日转运，清运率达100%。</w:t>
      </w:r>
    </w:p>
    <w:p w14:paraId="1323B0E1">
      <w:pPr>
        <w:pStyle w:val="5"/>
        <w:bidi w:val="0"/>
        <w:rPr>
          <w:rFonts w:hint="default" w:ascii="Times New Roman" w:hAnsi="Times New Roman" w:cs="Times New Roman"/>
          <w:color w:val="auto"/>
          <w:lang w:eastAsia="zh-CN"/>
        </w:rPr>
      </w:pPr>
      <w:bookmarkStart w:id="4" w:name="_Toc3208"/>
      <w:r>
        <w:rPr>
          <w:rFonts w:hint="default" w:ascii="Times New Roman" w:hAnsi="Times New Roman" w:cs="Times New Roman"/>
          <w:color w:val="auto"/>
          <w:lang w:eastAsia="zh-CN"/>
        </w:rPr>
        <w:t>三、生态环境修复成效明显</w:t>
      </w:r>
      <w:bookmarkEnd w:id="4"/>
    </w:p>
    <w:p w14:paraId="17FB7A78">
      <w:pPr>
        <w:bidi w:val="0"/>
        <w:rPr>
          <w:rFonts w:hint="default" w:ascii="Times New Roman" w:hAnsi="Times New Roman" w:cs="Times New Roman"/>
          <w:color w:val="auto"/>
          <w:lang w:eastAsia="zh-CN"/>
        </w:rPr>
      </w:pPr>
      <w:r>
        <w:rPr>
          <w:rFonts w:hint="default" w:ascii="Times New Roman" w:hAnsi="Times New Roman" w:cs="Times New Roman"/>
          <w:b/>
          <w:bCs/>
          <w:color w:val="auto"/>
        </w:rPr>
        <w:t>国土绿化行动</w:t>
      </w:r>
      <w:r>
        <w:rPr>
          <w:rFonts w:hint="default" w:ascii="Times New Roman" w:hAnsi="Times New Roman" w:cs="Times New Roman"/>
          <w:b/>
          <w:bCs/>
          <w:color w:val="auto"/>
          <w:lang w:eastAsia="zh-CN"/>
        </w:rPr>
        <w:t>成效突出。</w:t>
      </w:r>
      <w:r>
        <w:rPr>
          <w:rFonts w:hint="default" w:ascii="Times New Roman" w:hAnsi="Times New Roman" w:cs="Times New Roman"/>
          <w:color w:val="auto"/>
        </w:rPr>
        <w:t>实施大规模绿化全川蓬溪行动，</w:t>
      </w:r>
      <w:r>
        <w:rPr>
          <w:rFonts w:hint="default" w:ascii="Times New Roman" w:hAnsi="Times New Roman" w:cs="Times New Roman"/>
          <w:color w:val="auto"/>
          <w:lang w:eastAsia="zh-CN"/>
        </w:rPr>
        <w:t>落实</w:t>
      </w:r>
      <w:r>
        <w:rPr>
          <w:rFonts w:hint="default" w:ascii="Times New Roman" w:hAnsi="Times New Roman" w:cs="Times New Roman"/>
          <w:color w:val="auto"/>
        </w:rPr>
        <w:t>退耕还林、天然林保护等国家重点工程，建成农环线回水</w:t>
      </w:r>
      <w:r>
        <w:rPr>
          <w:rFonts w:hint="default" w:ascii="Times New Roman" w:hAnsi="Times New Roman" w:cs="Times New Roman"/>
          <w:color w:val="auto"/>
          <w:lang w:eastAsia="zh-CN"/>
        </w:rPr>
        <w:t>—</w:t>
      </w:r>
      <w:r>
        <w:rPr>
          <w:rFonts w:hint="default" w:ascii="Times New Roman" w:hAnsi="Times New Roman" w:cs="Times New Roman"/>
          <w:color w:val="auto"/>
        </w:rPr>
        <w:t>天福段全段景观带、大石牛角沟旷继勋起义遗址植物景观、金桥涪江沿岸防护林等生态项目，道路、水系</w:t>
      </w:r>
      <w:r>
        <w:rPr>
          <w:rFonts w:hint="default" w:ascii="Times New Roman" w:hAnsi="Times New Roman" w:cs="Times New Roman"/>
          <w:color w:val="auto"/>
          <w:lang w:eastAsia="zh-CN"/>
        </w:rPr>
        <w:t>、</w:t>
      </w:r>
      <w:r>
        <w:rPr>
          <w:rFonts w:hint="default" w:ascii="Times New Roman" w:hAnsi="Times New Roman" w:cs="Times New Roman"/>
          <w:color w:val="auto"/>
        </w:rPr>
        <w:t>乡村绿化总面积达2万</w:t>
      </w:r>
      <w:r>
        <w:rPr>
          <w:rFonts w:hint="default" w:ascii="Times New Roman" w:hAnsi="Times New Roman" w:cs="Times New Roman"/>
          <w:color w:val="auto"/>
          <w:lang w:eastAsia="zh-CN"/>
        </w:rPr>
        <w:t>多</w:t>
      </w:r>
      <w:r>
        <w:rPr>
          <w:rFonts w:hint="default" w:ascii="Times New Roman" w:hAnsi="Times New Roman" w:cs="Times New Roman"/>
          <w:color w:val="auto"/>
        </w:rPr>
        <w:t>亩，城区绿化覆盖率达41.6%</w:t>
      </w:r>
      <w:r>
        <w:rPr>
          <w:rFonts w:hint="default" w:ascii="Times New Roman" w:hAnsi="Times New Roman" w:cs="Times New Roman"/>
          <w:color w:val="auto"/>
          <w:lang w:eastAsia="zh-CN"/>
        </w:rPr>
        <w:t>。先后</w:t>
      </w:r>
      <w:r>
        <w:rPr>
          <w:rFonts w:hint="default" w:ascii="Times New Roman" w:hAnsi="Times New Roman" w:cs="Times New Roman"/>
          <w:color w:val="auto"/>
        </w:rPr>
        <w:t>创建5个国家级森林乡村、2个省级康养基地、1个自然教育基地，省级园林式单位10个、园林式居住小区6个</w:t>
      </w:r>
      <w:r>
        <w:rPr>
          <w:rFonts w:hint="default" w:ascii="Times New Roman" w:hAnsi="Times New Roman" w:cs="Times New Roman"/>
          <w:color w:val="auto"/>
          <w:lang w:eastAsia="zh-CN"/>
        </w:rPr>
        <w:t>，</w:t>
      </w:r>
      <w:r>
        <w:rPr>
          <w:rFonts w:hint="default" w:ascii="Times New Roman" w:hAnsi="Times New Roman" w:cs="Times New Roman"/>
          <w:color w:val="auto"/>
        </w:rPr>
        <w:t>市级园林式单位25个、园林式居住小区15个</w:t>
      </w:r>
      <w:r>
        <w:rPr>
          <w:rFonts w:hint="default" w:ascii="Times New Roman" w:hAnsi="Times New Roman" w:cs="Times New Roman"/>
          <w:color w:val="auto"/>
          <w:lang w:eastAsia="zh-CN"/>
        </w:rPr>
        <w:t>，</w:t>
      </w:r>
      <w:r>
        <w:rPr>
          <w:rFonts w:hint="default" w:ascii="Times New Roman" w:hAnsi="Times New Roman" w:cs="Times New Roman"/>
          <w:color w:val="auto"/>
        </w:rPr>
        <w:t>县级园林式单位8个、园林式居住小区4个</w:t>
      </w:r>
      <w:r>
        <w:rPr>
          <w:rFonts w:hint="default" w:ascii="Times New Roman" w:hAnsi="Times New Roman" w:cs="Times New Roman"/>
          <w:color w:val="auto"/>
          <w:lang w:eastAsia="zh-CN"/>
        </w:rPr>
        <w:t>。</w:t>
      </w:r>
    </w:p>
    <w:p w14:paraId="430B5044">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水生态保护与修复逐步加强</w:t>
      </w:r>
      <w:r>
        <w:rPr>
          <w:rFonts w:hint="default" w:ascii="Times New Roman" w:hAnsi="Times New Roman" w:cs="Times New Roman"/>
          <w:color w:val="auto"/>
          <w:lang w:eastAsia="zh-CN"/>
        </w:rPr>
        <w:t>。纵深推进全县砂改工作，有效遏制涪江流域“四乱”现象，完成16处沿岸砂石“四乱”点位整治，修复河道岸线8.2公里，复耕、复绿850余亩。全面完成</w:t>
      </w:r>
      <w:r>
        <w:rPr>
          <w:rFonts w:hint="default" w:ascii="Times New Roman" w:hAnsi="Times New Roman" w:cs="Times New Roman"/>
          <w:color w:val="auto"/>
          <w:lang w:val="en-US" w:eastAsia="zh-CN"/>
        </w:rPr>
        <w:t>6个</w:t>
      </w:r>
      <w:r>
        <w:rPr>
          <w:rFonts w:hint="default" w:ascii="Times New Roman" w:hAnsi="Times New Roman" w:cs="Times New Roman"/>
          <w:color w:val="auto"/>
          <w:lang w:eastAsia="zh-CN"/>
        </w:rPr>
        <w:t>集中式饮用水水源地规范化建设，完成15条流域和6座县级管护的饮用水源水库管理范围划定工作。强力推进涪江干流水域岸线保护，编制完成全县涪江防洪规划报告。完成璧山庙、高洞庙水电站清退工作，红江电站、尖尖堰水电站、高桥水电站下泄生态流量“一站一策”实施方案，完成了生态流量泄放设施及监测设施安装，并顺利通过省级验收，接入省上监管平台。</w:t>
      </w:r>
    </w:p>
    <w:p w14:paraId="50B46712">
      <w:pPr>
        <w:pStyle w:val="5"/>
        <w:spacing w:before="156"/>
        <w:rPr>
          <w:rFonts w:hint="default" w:ascii="Times New Roman" w:hAnsi="Times New Roman" w:eastAsia="仿宋" w:cs="Times New Roman"/>
          <w:color w:val="auto"/>
          <w:lang w:eastAsia="zh-CN"/>
        </w:rPr>
      </w:pPr>
      <w:bookmarkStart w:id="5" w:name="_Toc25684"/>
      <w:r>
        <w:rPr>
          <w:rFonts w:hint="default" w:ascii="Times New Roman" w:hAnsi="Times New Roman" w:cs="Times New Roman"/>
          <w:color w:val="auto"/>
          <w:lang w:eastAsia="zh-CN"/>
        </w:rPr>
        <w:t>四、体制机制改革稳步推进</w:t>
      </w:r>
      <w:bookmarkEnd w:id="5"/>
    </w:p>
    <w:p w14:paraId="2D05EF27">
      <w:pPr>
        <w:bidi w:val="0"/>
        <w:rPr>
          <w:rFonts w:hint="default" w:ascii="Times New Roman" w:hAnsi="Times New Roman" w:cs="Times New Roman"/>
          <w:color w:val="auto"/>
          <w:lang w:eastAsia="zh-CN"/>
        </w:rPr>
      </w:pPr>
      <w:r>
        <w:rPr>
          <w:rFonts w:hint="default" w:ascii="Times New Roman" w:hAnsi="Times New Roman" w:cs="Times New Roman"/>
          <w:b/>
          <w:bCs/>
          <w:color w:val="auto"/>
        </w:rPr>
        <w:t>环境准入严把严控</w:t>
      </w:r>
      <w:r>
        <w:rPr>
          <w:rFonts w:hint="default" w:ascii="Times New Roman" w:hAnsi="Times New Roman" w:cs="Times New Roman"/>
          <w:b/>
          <w:bCs/>
          <w:color w:val="auto"/>
          <w:lang w:eastAsia="zh-CN"/>
        </w:rPr>
        <w:t>。</w:t>
      </w:r>
      <w:r>
        <w:rPr>
          <w:rFonts w:hint="default" w:ascii="Times New Roman" w:hAnsi="Times New Roman" w:cs="Times New Roman"/>
          <w:color w:val="auto"/>
          <w:lang w:eastAsia="zh-CN"/>
        </w:rPr>
        <w:t>强化规划环评指导工作，督促指导蓬溪经开区编制完成《蓬溪县金桥工业港规划修编（暨四川蓬溪经济开发区（金桥片区）规划）环境影响报告书》并通过省生态环境厅技术审查；配合市级开展遂宁市“三线一单”战略环评编制及细化完善工作；加强项目环评审核，严格执行环保“三同时”制度，完成272个环境影响报告表项目审查；开展固定污染源排污许可清理整顿和2020年排污许可发证登记工作，完成64家企业排污许可证申领，630家企业排污登记，实现了固定污染源排污许可证核发或登记全覆盖。</w:t>
      </w:r>
    </w:p>
    <w:p w14:paraId="30B9D72C">
      <w:pPr>
        <w:bidi w:val="0"/>
        <w:rPr>
          <w:rFonts w:hint="default" w:ascii="Times New Roman" w:hAnsi="Times New Roman" w:cs="Times New Roman"/>
          <w:color w:val="auto"/>
        </w:rPr>
      </w:pPr>
      <w:r>
        <w:rPr>
          <w:rFonts w:hint="default" w:ascii="Times New Roman" w:hAnsi="Times New Roman" w:cs="Times New Roman"/>
          <w:b/>
          <w:bCs/>
          <w:color w:val="auto"/>
        </w:rPr>
        <w:t>环境问题整改全力推进</w:t>
      </w:r>
      <w:r>
        <w:rPr>
          <w:rFonts w:hint="default" w:ascii="Times New Roman" w:hAnsi="Times New Roman" w:cs="Times New Roman"/>
          <w:b/>
          <w:bCs/>
          <w:color w:val="auto"/>
          <w:lang w:eastAsia="zh-CN"/>
        </w:rPr>
        <w:t>。</w:t>
      </w:r>
      <w:r>
        <w:rPr>
          <w:rFonts w:hint="default" w:ascii="Times New Roman" w:hAnsi="Times New Roman" w:cs="Times New Roman"/>
          <w:color w:val="auto"/>
          <w:lang w:eastAsia="zh-CN"/>
        </w:rPr>
        <w:t>紧盯问题抓整改，采取一月一督查，一月一报告，对问题整改重难点进行重点督查并开展“回头看”，杜绝整改成效反弹。</w:t>
      </w:r>
      <w:r>
        <w:rPr>
          <w:rFonts w:hint="default" w:ascii="Times New Roman" w:hAnsi="Times New Roman" w:cs="Times New Roman"/>
          <w:color w:val="auto"/>
          <w:lang w:val="en-US" w:eastAsia="zh-CN"/>
        </w:rPr>
        <w:t>完成</w:t>
      </w:r>
      <w:r>
        <w:rPr>
          <w:rFonts w:hint="default" w:ascii="Times New Roman" w:hAnsi="Times New Roman" w:cs="Times New Roman"/>
          <w:color w:val="auto"/>
          <w:lang w:eastAsia="zh-CN"/>
        </w:rPr>
        <w:t>中省环保督察</w:t>
      </w:r>
      <w:r>
        <w:rPr>
          <w:rFonts w:hint="default" w:ascii="Times New Roman" w:hAnsi="Times New Roman" w:cs="Times New Roman"/>
          <w:color w:val="auto"/>
          <w:lang w:val="en-US" w:eastAsia="zh-CN"/>
        </w:rPr>
        <w:t>63个问题的整改，省暗查指导发现问题16个已全部完成整改，市级排查问题48个已完成整改。</w:t>
      </w:r>
    </w:p>
    <w:p w14:paraId="62880C8A">
      <w:pPr>
        <w:pStyle w:val="5"/>
        <w:bidi w:val="0"/>
        <w:rPr>
          <w:rFonts w:hint="default" w:ascii="Times New Roman" w:hAnsi="Times New Roman" w:cs="Times New Roman"/>
          <w:color w:val="auto"/>
        </w:rPr>
      </w:pPr>
      <w:bookmarkStart w:id="6" w:name="_Toc25078"/>
      <w:r>
        <w:rPr>
          <w:rFonts w:hint="default" w:ascii="Times New Roman" w:hAnsi="Times New Roman" w:cs="Times New Roman"/>
          <w:color w:val="auto"/>
          <w:lang w:eastAsia="zh-CN"/>
        </w:rPr>
        <w:t>五、</w:t>
      </w:r>
      <w:r>
        <w:rPr>
          <w:rFonts w:hint="default" w:ascii="Times New Roman" w:hAnsi="Times New Roman" w:cs="Times New Roman"/>
          <w:color w:val="auto"/>
        </w:rPr>
        <w:t>环境监管能力明显提升</w:t>
      </w:r>
      <w:bookmarkEnd w:id="6"/>
    </w:p>
    <w:p w14:paraId="6298DDA6">
      <w:pPr>
        <w:bidi w:val="0"/>
        <w:rPr>
          <w:rFonts w:hint="default" w:ascii="Times New Roman" w:hAnsi="Times New Roman" w:cs="Times New Roman"/>
          <w:color w:val="auto"/>
        </w:rPr>
      </w:pPr>
      <w:r>
        <w:rPr>
          <w:rFonts w:hint="default" w:ascii="Times New Roman" w:hAnsi="Times New Roman" w:cs="Times New Roman"/>
          <w:b/>
          <w:bCs/>
          <w:color w:val="auto"/>
        </w:rPr>
        <w:t>环境监测能力显著提升。</w:t>
      </w:r>
      <w:r>
        <w:rPr>
          <w:rFonts w:hint="default" w:ascii="Times New Roman" w:hAnsi="Times New Roman" w:cs="Times New Roman"/>
          <w:color w:val="auto"/>
        </w:rPr>
        <w:t>新建赤城湖川祖庙县级集中式饮用水源地水质自动监测站，新购离子色谱、紫外分光光度计等大型仪器设备，</w:t>
      </w:r>
      <w:r>
        <w:rPr>
          <w:rFonts w:hint="default" w:ascii="Times New Roman" w:hAnsi="Times New Roman" w:cs="Times New Roman"/>
          <w:color w:val="auto"/>
          <w:lang w:eastAsia="zh-CN"/>
        </w:rPr>
        <w:t>监测项大幅提升，</w:t>
      </w:r>
      <w:r>
        <w:rPr>
          <w:rFonts w:hint="default" w:ascii="Times New Roman" w:hAnsi="Times New Roman" w:cs="Times New Roman"/>
          <w:color w:val="auto"/>
        </w:rPr>
        <w:t>新增汽车尾气流动监测车1辆；</w:t>
      </w:r>
      <w:r>
        <w:rPr>
          <w:rFonts w:hint="default" w:ascii="Times New Roman" w:hAnsi="Times New Roman" w:cs="Times New Roman"/>
          <w:color w:val="auto"/>
          <w:lang w:eastAsia="zh-CN"/>
        </w:rPr>
        <w:t>专业技术人员能力不断增强</w:t>
      </w:r>
      <w:r>
        <w:rPr>
          <w:rFonts w:hint="default" w:ascii="Times New Roman" w:hAnsi="Times New Roman" w:cs="Times New Roman"/>
          <w:color w:val="auto"/>
        </w:rPr>
        <w:t>。</w:t>
      </w:r>
    </w:p>
    <w:p w14:paraId="499A8241">
      <w:pPr>
        <w:bidi w:val="0"/>
        <w:rPr>
          <w:rFonts w:hint="default" w:ascii="Times New Roman" w:hAnsi="Times New Roman" w:cs="Times New Roman"/>
          <w:color w:val="auto"/>
          <w:lang w:eastAsia="zh-CN"/>
        </w:rPr>
      </w:pPr>
      <w:r>
        <w:rPr>
          <w:rFonts w:hint="default" w:ascii="Times New Roman" w:hAnsi="Times New Roman" w:cs="Times New Roman"/>
          <w:b/>
          <w:bCs/>
          <w:color w:val="auto"/>
        </w:rPr>
        <w:t>环境监管水平不断提升。</w:t>
      </w:r>
      <w:r>
        <w:rPr>
          <w:rFonts w:hint="default" w:ascii="Times New Roman" w:hAnsi="Times New Roman" w:cs="Times New Roman"/>
          <w:color w:val="auto"/>
        </w:rPr>
        <w:t>坚持“一手抓服务经济发展，一手抓执法行为规范”，不断加大监测、监控力度，现场执法力度</w:t>
      </w:r>
      <w:r>
        <w:rPr>
          <w:rFonts w:hint="default" w:ascii="Times New Roman" w:hAnsi="Times New Roman" w:cs="Times New Roman"/>
          <w:color w:val="auto"/>
          <w:lang w:eastAsia="zh-CN"/>
        </w:rPr>
        <w:t>不断</w:t>
      </w:r>
      <w:r>
        <w:rPr>
          <w:rFonts w:hint="default" w:ascii="Times New Roman" w:hAnsi="Times New Roman" w:cs="Times New Roman"/>
          <w:color w:val="auto"/>
        </w:rPr>
        <w:t>加大</w:t>
      </w:r>
      <w:r>
        <w:rPr>
          <w:rFonts w:hint="default" w:ascii="Times New Roman" w:hAnsi="Times New Roman" w:cs="Times New Roman"/>
          <w:color w:val="auto"/>
          <w:lang w:eastAsia="zh-CN"/>
        </w:rPr>
        <w:t>，污染源日常监管双随机化，信访投诉处理回复不断加强，推进企业环境信用评价工作，14家企业获得省级“环保良好企业”称号，1家企业获得省级“环保诚信企业”称号，16家企业获得市级“环保良好企业”称号，6家企业获得省级“环保良好企业”称号。</w:t>
      </w:r>
    </w:p>
    <w:p w14:paraId="0EC1922C">
      <w:pPr>
        <w:pStyle w:val="5"/>
        <w:bidi w:val="0"/>
        <w:rPr>
          <w:rFonts w:hint="default" w:ascii="Times New Roman" w:hAnsi="Times New Roman" w:cs="Times New Roman"/>
          <w:color w:val="auto"/>
          <w:lang w:eastAsia="zh-CN"/>
        </w:rPr>
      </w:pPr>
      <w:bookmarkStart w:id="7" w:name="_Toc19821"/>
      <w:r>
        <w:rPr>
          <w:rFonts w:hint="default" w:ascii="Times New Roman" w:hAnsi="Times New Roman" w:cs="Times New Roman"/>
          <w:color w:val="auto"/>
          <w:lang w:eastAsia="zh-CN"/>
        </w:rPr>
        <w:t>六、生态环境保护亮点突出</w:t>
      </w:r>
      <w:bookmarkEnd w:id="7"/>
    </w:p>
    <w:p w14:paraId="1F449381">
      <w:pPr>
        <w:bidi w:val="0"/>
        <w:rPr>
          <w:rFonts w:hint="default" w:ascii="Times New Roman" w:hAnsi="Times New Roman" w:cs="Times New Roman"/>
          <w:b/>
          <w:bCs/>
          <w:color w:val="auto"/>
        </w:rPr>
      </w:pPr>
      <w:r>
        <w:rPr>
          <w:rFonts w:hint="default" w:ascii="Times New Roman" w:hAnsi="Times New Roman" w:cs="Times New Roman"/>
          <w:b/>
          <w:bCs/>
          <w:color w:val="auto"/>
          <w:lang w:eastAsia="zh-CN"/>
        </w:rPr>
        <w:t>强化</w:t>
      </w:r>
      <w:r>
        <w:rPr>
          <w:rFonts w:hint="default" w:ascii="Times New Roman" w:hAnsi="Times New Roman" w:cs="Times New Roman"/>
          <w:b/>
          <w:bCs/>
          <w:color w:val="auto"/>
        </w:rPr>
        <w:t>水资源节约与利用</w:t>
      </w:r>
      <w:r>
        <w:rPr>
          <w:rFonts w:hint="default" w:ascii="Times New Roman" w:hAnsi="Times New Roman" w:cs="Times New Roman"/>
          <w:b/>
          <w:bCs/>
          <w:color w:val="auto"/>
          <w:lang w:eastAsia="zh-CN"/>
        </w:rPr>
        <w:t>。</w:t>
      </w:r>
      <w:r>
        <w:rPr>
          <w:rFonts w:hint="default" w:ascii="Times New Roman" w:hAnsi="Times New Roman" w:cs="Times New Roman"/>
          <w:color w:val="auto"/>
          <w:szCs w:val="32"/>
        </w:rPr>
        <w:t>印发《蓬溪县节水行动方案》（蓬发改函〔2020〕23号），明确了各部门节水相关职责。出台《关于建立居民阶梯水价制度的通知》（蓬发改〔2018〕151号）、《关于建立非居民用水超计划累进加价制度的通知》（蓬发改〔2018〕153号)，按年度下达取水计划，促进节约用水、合理配置水资源，提高了用水效率；印发《关于制定工业节水达标建设工作方案的通知》（蓬经信发〔2018〕29号），积极组织辖区内企业进行节水型企业建设。</w:t>
      </w:r>
    </w:p>
    <w:p w14:paraId="51112AF3">
      <w:pPr>
        <w:bidi w:val="0"/>
        <w:rPr>
          <w:rFonts w:hint="default" w:ascii="Times New Roman" w:hAnsi="Times New Roman" w:cs="Times New Roman"/>
          <w:color w:val="auto"/>
        </w:rPr>
      </w:pPr>
      <w:r>
        <w:rPr>
          <w:rFonts w:hint="default" w:ascii="Times New Roman" w:hAnsi="Times New Roman" w:cs="Times New Roman"/>
          <w:b/>
          <w:bCs/>
          <w:color w:val="auto"/>
        </w:rPr>
        <w:t>第二次全国污染源普查工作全面完成</w:t>
      </w:r>
      <w:r>
        <w:rPr>
          <w:rFonts w:hint="default" w:ascii="Times New Roman" w:hAnsi="Times New Roman" w:cs="Times New Roman"/>
          <w:b/>
          <w:bCs/>
          <w:color w:val="auto"/>
          <w:lang w:eastAsia="zh-CN"/>
        </w:rPr>
        <w:t>。</w:t>
      </w:r>
      <w:r>
        <w:rPr>
          <w:rFonts w:hint="default" w:ascii="Times New Roman" w:hAnsi="Times New Roman" w:cs="Times New Roman"/>
          <w:color w:val="auto"/>
        </w:rPr>
        <w:t>完成辖区内204家工业源、</w:t>
      </w:r>
      <w:r>
        <w:rPr>
          <w:rFonts w:hint="default" w:ascii="Times New Roman" w:hAnsi="Times New Roman" w:cs="Times New Roman"/>
          <w:color w:val="auto"/>
          <w:lang w:val="en-US" w:eastAsia="zh-CN"/>
        </w:rPr>
        <w:t>379</w:t>
      </w:r>
      <w:r>
        <w:rPr>
          <w:rFonts w:hint="default" w:ascii="Times New Roman" w:hAnsi="Times New Roman" w:cs="Times New Roman"/>
          <w:color w:val="auto"/>
        </w:rPr>
        <w:t>家规模化畜禽养殖场、9家集中式污染治理设施、5台生活源锅炉、504个行政村、50个入河排污口、23个移动源加油站的调详细查，圆满完成普查任务。</w:t>
      </w:r>
    </w:p>
    <w:p w14:paraId="1E67B4B6">
      <w:pPr>
        <w:pStyle w:val="4"/>
        <w:spacing w:before="312"/>
        <w:jc w:val="center"/>
        <w:rPr>
          <w:rFonts w:hint="default" w:ascii="Times New Roman" w:hAnsi="Times New Roman" w:cs="Times New Roman"/>
          <w:color w:val="auto"/>
        </w:rPr>
      </w:pPr>
      <w:bookmarkStart w:id="8" w:name="_Toc17312"/>
      <w:r>
        <w:rPr>
          <w:rFonts w:hint="default" w:ascii="Times New Roman" w:hAnsi="Times New Roman" w:cs="Times New Roman"/>
          <w:color w:val="auto"/>
        </w:rPr>
        <w:t>第</w:t>
      </w:r>
      <w:r>
        <w:rPr>
          <w:rFonts w:hint="default" w:ascii="Times New Roman" w:hAnsi="Times New Roman" w:cs="Times New Roman"/>
          <w:color w:val="auto"/>
          <w:lang w:val="en-US" w:eastAsia="zh-CN"/>
        </w:rPr>
        <w:t>二</w:t>
      </w:r>
      <w:r>
        <w:rPr>
          <w:rFonts w:hint="default" w:ascii="Times New Roman" w:hAnsi="Times New Roman" w:cs="Times New Roman"/>
          <w:color w:val="auto"/>
        </w:rPr>
        <w:t>节  存在的主要问题</w:t>
      </w:r>
      <w:bookmarkEnd w:id="8"/>
    </w:p>
    <w:p w14:paraId="2F1F103E">
      <w:pPr>
        <w:pStyle w:val="5"/>
        <w:spacing w:before="156"/>
        <w:rPr>
          <w:rFonts w:hint="default" w:ascii="Times New Roman" w:hAnsi="Times New Roman" w:eastAsia="仿宋" w:cs="Times New Roman"/>
          <w:color w:val="auto"/>
          <w:lang w:eastAsia="zh-CN"/>
        </w:rPr>
      </w:pPr>
      <w:bookmarkStart w:id="9" w:name="_Toc17972"/>
      <w:r>
        <w:rPr>
          <w:rFonts w:hint="default" w:ascii="Times New Roman" w:hAnsi="Times New Roman" w:cs="Times New Roman"/>
          <w:color w:val="auto"/>
        </w:rPr>
        <w:t>一</w:t>
      </w:r>
      <w:r>
        <w:rPr>
          <w:rFonts w:hint="default" w:ascii="Times New Roman" w:hAnsi="Times New Roman" w:cs="Times New Roman"/>
          <w:color w:val="auto"/>
          <w:lang w:eastAsia="zh-CN"/>
        </w:rPr>
        <w:t>、环保基础设施仍是突出短板</w:t>
      </w:r>
      <w:bookmarkEnd w:id="9"/>
    </w:p>
    <w:p w14:paraId="69915F3E">
      <w:pPr>
        <w:bidi w:val="0"/>
        <w:rPr>
          <w:rFonts w:hint="default" w:ascii="Times New Roman" w:hAnsi="Times New Roman" w:cs="Times New Roman"/>
          <w:color w:val="auto"/>
          <w:lang w:eastAsia="zh-CN"/>
        </w:rPr>
      </w:pPr>
      <w:r>
        <w:rPr>
          <w:rFonts w:hint="default" w:ascii="Times New Roman" w:hAnsi="Times New Roman" w:cs="Times New Roman"/>
          <w:color w:val="auto"/>
        </w:rPr>
        <w:t>全</w:t>
      </w:r>
      <w:r>
        <w:rPr>
          <w:rFonts w:hint="default" w:ascii="Times New Roman" w:hAnsi="Times New Roman" w:cs="Times New Roman"/>
          <w:color w:val="auto"/>
          <w:lang w:eastAsia="zh-CN"/>
        </w:rPr>
        <w:t>县</w:t>
      </w:r>
      <w:r>
        <w:rPr>
          <w:rFonts w:hint="default" w:ascii="Times New Roman" w:hAnsi="Times New Roman" w:cs="Times New Roman"/>
          <w:color w:val="auto"/>
        </w:rPr>
        <w:t>城乡环保基础设施薄弱，管网不配套，乡镇污水处理厂建设进度较慢，建成运行率低，污水收集处理率低，流域水质改善困难，城镇污水处理厂扩容提标仍需加快，乡镇污水处理设施运行管理水平较低，农村生活污水处理资金缺口大，生活污泥处置仍依靠传统的填埋工艺，生活垃圾处置能力不足，工业园区污水处理、</w:t>
      </w:r>
      <w:r>
        <w:rPr>
          <w:rFonts w:hint="default" w:ascii="Times New Roman" w:hAnsi="Times New Roman" w:cs="Times New Roman"/>
          <w:color w:val="auto"/>
          <w:lang w:eastAsia="zh-CN"/>
        </w:rPr>
        <w:t>工业</w:t>
      </w:r>
      <w:r>
        <w:rPr>
          <w:rFonts w:hint="default" w:ascii="Times New Roman" w:hAnsi="Times New Roman" w:cs="Times New Roman"/>
          <w:color w:val="auto"/>
        </w:rPr>
        <w:t>固废处置等配套基础设施不完善，环境基础设施建设的力度仍需加强</w:t>
      </w:r>
      <w:r>
        <w:rPr>
          <w:rFonts w:hint="default" w:ascii="Times New Roman" w:hAnsi="Times New Roman" w:cs="Times New Roman"/>
          <w:color w:val="auto"/>
          <w:lang w:eastAsia="zh-CN"/>
        </w:rPr>
        <w:t>；水气土协同预警体系建设工作推进较慢，项目建设任重而道远。随着城镇化、新型工业化发展，部分区域废水废气处理、城市固体废弃物处置能力与污染产生排放量不匹配，环保基础设施的缺乏给污染治理带来严峻挑战。</w:t>
      </w:r>
    </w:p>
    <w:p w14:paraId="49C252B2">
      <w:pPr>
        <w:pStyle w:val="5"/>
        <w:spacing w:before="156"/>
        <w:rPr>
          <w:rFonts w:hint="default" w:ascii="Times New Roman" w:hAnsi="Times New Roman" w:cs="Times New Roman"/>
          <w:color w:val="auto"/>
        </w:rPr>
      </w:pPr>
      <w:bookmarkStart w:id="10" w:name="_Toc8742"/>
      <w:r>
        <w:rPr>
          <w:rFonts w:hint="default" w:ascii="Times New Roman" w:hAnsi="Times New Roman" w:cs="Times New Roman"/>
          <w:color w:val="auto"/>
        </w:rPr>
        <w:t>二</w:t>
      </w:r>
      <w:r>
        <w:rPr>
          <w:rFonts w:hint="default" w:ascii="Times New Roman" w:hAnsi="Times New Roman" w:cs="Times New Roman"/>
          <w:color w:val="auto"/>
          <w:lang w:eastAsia="zh-CN"/>
        </w:rPr>
        <w:t>、污染治理阶段性</w:t>
      </w:r>
      <w:r>
        <w:rPr>
          <w:rFonts w:hint="default" w:ascii="Times New Roman" w:hAnsi="Times New Roman" w:cs="Times New Roman"/>
          <w:color w:val="auto"/>
        </w:rPr>
        <w:t>成果需巩固</w:t>
      </w:r>
      <w:bookmarkEnd w:id="10"/>
    </w:p>
    <w:p w14:paraId="40980A09">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污染治理攻坚战阶段性成果有待巩固提升。</w:t>
      </w:r>
      <w:r>
        <w:rPr>
          <w:rFonts w:hint="default" w:ascii="Times New Roman" w:hAnsi="Times New Roman" w:cs="Times New Roman"/>
          <w:color w:val="auto"/>
        </w:rPr>
        <w:t>产业布局、能源结构、交通运输结构等结构性问题未得到有效改善，大气、水环境质量突出问题仍未得到根本解决，仍处于环境问题新老交织、多领域化的复杂阶段。</w:t>
      </w:r>
      <w:r>
        <w:rPr>
          <w:rFonts w:hint="default" w:ascii="Times New Roman" w:hAnsi="Times New Roman" w:cs="Times New Roman"/>
          <w:color w:val="auto"/>
          <w:lang w:eastAsia="zh-CN"/>
        </w:rPr>
        <w:t>大</w:t>
      </w:r>
      <w:r>
        <w:rPr>
          <w:rFonts w:hint="default" w:ascii="Times New Roman" w:hAnsi="Times New Roman" w:cs="Times New Roman"/>
          <w:color w:val="auto"/>
        </w:rPr>
        <w:t>气环境方面，细颗粒物与臭氧协同控制压力巨大，挥发性有机物治理能力依旧薄弱，实现全面稳定达标</w:t>
      </w:r>
      <w:r>
        <w:rPr>
          <w:rFonts w:hint="default" w:ascii="Times New Roman" w:hAnsi="Times New Roman" w:cs="Times New Roman"/>
          <w:color w:val="auto"/>
          <w:lang w:eastAsia="zh-CN"/>
        </w:rPr>
        <w:t>较为困难</w:t>
      </w:r>
      <w:r>
        <w:rPr>
          <w:rFonts w:hint="default" w:ascii="Times New Roman" w:hAnsi="Times New Roman" w:cs="Times New Roman"/>
          <w:color w:val="auto"/>
        </w:rPr>
        <w:t>；水环境方面，主要流域枯水期水资源矛盾依旧突出，生态用水需求得不到根本保障，</w:t>
      </w:r>
      <w:r>
        <w:rPr>
          <w:rFonts w:hint="default" w:ascii="Times New Roman" w:hAnsi="Times New Roman" w:cs="Times New Roman"/>
          <w:color w:val="auto"/>
          <w:lang w:eastAsia="zh-CN"/>
        </w:rPr>
        <w:t>涪</w:t>
      </w:r>
      <w:r>
        <w:rPr>
          <w:rFonts w:hint="default" w:ascii="Times New Roman" w:hAnsi="Times New Roman" w:cs="Times New Roman"/>
          <w:color w:val="auto"/>
        </w:rPr>
        <w:t>江</w:t>
      </w:r>
      <w:r>
        <w:rPr>
          <w:rFonts w:hint="default" w:ascii="Times New Roman" w:hAnsi="Times New Roman" w:cs="Times New Roman"/>
          <w:color w:val="auto"/>
          <w:lang w:eastAsia="zh-CN"/>
        </w:rPr>
        <w:t>、嘉陵江</w:t>
      </w:r>
      <w:r>
        <w:rPr>
          <w:rFonts w:hint="default" w:ascii="Times New Roman" w:hAnsi="Times New Roman" w:cs="Times New Roman"/>
          <w:color w:val="auto"/>
        </w:rPr>
        <w:t>干流枯水期水质波动问题时有发生，芝溪河水环境质量不稳定，稳定达到地表水Ⅳ类标准尚有差距</w:t>
      </w:r>
      <w:r>
        <w:rPr>
          <w:rFonts w:hint="default" w:ascii="Times New Roman" w:hAnsi="Times New Roman" w:cs="Times New Roman"/>
          <w:color w:val="auto"/>
          <w:lang w:eastAsia="zh-CN"/>
        </w:rPr>
        <w:t>。</w:t>
      </w:r>
      <w:r>
        <w:rPr>
          <w:rFonts w:hint="default" w:ascii="Times New Roman" w:hAnsi="Times New Roman" w:cs="Times New Roman"/>
          <w:color w:val="auto"/>
        </w:rPr>
        <w:t>小流域污染治理形势严峻，自然湿地、岸线保护需持续推进</w:t>
      </w:r>
      <w:r>
        <w:rPr>
          <w:rFonts w:hint="default" w:ascii="Times New Roman" w:hAnsi="Times New Roman" w:cs="Times New Roman"/>
          <w:color w:val="auto"/>
          <w:lang w:eastAsia="zh-CN"/>
        </w:rPr>
        <w:t>。</w:t>
      </w:r>
    </w:p>
    <w:p w14:paraId="1CEE02C2">
      <w:pPr>
        <w:pStyle w:val="5"/>
        <w:spacing w:before="156"/>
        <w:rPr>
          <w:rFonts w:hint="default" w:ascii="Times New Roman" w:hAnsi="Times New Roman" w:cs="Times New Roman"/>
          <w:color w:val="auto"/>
        </w:rPr>
      </w:pPr>
      <w:bookmarkStart w:id="11" w:name="_Toc27057"/>
      <w:r>
        <w:rPr>
          <w:rFonts w:hint="default" w:ascii="Times New Roman" w:hAnsi="Times New Roman" w:cs="Times New Roman"/>
          <w:color w:val="auto"/>
          <w:szCs w:val="28"/>
          <w:lang w:eastAsia="zh-CN"/>
        </w:rPr>
        <w:t>三、生态产品价值实现需创新突破</w:t>
      </w:r>
      <w:bookmarkEnd w:id="11"/>
    </w:p>
    <w:p w14:paraId="5224BDD2">
      <w:pPr>
        <w:bidi w:val="0"/>
        <w:rPr>
          <w:rFonts w:hint="default" w:ascii="Times New Roman" w:hAnsi="Times New Roman" w:cs="Times New Roman"/>
          <w:color w:val="auto"/>
        </w:rPr>
      </w:pPr>
      <w:r>
        <w:rPr>
          <w:rFonts w:hint="default" w:ascii="Times New Roman" w:hAnsi="Times New Roman" w:cs="Times New Roman"/>
          <w:color w:val="auto"/>
          <w:lang w:eastAsia="zh-CN"/>
        </w:rPr>
        <w:t>蓬溪县生态本底优良，始终坚持绿色创建，巩固生态文明创建成果，将绿色作为发展底色，蓬溪的生态湿地和公园绿地遍布县城，蓬溪县创新“绿富双赢”生态扶贫模式，走出了一条保护、开发与扶贫并行的生态发展新路。如何将“绿水青山”转变为“金山银山”，</w:t>
      </w:r>
      <w:r>
        <w:rPr>
          <w:rFonts w:hint="default" w:ascii="Times New Roman" w:hAnsi="Times New Roman" w:cs="Times New Roman"/>
          <w:color w:val="auto"/>
        </w:rPr>
        <w:t>还需要全社会在创新机制上有所突破，通过现代科技和金融以及新业态、新模式、新动能把蕴藏在绿水青山之间的经济价值挖掘出来，把</w:t>
      </w:r>
      <w:r>
        <w:rPr>
          <w:rFonts w:hint="default" w:ascii="Times New Roman" w:hAnsi="Times New Roman" w:cs="Times New Roman"/>
          <w:color w:val="auto"/>
          <w:lang w:eastAsia="zh-CN"/>
        </w:rPr>
        <w:t>蓬溪</w:t>
      </w:r>
      <w:r>
        <w:rPr>
          <w:rFonts w:hint="default" w:ascii="Times New Roman" w:hAnsi="Times New Roman" w:cs="Times New Roman"/>
          <w:color w:val="auto"/>
        </w:rPr>
        <w:t>碧海、青山、蓝天的生态优势转变为经济优势，同时，经济优势进一步推动巩固提升生态优势。因此，在生态产品价值实现机制、路径、保障等方面有待创新突破，来保障</w:t>
      </w:r>
      <w:r>
        <w:rPr>
          <w:rFonts w:hint="default" w:ascii="Times New Roman" w:hAnsi="Times New Roman" w:cs="Times New Roman"/>
          <w:color w:val="auto"/>
          <w:lang w:eastAsia="zh-CN"/>
        </w:rPr>
        <w:t>“</w:t>
      </w:r>
      <w:r>
        <w:rPr>
          <w:rFonts w:hint="default" w:ascii="Times New Roman" w:hAnsi="Times New Roman" w:cs="Times New Roman"/>
          <w:color w:val="auto"/>
        </w:rPr>
        <w:t>两山</w:t>
      </w:r>
      <w:r>
        <w:rPr>
          <w:rFonts w:hint="default" w:ascii="Times New Roman" w:hAnsi="Times New Roman" w:cs="Times New Roman"/>
          <w:color w:val="auto"/>
          <w:lang w:eastAsia="zh-CN"/>
        </w:rPr>
        <w:t>”</w:t>
      </w:r>
      <w:r>
        <w:rPr>
          <w:rFonts w:hint="default" w:ascii="Times New Roman" w:hAnsi="Times New Roman" w:cs="Times New Roman"/>
          <w:color w:val="auto"/>
        </w:rPr>
        <w:t>双向转化。</w:t>
      </w:r>
    </w:p>
    <w:p w14:paraId="4AEBD719">
      <w:pPr>
        <w:pStyle w:val="4"/>
        <w:spacing w:before="312"/>
        <w:jc w:val="center"/>
        <w:rPr>
          <w:rFonts w:hint="default" w:ascii="Times New Roman" w:hAnsi="Times New Roman" w:eastAsia="黑体" w:cs="Times New Roman"/>
          <w:color w:val="auto"/>
          <w:sz w:val="30"/>
          <w:szCs w:val="30"/>
          <w:lang w:eastAsia="zh-CN"/>
        </w:rPr>
      </w:pPr>
      <w:bookmarkStart w:id="12" w:name="_Toc11670"/>
      <w:r>
        <w:rPr>
          <w:rFonts w:hint="default" w:ascii="Times New Roman" w:hAnsi="Times New Roman" w:cs="Times New Roman"/>
          <w:color w:val="auto"/>
          <w:sz w:val="30"/>
          <w:szCs w:val="30"/>
        </w:rPr>
        <w:t>第</w:t>
      </w:r>
      <w:r>
        <w:rPr>
          <w:rFonts w:hint="default" w:ascii="Times New Roman" w:hAnsi="Times New Roman" w:cs="Times New Roman"/>
          <w:color w:val="auto"/>
          <w:sz w:val="30"/>
          <w:szCs w:val="30"/>
          <w:lang w:val="en-US" w:eastAsia="zh-CN"/>
        </w:rPr>
        <w:t>三</w:t>
      </w:r>
      <w:r>
        <w:rPr>
          <w:rFonts w:hint="default" w:ascii="Times New Roman" w:hAnsi="Times New Roman" w:cs="Times New Roman"/>
          <w:color w:val="auto"/>
          <w:sz w:val="30"/>
          <w:szCs w:val="30"/>
        </w:rPr>
        <w:t xml:space="preserve">节 </w:t>
      </w:r>
      <w:r>
        <w:rPr>
          <w:rFonts w:hint="default" w:ascii="Times New Roman" w:hAnsi="Times New Roman" w:cs="Times New Roman"/>
          <w:color w:val="auto"/>
          <w:sz w:val="30"/>
          <w:szCs w:val="30"/>
          <w:lang w:val="en-US" w:eastAsia="zh-CN"/>
        </w:rPr>
        <w:t xml:space="preserve"> </w:t>
      </w:r>
      <w:r>
        <w:rPr>
          <w:rFonts w:hint="default" w:ascii="Times New Roman" w:hAnsi="Times New Roman" w:cs="Times New Roman"/>
          <w:color w:val="auto"/>
          <w:sz w:val="30"/>
          <w:szCs w:val="30"/>
          <w:lang w:eastAsia="zh-CN"/>
        </w:rPr>
        <w:t>面临机遇与挑战</w:t>
      </w:r>
      <w:bookmarkEnd w:id="12"/>
    </w:p>
    <w:p w14:paraId="3754F667">
      <w:pPr>
        <w:bidi w:val="0"/>
        <w:ind w:firstLine="600" w:firstLineChars="200"/>
        <w:rPr>
          <w:rFonts w:hint="default" w:ascii="Times New Roman" w:hAnsi="Times New Roman" w:cs="Times New Roman"/>
          <w:color w:val="auto"/>
        </w:rPr>
      </w:pPr>
      <w:r>
        <w:rPr>
          <w:rFonts w:hint="default" w:ascii="Times New Roman" w:hAnsi="Times New Roman" w:cs="Times New Roman"/>
          <w:color w:val="auto"/>
        </w:rPr>
        <w:t>“十四五”时期，是开启社会主义现代化国家建设新征程和实施新“两步走”战略的第一个五年规划期，是污染防治攻坚战取得阶段性胜利、继续推进美丽中国建设的关键期，是</w:t>
      </w:r>
      <w:r>
        <w:rPr>
          <w:rFonts w:hint="default" w:ascii="Times New Roman" w:hAnsi="Times New Roman" w:cs="Times New Roman"/>
          <w:color w:val="auto"/>
          <w:lang w:eastAsia="zh-CN"/>
        </w:rPr>
        <w:t>蓬溪县全力建设新型工业化产业示范县和乡村振兴示范县，打造川渝毗邻地区城乡融合发展示范区的重要时期，蓬溪县</w:t>
      </w:r>
      <w:r>
        <w:rPr>
          <w:rFonts w:hint="default" w:ascii="Times New Roman" w:hAnsi="Times New Roman" w:cs="Times New Roman"/>
          <w:color w:val="auto"/>
        </w:rPr>
        <w:t>生态环境保护工作面临多重机遇和挑战。</w:t>
      </w:r>
    </w:p>
    <w:p w14:paraId="4E86FFEE">
      <w:pPr>
        <w:pStyle w:val="5"/>
        <w:bidi w:val="0"/>
        <w:rPr>
          <w:rFonts w:hint="default" w:ascii="Times New Roman" w:hAnsi="Times New Roman" w:cs="Times New Roman"/>
          <w:color w:val="auto"/>
        </w:rPr>
      </w:pPr>
      <w:bookmarkStart w:id="13" w:name="_Toc19527"/>
      <w:r>
        <w:rPr>
          <w:rFonts w:hint="default" w:ascii="Times New Roman" w:hAnsi="Times New Roman" w:cs="Times New Roman"/>
          <w:color w:val="auto"/>
          <w:lang w:eastAsia="zh-CN"/>
        </w:rPr>
        <w:t>一、面临机遇</w:t>
      </w:r>
      <w:bookmarkEnd w:id="13"/>
    </w:p>
    <w:p w14:paraId="74A6C332">
      <w:pPr>
        <w:numPr>
          <w:ilvl w:val="0"/>
          <w:numId w:val="0"/>
        </w:numPr>
        <w:bidi w:val="0"/>
        <w:ind w:firstLine="602" w:firstLineChars="200"/>
        <w:rPr>
          <w:rFonts w:hint="default" w:ascii="Times New Roman" w:hAnsi="Times New Roman" w:cs="Times New Roman"/>
          <w:color w:val="auto"/>
        </w:rPr>
      </w:pPr>
      <w:r>
        <w:rPr>
          <w:rFonts w:hint="default" w:ascii="Times New Roman" w:hAnsi="Times New Roman" w:cs="Times New Roman"/>
          <w:b/>
          <w:bCs/>
          <w:color w:val="auto"/>
        </w:rPr>
        <w:t>国</w:t>
      </w:r>
      <w:r>
        <w:rPr>
          <w:rFonts w:hint="default" w:ascii="Times New Roman" w:hAnsi="Times New Roman" w:cs="Times New Roman"/>
          <w:b/>
          <w:bCs/>
          <w:color w:val="auto"/>
          <w:lang w:eastAsia="zh-CN"/>
        </w:rPr>
        <w:t>省</w:t>
      </w:r>
      <w:r>
        <w:rPr>
          <w:rFonts w:hint="default" w:ascii="Times New Roman" w:hAnsi="Times New Roman" w:cs="Times New Roman"/>
          <w:b/>
          <w:bCs/>
          <w:color w:val="auto"/>
        </w:rPr>
        <w:t>战略为生态环境</w:t>
      </w:r>
      <w:r>
        <w:rPr>
          <w:rFonts w:hint="default" w:ascii="Times New Roman" w:hAnsi="Times New Roman" w:cs="Times New Roman"/>
          <w:b/>
          <w:bCs/>
          <w:color w:val="auto"/>
          <w:lang w:eastAsia="zh-CN"/>
        </w:rPr>
        <w:t>保护</w:t>
      </w:r>
      <w:r>
        <w:rPr>
          <w:rFonts w:hint="default" w:ascii="Times New Roman" w:hAnsi="Times New Roman" w:cs="Times New Roman"/>
          <w:b/>
          <w:bCs/>
          <w:color w:val="auto"/>
        </w:rPr>
        <w:t>提供新机遇</w:t>
      </w:r>
      <w:r>
        <w:rPr>
          <w:rFonts w:hint="default" w:ascii="Times New Roman" w:hAnsi="Times New Roman" w:cs="Times New Roman"/>
          <w:b/>
          <w:bCs/>
          <w:color w:val="auto"/>
          <w:lang w:eastAsia="zh-CN"/>
        </w:rPr>
        <w:t>。</w:t>
      </w:r>
      <w:r>
        <w:rPr>
          <w:rFonts w:hint="default" w:ascii="Times New Roman" w:hAnsi="Times New Roman" w:cs="Times New Roman"/>
          <w:color w:val="auto"/>
        </w:rPr>
        <w:t>成渝地区双城经济圈建设、</w:t>
      </w:r>
      <w:r>
        <w:rPr>
          <w:rFonts w:hint="default" w:ascii="Times New Roman" w:hAnsi="Times New Roman" w:cs="Times New Roman"/>
          <w:color w:val="auto"/>
          <w:lang w:eastAsia="zh-CN"/>
        </w:rPr>
        <w:t>“一带一路”建设、</w:t>
      </w:r>
      <w:r>
        <w:rPr>
          <w:rFonts w:hint="default" w:ascii="Times New Roman" w:hAnsi="Times New Roman" w:cs="Times New Roman"/>
          <w:color w:val="auto"/>
        </w:rPr>
        <w:t>新时代西部大开发</w:t>
      </w:r>
      <w:r>
        <w:rPr>
          <w:rFonts w:hint="default" w:ascii="Times New Roman" w:hAnsi="Times New Roman" w:cs="Times New Roman"/>
          <w:color w:val="auto"/>
          <w:lang w:eastAsia="zh-CN"/>
        </w:rPr>
        <w:t>、</w:t>
      </w:r>
      <w:r>
        <w:rPr>
          <w:rFonts w:hint="default" w:ascii="Times New Roman" w:hAnsi="Times New Roman" w:cs="Times New Roman"/>
          <w:color w:val="auto"/>
        </w:rPr>
        <w:t>长江经济带高质量发展等国家重大战略</w:t>
      </w:r>
      <w:r>
        <w:rPr>
          <w:rFonts w:hint="default" w:ascii="Times New Roman" w:hAnsi="Times New Roman" w:cs="Times New Roman"/>
          <w:color w:val="auto"/>
          <w:lang w:eastAsia="zh-CN"/>
        </w:rPr>
        <w:t>交汇实施，省委“一干多支、五区协同，四项拓展、全域开放”和市委“一二三四五”发展战略都为蓬溪高质量发展，争取国家和省市支持，加强生态文明建设，建设新型工业化产业示范县和乡村振兴示范县，打造川渝毗邻地区城乡融合发展示范区提供了重要机遇，</w:t>
      </w:r>
      <w:r>
        <w:rPr>
          <w:rFonts w:hint="default" w:ascii="Times New Roman" w:hAnsi="Times New Roman" w:cs="Times New Roman"/>
          <w:color w:val="auto"/>
        </w:rPr>
        <w:t>也对生态文明建设和生态环境保护工作提出新目标、新要求</w:t>
      </w:r>
      <w:r>
        <w:rPr>
          <w:rFonts w:hint="default" w:ascii="Times New Roman" w:hAnsi="Times New Roman" w:cs="Times New Roman"/>
          <w:color w:val="auto"/>
          <w:lang w:eastAsia="zh-CN"/>
        </w:rPr>
        <w:t>。同时，</w:t>
      </w:r>
      <w:r>
        <w:rPr>
          <w:rFonts w:hint="default" w:ascii="Times New Roman" w:hAnsi="Times New Roman" w:cs="Times New Roman"/>
          <w:color w:val="auto"/>
          <w:highlight w:val="none"/>
          <w:lang w:eastAsia="zh-CN"/>
        </w:rPr>
        <w:t>遂潼川渝毗邻地区一体化发展战略</w:t>
      </w:r>
      <w:r>
        <w:rPr>
          <w:rFonts w:hint="default" w:ascii="Times New Roman" w:hAnsi="Times New Roman" w:cs="Times New Roman"/>
          <w:color w:val="auto"/>
          <w:lang w:eastAsia="zh-CN"/>
        </w:rPr>
        <w:t>将依托毗邻地区绿色生态资源优势，推动生态环境协同防治和推动跨流域区域生态补偿、构建简约高效基层治理体系，营造生态宜居空间，这对涪江流域岸线资源保护、涪江生态廊道建设提出更高要求。</w:t>
      </w:r>
    </w:p>
    <w:p w14:paraId="2C02CD2F">
      <w:pPr>
        <w:bidi w:val="0"/>
        <w:ind w:firstLine="602" w:firstLineChars="200"/>
        <w:rPr>
          <w:rFonts w:hint="default" w:ascii="Times New Roman" w:hAnsi="Times New Roman" w:cs="Times New Roman"/>
          <w:color w:val="auto"/>
        </w:rPr>
      </w:pPr>
      <w:r>
        <w:rPr>
          <w:rFonts w:hint="eastAsia" w:cs="Times New Roman"/>
          <w:b/>
          <w:bCs/>
          <w:color w:val="auto"/>
          <w:lang w:val="en-US" w:eastAsia="zh-CN"/>
        </w:rPr>
        <w:t>习近平</w:t>
      </w:r>
      <w:r>
        <w:rPr>
          <w:rFonts w:hint="default" w:ascii="Times New Roman" w:hAnsi="Times New Roman" w:cs="Times New Roman"/>
          <w:b/>
          <w:bCs/>
          <w:color w:val="auto"/>
        </w:rPr>
        <w:t>生态文明思想为</w:t>
      </w:r>
      <w:r>
        <w:rPr>
          <w:rFonts w:hint="default" w:ascii="Times New Roman" w:hAnsi="Times New Roman" w:cs="Times New Roman"/>
          <w:b/>
          <w:bCs/>
          <w:color w:val="auto"/>
          <w:lang w:eastAsia="zh-CN"/>
        </w:rPr>
        <w:t>蓬溪</w:t>
      </w:r>
      <w:r>
        <w:rPr>
          <w:rFonts w:hint="default" w:ascii="Times New Roman" w:hAnsi="Times New Roman" w:cs="Times New Roman"/>
          <w:b/>
          <w:bCs/>
          <w:color w:val="auto"/>
        </w:rPr>
        <w:t>指引新方向</w:t>
      </w:r>
      <w:r>
        <w:rPr>
          <w:rFonts w:hint="default" w:ascii="Times New Roman" w:hAnsi="Times New Roman" w:cs="Times New Roman"/>
          <w:b/>
          <w:bCs/>
          <w:color w:val="auto"/>
          <w:lang w:eastAsia="zh-CN"/>
        </w:rPr>
        <w:t>。</w:t>
      </w:r>
      <w:r>
        <w:rPr>
          <w:rFonts w:hint="default" w:ascii="Times New Roman" w:hAnsi="Times New Roman" w:cs="Times New Roman"/>
          <w:color w:val="auto"/>
        </w:rPr>
        <w:t>习</w:t>
      </w:r>
      <w:r>
        <w:rPr>
          <w:rFonts w:hint="eastAsia" w:cs="Times New Roman"/>
          <w:color w:val="auto"/>
          <w:lang w:val="en-US" w:eastAsia="zh-CN"/>
        </w:rPr>
        <w:t>近平</w:t>
      </w:r>
      <w:r>
        <w:rPr>
          <w:rFonts w:hint="default" w:ascii="Times New Roman" w:hAnsi="Times New Roman" w:cs="Times New Roman"/>
          <w:color w:val="auto"/>
        </w:rPr>
        <w:t>总书记提出的“绿水青山就是金山银山”</w:t>
      </w:r>
      <w:r>
        <w:rPr>
          <w:rFonts w:hint="default" w:ascii="Times New Roman" w:hAnsi="Times New Roman" w:cs="Times New Roman"/>
          <w:color w:val="auto"/>
          <w:lang w:eastAsia="zh-CN"/>
        </w:rPr>
        <w:t>、</w:t>
      </w:r>
      <w:r>
        <w:rPr>
          <w:rFonts w:hint="default" w:ascii="Times New Roman" w:hAnsi="Times New Roman" w:cs="Times New Roman"/>
          <w:color w:val="auto"/>
        </w:rPr>
        <w:t>“山水林田湖草是一个生命共同体”等生态文明观点，成为统领经济、社会、环境的绿色发展观和系统治理观。习近平总书记来川视察时指出，四川作为长江上游重要生态屏障和水源涵养地，肩负着国家生态安全的重大使命。涪江是长江的二级支流，是全川10个出川断面之一，是长江中上游地区的重要水源涵养地。总书记对长江经济带环境保护基本方针的确立，</w:t>
      </w:r>
      <w:r>
        <w:rPr>
          <w:rFonts w:hint="default" w:ascii="Times New Roman" w:hAnsi="Times New Roman" w:cs="Times New Roman"/>
          <w:color w:val="auto"/>
          <w:lang w:eastAsia="zh-CN"/>
        </w:rPr>
        <w:t>《长江保护法》的正式实施，为蓬溪</w:t>
      </w:r>
      <w:r>
        <w:rPr>
          <w:rFonts w:hint="default" w:ascii="Times New Roman" w:hAnsi="Times New Roman" w:cs="Times New Roman"/>
          <w:color w:val="auto"/>
        </w:rPr>
        <w:t>更好地搞好生态环境保护提供了基本遵循，明确了发展方向。</w:t>
      </w:r>
    </w:p>
    <w:p w14:paraId="08973340">
      <w:pPr>
        <w:bidi w:val="0"/>
        <w:rPr>
          <w:rFonts w:hint="default" w:ascii="Times New Roman" w:hAnsi="Times New Roman" w:cs="Times New Roman"/>
          <w:color w:val="auto"/>
          <w:kern w:val="2"/>
          <w:sz w:val="30"/>
          <w:szCs w:val="30"/>
          <w:lang w:val="en-US" w:eastAsia="zh-CN" w:bidi="ar-SA"/>
        </w:rPr>
      </w:pPr>
      <w:r>
        <w:rPr>
          <w:rFonts w:hint="default" w:ascii="Times New Roman" w:hAnsi="Times New Roman" w:cs="Times New Roman"/>
          <w:b/>
          <w:bCs/>
          <w:color w:val="auto"/>
          <w:sz w:val="30"/>
          <w:szCs w:val="30"/>
          <w:lang w:val="en-US" w:eastAsia="zh-CN"/>
        </w:rPr>
        <w:t>碳达峰碳中和为蓬溪绿色发展注入新动能。</w:t>
      </w:r>
      <w:r>
        <w:rPr>
          <w:rFonts w:hint="default" w:ascii="Times New Roman" w:hAnsi="Times New Roman" w:cs="Times New Roman"/>
          <w:color w:val="auto"/>
          <w:kern w:val="2"/>
          <w:sz w:val="30"/>
          <w:szCs w:val="30"/>
          <w:lang w:val="en-US" w:eastAsia="zh-CN" w:bidi="ar-SA"/>
        </w:rPr>
        <w:t>碳达峰、碳中和目标赋予了供给侧改革、能源革命与产业升级的新使命。蓬溪县是西部最大的县级门业基地，是粮食产业大县，正壮大发展食品饮料、先进材料、线缆线束等产业。能源结构以</w:t>
      </w:r>
      <w:r>
        <w:rPr>
          <w:rFonts w:hint="default" w:ascii="Times New Roman" w:hAnsi="Times New Roman" w:cs="Times New Roman"/>
          <w:color w:val="auto"/>
          <w:kern w:val="2"/>
          <w:sz w:val="30"/>
          <w:szCs w:val="30"/>
          <w:highlight w:val="none"/>
          <w:lang w:val="en-US" w:eastAsia="zh-CN" w:bidi="ar-SA"/>
        </w:rPr>
        <w:t>天然气</w:t>
      </w:r>
      <w:r>
        <w:rPr>
          <w:rFonts w:hint="default" w:ascii="Times New Roman" w:hAnsi="Times New Roman" w:cs="Times New Roman"/>
          <w:color w:val="auto"/>
          <w:kern w:val="2"/>
          <w:sz w:val="30"/>
          <w:szCs w:val="30"/>
          <w:lang w:val="en-US" w:eastAsia="zh-CN" w:bidi="ar-SA"/>
        </w:rPr>
        <w:t>为主，经济发展仍过度依赖能源资源等传统要素的投入，实现碳达峰、碳中和目标任务艰巨。</w:t>
      </w:r>
      <w:r>
        <w:rPr>
          <w:rFonts w:hint="default" w:ascii="Times New Roman" w:hAnsi="Times New Roman" w:eastAsia="仿宋" w:cs="Times New Roman"/>
          <w:color w:val="auto"/>
          <w:kern w:val="2"/>
          <w:sz w:val="30"/>
          <w:szCs w:val="30"/>
          <w:lang w:val="en-US" w:eastAsia="zh-CN" w:bidi="ar-SA"/>
        </w:rPr>
        <w:t>“十四五”时期，</w:t>
      </w:r>
      <w:r>
        <w:rPr>
          <w:rFonts w:hint="default" w:ascii="Times New Roman" w:hAnsi="Times New Roman" w:cs="Times New Roman"/>
          <w:color w:val="auto"/>
          <w:kern w:val="2"/>
          <w:sz w:val="30"/>
          <w:szCs w:val="30"/>
          <w:lang w:val="en-US" w:eastAsia="zh-CN" w:bidi="ar-SA"/>
        </w:rPr>
        <w:t>蓬溪县必须</w:t>
      </w:r>
      <w:r>
        <w:rPr>
          <w:rFonts w:hint="default" w:ascii="Times New Roman" w:hAnsi="Times New Roman" w:eastAsia="仿宋" w:cs="Times New Roman"/>
          <w:color w:val="auto"/>
          <w:kern w:val="2"/>
          <w:sz w:val="30"/>
          <w:szCs w:val="30"/>
          <w:lang w:val="en-US" w:eastAsia="zh-CN" w:bidi="ar-SA"/>
        </w:rPr>
        <w:t>坚持污染防治和碳减排双轮共驱新模式，充分发挥生态环境保护倒逼、引导和促进经济高质量发展的重要作用，深入推进绿色降碳减排，进一步厚植美丽</w:t>
      </w:r>
      <w:r>
        <w:rPr>
          <w:rFonts w:hint="default" w:ascii="Times New Roman" w:hAnsi="Times New Roman" w:cs="Times New Roman"/>
          <w:color w:val="auto"/>
          <w:kern w:val="2"/>
          <w:sz w:val="30"/>
          <w:szCs w:val="30"/>
          <w:lang w:val="en-US" w:eastAsia="zh-CN" w:bidi="ar-SA"/>
        </w:rPr>
        <w:t>蓬溪</w:t>
      </w:r>
      <w:r>
        <w:rPr>
          <w:rFonts w:hint="default" w:ascii="Times New Roman" w:hAnsi="Times New Roman" w:eastAsia="仿宋" w:cs="Times New Roman"/>
          <w:color w:val="auto"/>
          <w:kern w:val="2"/>
          <w:sz w:val="30"/>
          <w:szCs w:val="30"/>
          <w:lang w:val="en-US" w:eastAsia="zh-CN" w:bidi="ar-SA"/>
        </w:rPr>
        <w:t>建设的绿色底色</w:t>
      </w:r>
      <w:r>
        <w:rPr>
          <w:rFonts w:hint="default" w:ascii="Times New Roman" w:hAnsi="Times New Roman" w:cs="Times New Roman"/>
          <w:color w:val="auto"/>
          <w:kern w:val="2"/>
          <w:sz w:val="30"/>
          <w:szCs w:val="30"/>
          <w:lang w:val="en-US" w:eastAsia="zh-CN" w:bidi="ar-SA"/>
        </w:rPr>
        <w:t>。</w:t>
      </w:r>
    </w:p>
    <w:p w14:paraId="70004031">
      <w:pPr>
        <w:pStyle w:val="5"/>
        <w:bidi w:val="0"/>
        <w:rPr>
          <w:rFonts w:hint="default" w:ascii="Times New Roman" w:hAnsi="Times New Roman" w:cs="Times New Roman"/>
          <w:color w:val="auto"/>
          <w:lang w:val="en-US" w:eastAsia="zh-CN"/>
        </w:rPr>
      </w:pPr>
      <w:bookmarkStart w:id="14" w:name="_Toc17223"/>
      <w:r>
        <w:rPr>
          <w:rFonts w:hint="default" w:ascii="Times New Roman" w:hAnsi="Times New Roman" w:cs="Times New Roman"/>
          <w:color w:val="auto"/>
          <w:lang w:val="en-US" w:eastAsia="zh-CN"/>
        </w:rPr>
        <w:t>二、面临挑战</w:t>
      </w:r>
      <w:bookmarkEnd w:id="14"/>
    </w:p>
    <w:p w14:paraId="6F1FAC4D">
      <w:pPr>
        <w:pStyle w:val="10"/>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资源环境约束趋紧逐步凸显。</w:t>
      </w:r>
      <w:r>
        <w:rPr>
          <w:rFonts w:hint="default" w:ascii="Times New Roman" w:hAnsi="Times New Roman" w:cs="Times New Roman"/>
          <w:color w:val="auto"/>
          <w:lang w:val="en-US" w:eastAsia="zh-CN"/>
        </w:rPr>
        <w:t>“十三五”期间，蓬溪县环境质量持续优良，将围绕“建设新型工业化产业示范县和乡村振兴示范县，打造川渝毗邻地区城乡融合发展示范区”总体定位，持续推进美丽蓬溪发展，但资源约束日益趋紧、过境水开发利用率较低、环境污染增大、生态系统退化的严峻形势是一个巨大挑战，在产业准入、节能减排、环境保护、资源节约集约利用等方面面临的约束逐渐增加，建设用地指标不能满足项目用地需求，补充耕地位置偏、质量差、质量不高等问题。蓬溪县亟需精益生产方式、提高技术水平，提升产业生态化，生态产业化水平，大力发展绿色低碳循环经济，走循环、可持续发展道路避免经济发展造成的环境污染。</w:t>
      </w:r>
    </w:p>
    <w:p w14:paraId="0CE5B1B6">
      <w:pPr>
        <w:rPr>
          <w:rFonts w:hint="default" w:ascii="Times New Roman" w:hAnsi="Times New Roman" w:cs="Times New Roman"/>
          <w:color w:val="auto"/>
        </w:rPr>
        <w:sectPr>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
          <w:bCs/>
          <w:color w:val="auto"/>
          <w:lang w:val="en-US" w:eastAsia="zh-CN"/>
        </w:rPr>
        <w:t>环境治理体系和治理能力现代化有待提升。</w:t>
      </w:r>
      <w:r>
        <w:rPr>
          <w:rFonts w:hint="default" w:ascii="Times New Roman" w:hAnsi="Times New Roman" w:cs="Times New Roman"/>
          <w:color w:val="auto"/>
          <w:lang w:val="en-US" w:eastAsia="zh-CN"/>
        </w:rPr>
        <w:t>全县生态环境系统仍面临专业技术人员不足、专业性不强、业务能力水平不高、环境科研能力欠缺、生态环境监测体系不完善、水气土协同防治能力薄弱，环境监管手段相对单一落后、环境应急处置能力不强、基层环境监管能力薄弱等突出问题，在生态环境保护跨区域、跨部门协同监管、联合执法等机制尚不健全，环保多元化投入、生态保护补偿等环境经济政策仍不完善，环境信息公开、排污者主体责任、公众参与等方面仍需持续努力。</w:t>
      </w:r>
    </w:p>
    <w:p w14:paraId="316B56C9">
      <w:pPr>
        <w:pStyle w:val="3"/>
        <w:bidi w:val="0"/>
        <w:jc w:val="center"/>
        <w:rPr>
          <w:rFonts w:hint="default" w:ascii="Times New Roman" w:hAnsi="Times New Roman" w:cs="Times New Roman"/>
          <w:color w:val="auto"/>
        </w:rPr>
      </w:pPr>
      <w:bookmarkStart w:id="15" w:name="_Toc28284"/>
      <w:r>
        <w:rPr>
          <w:rFonts w:hint="default" w:ascii="Times New Roman" w:hAnsi="Times New Roman" w:cs="Times New Roman"/>
          <w:color w:val="auto"/>
        </w:rPr>
        <w:t>第二章 总体要求</w:t>
      </w:r>
      <w:bookmarkEnd w:id="15"/>
    </w:p>
    <w:p w14:paraId="61393ADD">
      <w:pPr>
        <w:pStyle w:val="4"/>
        <w:spacing w:before="312"/>
        <w:jc w:val="center"/>
        <w:rPr>
          <w:rFonts w:hint="default" w:ascii="Times New Roman" w:hAnsi="Times New Roman" w:cs="Times New Roman"/>
          <w:color w:val="auto"/>
          <w:sz w:val="30"/>
          <w:szCs w:val="30"/>
        </w:rPr>
      </w:pPr>
      <w:bookmarkStart w:id="16" w:name="_Toc24559"/>
      <w:r>
        <w:rPr>
          <w:rFonts w:hint="default" w:ascii="Times New Roman" w:hAnsi="Times New Roman" w:cs="Times New Roman"/>
          <w:color w:val="auto"/>
          <w:sz w:val="30"/>
          <w:szCs w:val="30"/>
        </w:rPr>
        <w:t>第一节  指导思想</w:t>
      </w:r>
      <w:bookmarkEnd w:id="16"/>
    </w:p>
    <w:p w14:paraId="698442FE">
      <w:pPr>
        <w:spacing w:line="360" w:lineRule="auto"/>
        <w:ind w:firstLine="480"/>
        <w:jc w:val="left"/>
        <w:rPr>
          <w:rFonts w:hint="default" w:ascii="Times New Roman" w:hAnsi="Times New Roman" w:cs="Times New Roman"/>
          <w:color w:val="auto"/>
          <w:sz w:val="30"/>
          <w:szCs w:val="30"/>
          <w:lang w:eastAsia="zh-CN"/>
        </w:rPr>
      </w:pPr>
      <w:r>
        <w:rPr>
          <w:rFonts w:hint="default" w:ascii="Times New Roman" w:hAnsi="Times New Roman" w:cs="Times New Roman"/>
          <w:color w:val="auto"/>
          <w:sz w:val="30"/>
          <w:szCs w:val="30"/>
        </w:rPr>
        <w:t>以习近平新时代中国特色社会主义思想为指导，全面贯彻党的十九大和十九届二中、三中、四中、五中</w:t>
      </w:r>
      <w:r>
        <w:rPr>
          <w:rFonts w:hint="default" w:ascii="Times New Roman" w:hAnsi="Times New Roman" w:cs="Times New Roman"/>
          <w:color w:val="auto"/>
          <w:sz w:val="30"/>
          <w:szCs w:val="30"/>
          <w:lang w:eastAsia="zh-CN"/>
        </w:rPr>
        <w:t>、六中</w:t>
      </w:r>
      <w:r>
        <w:rPr>
          <w:rFonts w:hint="default" w:ascii="Times New Roman" w:hAnsi="Times New Roman" w:cs="Times New Roman"/>
          <w:color w:val="auto"/>
          <w:sz w:val="30"/>
          <w:szCs w:val="30"/>
        </w:rPr>
        <w:t>全会精神，深入贯彻习近平生态文明思想，全面落实省委“一干多支、五区协同”和市委“</w:t>
      </w:r>
      <w:r>
        <w:rPr>
          <w:rFonts w:hint="default" w:ascii="Times New Roman" w:hAnsi="Times New Roman" w:cs="Times New Roman"/>
          <w:color w:val="auto"/>
          <w:sz w:val="30"/>
          <w:szCs w:val="30"/>
          <w:lang w:val="en-US" w:eastAsia="zh-CN"/>
        </w:rPr>
        <w:t>一二三四五</w:t>
      </w:r>
      <w:r>
        <w:rPr>
          <w:rFonts w:hint="default" w:ascii="Times New Roman" w:hAnsi="Times New Roman" w:cs="Times New Roman"/>
          <w:color w:val="auto"/>
          <w:sz w:val="30"/>
          <w:szCs w:val="30"/>
        </w:rPr>
        <w:t>”的发展战略</w:t>
      </w:r>
      <w:r>
        <w:rPr>
          <w:rFonts w:hint="default" w:ascii="Times New Roman" w:hAnsi="Times New Roman" w:cs="Times New Roman"/>
          <w:color w:val="auto"/>
          <w:sz w:val="30"/>
          <w:szCs w:val="30"/>
          <w:lang w:eastAsia="zh-CN"/>
        </w:rPr>
        <w:t>，</w:t>
      </w:r>
      <w:r>
        <w:rPr>
          <w:rFonts w:hint="default" w:ascii="Times New Roman" w:hAnsi="Times New Roman" w:cs="Times New Roman"/>
          <w:color w:val="auto"/>
          <w:sz w:val="30"/>
          <w:szCs w:val="30"/>
        </w:rPr>
        <w:t>坚</w:t>
      </w:r>
      <w:r>
        <w:rPr>
          <w:rFonts w:hint="default" w:ascii="Times New Roman" w:hAnsi="Times New Roman" w:cs="Times New Roman"/>
          <w:color w:val="auto"/>
          <w:sz w:val="30"/>
          <w:szCs w:val="30"/>
          <w:lang w:eastAsia="zh-CN"/>
        </w:rPr>
        <w:t>定不移</w:t>
      </w:r>
      <w:r>
        <w:rPr>
          <w:rFonts w:hint="default" w:ascii="Times New Roman" w:hAnsi="Times New Roman" w:cs="Times New Roman"/>
          <w:color w:val="auto"/>
          <w:sz w:val="30"/>
          <w:szCs w:val="30"/>
        </w:rPr>
        <w:t>贯彻新发展理念，严格遵循长江经济带“共抓大保护、不搞大开发”的总体思路</w:t>
      </w:r>
      <w:r>
        <w:rPr>
          <w:rFonts w:hint="default" w:ascii="Times New Roman" w:hAnsi="Times New Roman" w:cs="Times New Roman"/>
          <w:color w:val="auto"/>
          <w:sz w:val="30"/>
          <w:szCs w:val="30"/>
          <w:lang w:eastAsia="zh-CN"/>
        </w:rPr>
        <w:t>，聚焦聚力</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eastAsia="zh-CN"/>
        </w:rPr>
        <w:t>新型工业县、现代农业县、知名文旅县、</w:t>
      </w:r>
      <w:r>
        <w:rPr>
          <w:rFonts w:hint="default" w:ascii="Times New Roman" w:hAnsi="Times New Roman" w:cs="Times New Roman"/>
          <w:color w:val="auto"/>
          <w:sz w:val="30"/>
          <w:szCs w:val="30"/>
          <w:lang w:val="en-US" w:eastAsia="zh-CN"/>
        </w:rPr>
        <w:t>生态宜居城</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eastAsia="zh-CN"/>
        </w:rPr>
        <w:t>发展主线</w:t>
      </w:r>
      <w:r>
        <w:rPr>
          <w:rFonts w:hint="default" w:ascii="Times New Roman" w:hAnsi="Times New Roman" w:cs="Times New Roman"/>
          <w:color w:val="auto"/>
          <w:sz w:val="30"/>
          <w:szCs w:val="30"/>
        </w:rPr>
        <w:t>，以生态环境质量持续改善为核心，</w:t>
      </w:r>
      <w:r>
        <w:rPr>
          <w:rFonts w:hint="default" w:ascii="Times New Roman" w:hAnsi="Times New Roman" w:cs="Times New Roman"/>
          <w:color w:val="auto"/>
          <w:sz w:val="30"/>
          <w:szCs w:val="30"/>
          <w:lang w:eastAsia="zh-CN"/>
        </w:rPr>
        <w:t>以创建生态文明建设示范县为抓手，科学谋划碳达峰目标，</w:t>
      </w:r>
      <w:r>
        <w:rPr>
          <w:rFonts w:hint="default" w:ascii="Times New Roman" w:hAnsi="Times New Roman" w:cs="Times New Roman"/>
          <w:color w:val="auto"/>
          <w:sz w:val="30"/>
          <w:szCs w:val="30"/>
        </w:rPr>
        <w:t>深入打好污染防治攻坚战，统筹推进山水林田湖草系统治理和生态修复，有效防范化解生态环境风险</w:t>
      </w:r>
      <w:r>
        <w:rPr>
          <w:rFonts w:hint="default" w:ascii="Times New Roman" w:hAnsi="Times New Roman" w:cs="Times New Roman"/>
          <w:color w:val="auto"/>
          <w:sz w:val="30"/>
          <w:szCs w:val="30"/>
          <w:lang w:eastAsia="zh-CN"/>
        </w:rPr>
        <w:t>，绿色生产生活方式加快形成，协同推进新型工业化产业示范县、乡村振兴示范县和川渝毗邻地区城乡融合发展示范区建设，</w:t>
      </w:r>
      <w:r>
        <w:rPr>
          <w:rFonts w:hint="default" w:ascii="Times New Roman" w:hAnsi="Times New Roman" w:cs="Times New Roman"/>
          <w:color w:val="auto"/>
          <w:sz w:val="30"/>
          <w:szCs w:val="30"/>
        </w:rPr>
        <w:t>增强人民群众获得感、幸福感、安全感</w:t>
      </w:r>
      <w:r>
        <w:rPr>
          <w:rFonts w:hint="default" w:ascii="Times New Roman" w:hAnsi="Times New Roman" w:cs="Times New Roman"/>
          <w:color w:val="auto"/>
          <w:sz w:val="30"/>
          <w:szCs w:val="30"/>
          <w:lang w:eastAsia="zh-CN"/>
        </w:rPr>
        <w:t>。</w:t>
      </w:r>
    </w:p>
    <w:p w14:paraId="546C8B03">
      <w:pPr>
        <w:pStyle w:val="4"/>
        <w:spacing w:before="312"/>
        <w:jc w:val="center"/>
        <w:rPr>
          <w:rFonts w:hint="default" w:ascii="Times New Roman" w:hAnsi="Times New Roman" w:cs="Times New Roman"/>
          <w:color w:val="auto"/>
          <w:sz w:val="30"/>
          <w:szCs w:val="30"/>
        </w:rPr>
      </w:pPr>
      <w:bookmarkStart w:id="17" w:name="_Toc1874"/>
      <w:r>
        <w:rPr>
          <w:rFonts w:hint="default" w:ascii="Times New Roman" w:hAnsi="Times New Roman" w:cs="Times New Roman"/>
          <w:color w:val="auto"/>
          <w:sz w:val="30"/>
          <w:szCs w:val="30"/>
        </w:rPr>
        <w:t>第</w:t>
      </w:r>
      <w:r>
        <w:rPr>
          <w:rFonts w:hint="default" w:ascii="Times New Roman" w:hAnsi="Times New Roman" w:cs="Times New Roman"/>
          <w:color w:val="auto"/>
          <w:sz w:val="30"/>
          <w:szCs w:val="30"/>
          <w:lang w:eastAsia="zh-CN"/>
        </w:rPr>
        <w:t>二</w:t>
      </w:r>
      <w:r>
        <w:rPr>
          <w:rFonts w:hint="default" w:ascii="Times New Roman" w:hAnsi="Times New Roman" w:cs="Times New Roman"/>
          <w:color w:val="auto"/>
          <w:sz w:val="30"/>
          <w:szCs w:val="30"/>
        </w:rPr>
        <w:t>节  基本原则</w:t>
      </w:r>
      <w:bookmarkEnd w:id="17"/>
    </w:p>
    <w:p w14:paraId="277155EB">
      <w:pPr>
        <w:spacing w:line="360" w:lineRule="auto"/>
        <w:ind w:firstLine="602" w:firstLineChars="200"/>
        <w:rPr>
          <w:rFonts w:hint="default" w:ascii="Times New Roman" w:hAnsi="Times New Roman" w:cs="Times New Roman"/>
          <w:color w:val="auto"/>
          <w:sz w:val="30"/>
          <w:szCs w:val="30"/>
        </w:rPr>
      </w:pPr>
      <w:r>
        <w:rPr>
          <w:rFonts w:hint="default" w:ascii="Times New Roman" w:hAnsi="Times New Roman" w:cs="Times New Roman"/>
          <w:b/>
          <w:bCs/>
          <w:color w:val="auto"/>
          <w:sz w:val="30"/>
          <w:szCs w:val="30"/>
        </w:rPr>
        <w:t>生态优先</w:t>
      </w:r>
      <w:r>
        <w:rPr>
          <w:rFonts w:hint="default" w:ascii="Times New Roman" w:hAnsi="Times New Roman" w:cs="Times New Roman"/>
          <w:b/>
          <w:bCs/>
          <w:color w:val="auto"/>
          <w:sz w:val="30"/>
          <w:szCs w:val="30"/>
          <w:lang w:eastAsia="zh-CN"/>
        </w:rPr>
        <w:t>，</w:t>
      </w:r>
      <w:r>
        <w:rPr>
          <w:rFonts w:hint="default" w:ascii="Times New Roman" w:hAnsi="Times New Roman" w:cs="Times New Roman"/>
          <w:b/>
          <w:bCs/>
          <w:color w:val="auto"/>
          <w:sz w:val="30"/>
          <w:szCs w:val="30"/>
        </w:rPr>
        <w:t>绿色发展</w:t>
      </w:r>
      <w:r>
        <w:rPr>
          <w:rFonts w:hint="default" w:ascii="Times New Roman" w:hAnsi="Times New Roman" w:cs="Times New Roman"/>
          <w:b/>
          <w:bCs/>
          <w:color w:val="auto"/>
          <w:sz w:val="30"/>
          <w:szCs w:val="30"/>
          <w:lang w:eastAsia="zh-CN"/>
        </w:rPr>
        <w:t>。</w:t>
      </w:r>
      <w:r>
        <w:rPr>
          <w:rFonts w:hint="default" w:ascii="Times New Roman" w:hAnsi="Times New Roman" w:cs="Times New Roman"/>
          <w:color w:val="auto"/>
          <w:sz w:val="30"/>
          <w:szCs w:val="30"/>
          <w:lang w:eastAsia="zh-CN"/>
        </w:rPr>
        <w:t>坚持尊重自然、顺应自然、保护自然的自然生态观，</w:t>
      </w:r>
      <w:r>
        <w:rPr>
          <w:rFonts w:hint="default" w:ascii="Times New Roman" w:hAnsi="Times New Roman" w:cs="Times New Roman"/>
          <w:color w:val="auto"/>
          <w:sz w:val="30"/>
          <w:szCs w:val="30"/>
        </w:rPr>
        <w:t>立足生态本底优势，严守生态环境底线，积极创新生态资源开发利用模式，大力推进生态县建设，通过培育发展生态农业、建设美丽乡镇、发展生态旅游、繁荣生态文化，充分激活全县生态资源潜力，实现绿色崛起。</w:t>
      </w:r>
    </w:p>
    <w:p w14:paraId="3F996C3E">
      <w:pPr>
        <w:spacing w:line="360" w:lineRule="auto"/>
        <w:ind w:firstLine="602" w:firstLineChars="200"/>
        <w:rPr>
          <w:rFonts w:hint="default" w:ascii="Times New Roman" w:hAnsi="Times New Roman" w:cs="Times New Roman"/>
          <w:color w:val="auto"/>
          <w:sz w:val="30"/>
          <w:szCs w:val="30"/>
        </w:rPr>
      </w:pPr>
      <w:r>
        <w:rPr>
          <w:rFonts w:hint="default" w:ascii="Times New Roman" w:hAnsi="Times New Roman" w:cs="Times New Roman"/>
          <w:b/>
          <w:bCs/>
          <w:color w:val="auto"/>
          <w:sz w:val="30"/>
          <w:szCs w:val="30"/>
        </w:rPr>
        <w:t>创新引领，</w:t>
      </w:r>
      <w:r>
        <w:rPr>
          <w:rFonts w:hint="default" w:ascii="Times New Roman" w:hAnsi="Times New Roman" w:cs="Times New Roman"/>
          <w:b/>
          <w:bCs/>
          <w:color w:val="auto"/>
          <w:sz w:val="30"/>
          <w:szCs w:val="30"/>
          <w:lang w:eastAsia="zh-CN"/>
        </w:rPr>
        <w:t>整体</w:t>
      </w:r>
      <w:r>
        <w:rPr>
          <w:rFonts w:hint="default" w:ascii="Times New Roman" w:hAnsi="Times New Roman" w:cs="Times New Roman"/>
          <w:b/>
          <w:bCs/>
          <w:color w:val="auto"/>
          <w:sz w:val="30"/>
          <w:szCs w:val="30"/>
        </w:rPr>
        <w:t>保护。</w:t>
      </w:r>
      <w:r>
        <w:rPr>
          <w:rFonts w:hint="default" w:ascii="Times New Roman" w:hAnsi="Times New Roman" w:cs="Times New Roman"/>
          <w:color w:val="auto"/>
          <w:sz w:val="30"/>
          <w:szCs w:val="30"/>
        </w:rPr>
        <w:t>深入推动技术创新、模式创新、治理创新，培育绿色技术平台，推进“放管服”改革，坚持山水林田湖草生命共同体的系统治理观，统筹生态环境各要素、各领域，进行整体保护、宏观管控、综合治理，构建市场导向的绿色技术创新体系，推行现代化环境监管和治理模式，打造</w:t>
      </w:r>
      <w:r>
        <w:rPr>
          <w:rFonts w:hint="default" w:ascii="Times New Roman" w:hAnsi="Times New Roman" w:cs="Times New Roman"/>
          <w:color w:val="auto"/>
          <w:sz w:val="30"/>
          <w:szCs w:val="30"/>
          <w:lang w:eastAsia="zh-CN"/>
        </w:rPr>
        <w:t>山</w:t>
      </w:r>
      <w:r>
        <w:rPr>
          <w:rFonts w:hint="default" w:ascii="Times New Roman" w:hAnsi="Times New Roman" w:cs="Times New Roman"/>
          <w:color w:val="auto"/>
          <w:sz w:val="30"/>
          <w:szCs w:val="30"/>
        </w:rPr>
        <w:t>水林田湖草生命共同体，</w:t>
      </w:r>
      <w:r>
        <w:rPr>
          <w:rFonts w:hint="default" w:ascii="Times New Roman" w:hAnsi="Times New Roman" w:cs="Times New Roman"/>
          <w:color w:val="auto"/>
          <w:sz w:val="30"/>
          <w:szCs w:val="30"/>
          <w:lang w:eastAsia="zh-CN"/>
        </w:rPr>
        <w:t>维</w:t>
      </w:r>
      <w:r>
        <w:rPr>
          <w:rFonts w:hint="default" w:ascii="Times New Roman" w:hAnsi="Times New Roman" w:cs="Times New Roman"/>
          <w:color w:val="auto"/>
          <w:sz w:val="30"/>
          <w:szCs w:val="30"/>
        </w:rPr>
        <w:t>持生态平衡，提升生态系统服务功能。</w:t>
      </w:r>
    </w:p>
    <w:p w14:paraId="037DDA08">
      <w:pPr>
        <w:spacing w:line="360" w:lineRule="auto"/>
        <w:ind w:firstLine="602" w:firstLineChars="200"/>
        <w:rPr>
          <w:rFonts w:hint="default" w:ascii="Times New Roman" w:hAnsi="Times New Roman" w:cs="Times New Roman"/>
          <w:color w:val="auto"/>
          <w:sz w:val="30"/>
          <w:szCs w:val="30"/>
          <w:lang w:eastAsia="zh-CN"/>
        </w:rPr>
      </w:pPr>
      <w:r>
        <w:rPr>
          <w:rFonts w:hint="default" w:ascii="Times New Roman" w:hAnsi="Times New Roman" w:cs="Times New Roman"/>
          <w:b/>
          <w:bCs/>
          <w:color w:val="auto"/>
          <w:sz w:val="30"/>
          <w:szCs w:val="30"/>
          <w:lang w:eastAsia="zh-CN"/>
        </w:rPr>
        <w:t>突出重点</w:t>
      </w:r>
      <w:r>
        <w:rPr>
          <w:rFonts w:hint="default" w:ascii="Times New Roman" w:hAnsi="Times New Roman" w:cs="Times New Roman"/>
          <w:b/>
          <w:bCs/>
          <w:color w:val="auto"/>
          <w:sz w:val="30"/>
          <w:szCs w:val="30"/>
        </w:rPr>
        <w:t>，</w:t>
      </w:r>
      <w:r>
        <w:rPr>
          <w:rFonts w:hint="default" w:ascii="Times New Roman" w:hAnsi="Times New Roman" w:cs="Times New Roman"/>
          <w:b/>
          <w:bCs/>
          <w:color w:val="auto"/>
          <w:sz w:val="30"/>
          <w:szCs w:val="30"/>
          <w:lang w:eastAsia="zh-CN"/>
        </w:rPr>
        <w:t>保障安全</w:t>
      </w:r>
      <w:r>
        <w:rPr>
          <w:rFonts w:hint="default" w:ascii="Times New Roman" w:hAnsi="Times New Roman" w:cs="Times New Roman"/>
          <w:b/>
          <w:bCs/>
          <w:color w:val="auto"/>
          <w:sz w:val="30"/>
          <w:szCs w:val="30"/>
        </w:rPr>
        <w:t>。</w:t>
      </w:r>
      <w:r>
        <w:rPr>
          <w:rFonts w:hint="default" w:ascii="Times New Roman" w:hAnsi="Times New Roman" w:cs="Times New Roman"/>
          <w:b w:val="0"/>
          <w:bCs w:val="0"/>
          <w:color w:val="auto"/>
          <w:sz w:val="30"/>
          <w:szCs w:val="30"/>
          <w:lang w:eastAsia="zh-CN"/>
        </w:rPr>
        <w:t>以持续改善环境质量为核心，</w:t>
      </w:r>
      <w:r>
        <w:rPr>
          <w:rFonts w:hint="default" w:ascii="Times New Roman" w:hAnsi="Times New Roman" w:cs="Times New Roman"/>
          <w:color w:val="auto"/>
          <w:sz w:val="30"/>
          <w:szCs w:val="30"/>
        </w:rPr>
        <w:t>突出精准治污、科学治污、依法治污，提升环境管理精细化水平，深入打好污染防治攻坚战，明确重点任务目标和重大治理工程，加快</w:t>
      </w:r>
      <w:r>
        <w:rPr>
          <w:rFonts w:hint="default" w:ascii="Times New Roman" w:hAnsi="Times New Roman" w:cs="Times New Roman"/>
          <w:color w:val="auto"/>
          <w:sz w:val="30"/>
          <w:szCs w:val="30"/>
          <w:lang w:eastAsia="zh-CN"/>
        </w:rPr>
        <w:t>推动产业</w:t>
      </w:r>
      <w:r>
        <w:rPr>
          <w:rFonts w:hint="default" w:ascii="Times New Roman" w:hAnsi="Times New Roman" w:cs="Times New Roman"/>
          <w:color w:val="auto"/>
          <w:sz w:val="30"/>
          <w:szCs w:val="30"/>
        </w:rPr>
        <w:t>绿色</w:t>
      </w:r>
      <w:r>
        <w:rPr>
          <w:rFonts w:hint="default" w:ascii="Times New Roman" w:hAnsi="Times New Roman" w:cs="Times New Roman"/>
          <w:color w:val="auto"/>
          <w:sz w:val="30"/>
          <w:szCs w:val="30"/>
          <w:lang w:eastAsia="zh-CN"/>
        </w:rPr>
        <w:t>低碳转型</w:t>
      </w:r>
      <w:r>
        <w:rPr>
          <w:rFonts w:hint="default" w:ascii="Times New Roman" w:hAnsi="Times New Roman" w:cs="Times New Roman"/>
          <w:color w:val="auto"/>
          <w:sz w:val="30"/>
          <w:szCs w:val="30"/>
        </w:rPr>
        <w:t>，</w:t>
      </w:r>
      <w:r>
        <w:rPr>
          <w:rFonts w:hint="default" w:ascii="Times New Roman" w:hAnsi="Times New Roman" w:cs="Times New Roman"/>
          <w:color w:val="auto"/>
          <w:sz w:val="30"/>
          <w:szCs w:val="30"/>
          <w:lang w:eastAsia="zh-CN"/>
        </w:rPr>
        <w:t>促进</w:t>
      </w:r>
      <w:r>
        <w:rPr>
          <w:rFonts w:hint="default" w:ascii="Times New Roman" w:hAnsi="Times New Roman" w:cs="Times New Roman"/>
          <w:color w:val="auto"/>
          <w:sz w:val="30"/>
          <w:szCs w:val="30"/>
        </w:rPr>
        <w:t>县域经济提质升位，</w:t>
      </w:r>
      <w:r>
        <w:rPr>
          <w:rFonts w:hint="default" w:ascii="Times New Roman" w:hAnsi="Times New Roman" w:cs="Times New Roman"/>
          <w:color w:val="auto"/>
          <w:sz w:val="30"/>
          <w:szCs w:val="30"/>
          <w:lang w:eastAsia="zh-CN"/>
        </w:rPr>
        <w:t>实现</w:t>
      </w:r>
      <w:r>
        <w:rPr>
          <w:rFonts w:hint="default" w:ascii="Times New Roman" w:hAnsi="Times New Roman" w:cs="Times New Roman"/>
          <w:color w:val="auto"/>
          <w:sz w:val="30"/>
          <w:szCs w:val="30"/>
        </w:rPr>
        <w:t>重点领域环保工作取得新突破</w:t>
      </w:r>
      <w:r>
        <w:rPr>
          <w:rFonts w:hint="default" w:ascii="Times New Roman" w:hAnsi="Times New Roman" w:cs="Times New Roman"/>
          <w:color w:val="auto"/>
          <w:sz w:val="30"/>
          <w:szCs w:val="30"/>
          <w:lang w:eastAsia="zh-CN"/>
        </w:rPr>
        <w:t>，加快形成绿色生产和绿色生活方式。</w:t>
      </w:r>
    </w:p>
    <w:p w14:paraId="5476650D">
      <w:pPr>
        <w:pStyle w:val="2"/>
        <w:ind w:firstLine="562"/>
        <w:rPr>
          <w:rFonts w:hint="default" w:ascii="Times New Roman" w:hAnsi="Times New Roman" w:cs="Times New Roman"/>
          <w:color w:val="auto"/>
          <w:sz w:val="30"/>
          <w:szCs w:val="30"/>
        </w:rPr>
      </w:pPr>
      <w:r>
        <w:rPr>
          <w:rFonts w:hint="default" w:ascii="Times New Roman" w:hAnsi="Times New Roman" w:cs="Times New Roman"/>
          <w:b/>
          <w:bCs/>
          <w:color w:val="auto"/>
          <w:sz w:val="30"/>
          <w:szCs w:val="30"/>
          <w:lang w:eastAsia="zh-CN"/>
        </w:rPr>
        <w:t>城乡融合，多元共治。</w:t>
      </w:r>
      <w:r>
        <w:rPr>
          <w:rFonts w:hint="default" w:ascii="Times New Roman" w:hAnsi="Times New Roman" w:cs="Times New Roman"/>
          <w:color w:val="auto"/>
          <w:sz w:val="30"/>
          <w:szCs w:val="30"/>
          <w:lang w:val="en-US" w:eastAsia="zh-CN"/>
        </w:rPr>
        <w:t>大力推动城乡统筹、社会经济统筹、人与自然统筹，推动城乡区域规划建设一体化、产业发展一体化、公共服务均衡化，实现区域协同共生、城乡共兴</w:t>
      </w:r>
      <w:r>
        <w:rPr>
          <w:rFonts w:hint="default" w:ascii="Times New Roman" w:hAnsi="Times New Roman" w:cs="Times New Roman"/>
          <w:color w:val="auto"/>
          <w:sz w:val="30"/>
          <w:szCs w:val="30"/>
          <w:lang w:eastAsia="zh-CN"/>
        </w:rPr>
        <w:t>。强化环保共同责任，落实企业环境治理直接责任、党政主体责任、部门监管责任和司法制裁责任。激励与约束并举，政府与市场“两手发力”，强化公众监督，</w:t>
      </w:r>
      <w:r>
        <w:rPr>
          <w:rFonts w:hint="default" w:ascii="Times New Roman" w:hAnsi="Times New Roman" w:cs="Times New Roman"/>
          <w:color w:val="auto"/>
          <w:sz w:val="30"/>
          <w:szCs w:val="30"/>
        </w:rPr>
        <w:t>实现政府治理和社会调节、企业自治、公众参与的</w:t>
      </w:r>
      <w:r>
        <w:rPr>
          <w:rFonts w:hint="default" w:ascii="Times New Roman" w:hAnsi="Times New Roman" w:cs="Times New Roman"/>
          <w:color w:val="auto"/>
          <w:sz w:val="30"/>
          <w:szCs w:val="30"/>
          <w:lang w:eastAsia="zh-CN"/>
        </w:rPr>
        <w:t>多元化治理</w:t>
      </w:r>
      <w:r>
        <w:rPr>
          <w:rFonts w:hint="default" w:ascii="Times New Roman" w:hAnsi="Times New Roman" w:cs="Times New Roman"/>
          <w:color w:val="auto"/>
          <w:sz w:val="30"/>
          <w:szCs w:val="30"/>
        </w:rPr>
        <w:t>。</w:t>
      </w:r>
    </w:p>
    <w:p w14:paraId="744D10A8">
      <w:pPr>
        <w:pStyle w:val="4"/>
        <w:spacing w:before="312"/>
        <w:jc w:val="center"/>
        <w:rPr>
          <w:rFonts w:hint="default" w:ascii="Times New Roman" w:hAnsi="Times New Roman" w:cs="Times New Roman"/>
          <w:color w:val="auto"/>
          <w:sz w:val="30"/>
          <w:szCs w:val="30"/>
        </w:rPr>
      </w:pPr>
      <w:bookmarkStart w:id="18" w:name="_Toc24350"/>
      <w:r>
        <w:rPr>
          <w:rFonts w:hint="default" w:ascii="Times New Roman" w:hAnsi="Times New Roman" w:cs="Times New Roman"/>
          <w:color w:val="auto"/>
          <w:sz w:val="30"/>
          <w:szCs w:val="30"/>
        </w:rPr>
        <w:t>第</w:t>
      </w:r>
      <w:r>
        <w:rPr>
          <w:rFonts w:hint="default" w:ascii="Times New Roman" w:hAnsi="Times New Roman" w:cs="Times New Roman"/>
          <w:color w:val="auto"/>
          <w:sz w:val="30"/>
          <w:szCs w:val="30"/>
          <w:lang w:eastAsia="zh-CN"/>
        </w:rPr>
        <w:t>三</w:t>
      </w:r>
      <w:r>
        <w:rPr>
          <w:rFonts w:hint="default" w:ascii="Times New Roman" w:hAnsi="Times New Roman" w:cs="Times New Roman"/>
          <w:color w:val="auto"/>
          <w:sz w:val="30"/>
          <w:szCs w:val="30"/>
        </w:rPr>
        <w:t>节  主要目标</w:t>
      </w:r>
      <w:bookmarkEnd w:id="18"/>
    </w:p>
    <w:p w14:paraId="79B17AD0">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textAlignment w:val="auto"/>
        <w:rPr>
          <w:rFonts w:hint="default" w:ascii="Times New Roman" w:hAnsi="Times New Roman" w:cs="Times New Roman"/>
          <w:color w:val="auto"/>
          <w:sz w:val="30"/>
          <w:szCs w:val="30"/>
          <w:lang w:val="en-US" w:eastAsia="zh-CN"/>
        </w:rPr>
      </w:pPr>
      <w:r>
        <w:rPr>
          <w:rFonts w:hint="default" w:ascii="Times New Roman" w:hAnsi="Times New Roman" w:cs="Times New Roman"/>
          <w:color w:val="auto"/>
          <w:sz w:val="30"/>
          <w:szCs w:val="30"/>
        </w:rPr>
        <w:t>到2025年，</w:t>
      </w:r>
      <w:r>
        <w:rPr>
          <w:rFonts w:hint="default" w:ascii="Times New Roman" w:hAnsi="Times New Roman" w:cs="Times New Roman"/>
          <w:color w:val="auto"/>
          <w:sz w:val="30"/>
          <w:szCs w:val="30"/>
          <w:lang w:val="en-US" w:eastAsia="zh-CN"/>
        </w:rPr>
        <w:t>生态环境质量不断提升，</w:t>
      </w:r>
      <w:r>
        <w:rPr>
          <w:rFonts w:hint="default" w:ascii="Times New Roman" w:hAnsi="Times New Roman" w:cs="Times New Roman"/>
          <w:color w:val="auto"/>
          <w:sz w:val="30"/>
          <w:szCs w:val="30"/>
          <w:lang w:eastAsia="zh-CN"/>
        </w:rPr>
        <w:t>生态环境更加优美，国土空间开发保护格局得到优化，绿色低碳生产生活方式加快形成，能源资源配置更加合理、利用效率大幅提升，单位</w:t>
      </w:r>
      <w:r>
        <w:rPr>
          <w:rFonts w:hint="default" w:ascii="Times New Roman" w:hAnsi="Times New Roman" w:cs="Times New Roman"/>
          <w:color w:val="auto"/>
          <w:sz w:val="30"/>
          <w:szCs w:val="30"/>
          <w:lang w:val="en-US" w:eastAsia="zh-CN"/>
        </w:rPr>
        <w:t>GDP能耗持续下降，主要污染物排放总量持续减少，生态环境风险得到有效控制，环境治理体系和治理能力现代化取得重大进展，生态文明建设示范县建设实取得突破性进展，生态安全屏障更加安全，城乡人居环境明显改善，城市公园体系基本形成，美丽宜居蓬溪建设取得新成效。</w:t>
      </w:r>
    </w:p>
    <w:p w14:paraId="224E2E4C">
      <w:pPr>
        <w:pStyle w:val="10"/>
        <w:keepNext w:val="0"/>
        <w:keepLines w:val="0"/>
        <w:pageBreakBefore w:val="0"/>
        <w:widowControl w:val="0"/>
        <w:kinsoku/>
        <w:wordWrap/>
        <w:overflowPunct/>
        <w:topLinePunct w:val="0"/>
        <w:autoSpaceDE/>
        <w:autoSpaceDN/>
        <w:bidi w:val="0"/>
        <w:adjustRightInd w:val="0"/>
        <w:snapToGrid w:val="0"/>
        <w:spacing w:after="157" w:afterLines="50"/>
        <w:textAlignment w:val="auto"/>
        <w:rPr>
          <w:rFonts w:hint="default" w:ascii="Times New Roman" w:hAnsi="Times New Roman" w:cs="Times New Roman"/>
          <w:color w:val="auto"/>
          <w:sz w:val="30"/>
          <w:szCs w:val="30"/>
          <w:lang w:val="en-US" w:eastAsia="zh-CN"/>
        </w:rPr>
      </w:pPr>
      <w:r>
        <w:rPr>
          <w:rFonts w:hint="default" w:ascii="Times New Roman" w:hAnsi="Times New Roman" w:cs="Times New Roman"/>
          <w:color w:val="auto"/>
          <w:sz w:val="30"/>
          <w:szCs w:val="30"/>
          <w:lang w:val="en-US" w:eastAsia="zh-CN"/>
        </w:rPr>
        <w:t>到2035年，生态环境质量实现根本好转，城市公园体系更加引领城市发展，持续建设高品质生活宜居地，建成生态宜居城、西部地区“两山”理论创新发展实践地，绿色低碳循环发展经济体系基本形成，环境治理</w:t>
      </w:r>
      <w:r>
        <w:rPr>
          <w:rFonts w:hint="eastAsia" w:cs="Times New Roman"/>
          <w:color w:val="auto"/>
          <w:sz w:val="30"/>
          <w:szCs w:val="30"/>
          <w:lang w:val="en-US" w:eastAsia="zh-CN"/>
        </w:rPr>
        <w:t>体系</w:t>
      </w:r>
      <w:r>
        <w:rPr>
          <w:rFonts w:hint="default" w:ascii="Times New Roman" w:hAnsi="Times New Roman" w:cs="Times New Roman"/>
          <w:color w:val="auto"/>
          <w:sz w:val="30"/>
          <w:szCs w:val="30"/>
          <w:lang w:val="en-US" w:eastAsia="zh-CN"/>
        </w:rPr>
        <w:t>和治理</w:t>
      </w:r>
      <w:r>
        <w:rPr>
          <w:rFonts w:hint="eastAsia" w:cs="Times New Roman"/>
          <w:color w:val="auto"/>
          <w:sz w:val="30"/>
          <w:szCs w:val="30"/>
          <w:lang w:val="en-US" w:eastAsia="zh-CN"/>
        </w:rPr>
        <w:t>能力</w:t>
      </w:r>
      <w:r>
        <w:rPr>
          <w:rFonts w:hint="default" w:ascii="Times New Roman" w:hAnsi="Times New Roman" w:cs="Times New Roman"/>
          <w:color w:val="auto"/>
          <w:sz w:val="30"/>
          <w:szCs w:val="30"/>
          <w:lang w:val="en-US" w:eastAsia="zh-CN"/>
        </w:rPr>
        <w:t>现代化基本实现，美丽宜居、安全健康、绿色低碳的“美丽蓬溪”基本实现。</w:t>
      </w:r>
    </w:p>
    <w:p w14:paraId="5BBDFF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黑体" w:cs="Times New Roman"/>
          <w:b w:val="0"/>
          <w:bCs w:val="0"/>
          <w:color w:val="auto"/>
          <w:sz w:val="24"/>
          <w:szCs w:val="24"/>
          <w:lang w:eastAsia="zh-CN"/>
        </w:rPr>
      </w:pPr>
      <w:r>
        <w:rPr>
          <w:rFonts w:hint="default" w:ascii="Times New Roman" w:hAnsi="Times New Roman" w:eastAsia="黑体" w:cs="Times New Roman"/>
          <w:b w:val="0"/>
          <w:bCs w:val="0"/>
          <w:color w:val="auto"/>
          <w:sz w:val="24"/>
          <w:szCs w:val="24"/>
        </w:rPr>
        <w:t>表2-1  蓬溪县“十四五”生态环境保护规划目标指标表</w:t>
      </w:r>
    </w:p>
    <w:tbl>
      <w:tblPr>
        <w:tblStyle w:val="16"/>
        <w:tblW w:w="10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750"/>
        <w:gridCol w:w="4037"/>
        <w:gridCol w:w="1588"/>
        <w:gridCol w:w="1500"/>
        <w:gridCol w:w="1216"/>
      </w:tblGrid>
      <w:tr w14:paraId="39F0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981" w:type="dxa"/>
            <w:shd w:val="clear" w:color="auto" w:fill="auto"/>
            <w:vAlign w:val="center"/>
          </w:tcPr>
          <w:p w14:paraId="74281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指标类</w:t>
            </w:r>
          </w:p>
        </w:tc>
        <w:tc>
          <w:tcPr>
            <w:tcW w:w="750" w:type="dxa"/>
            <w:shd w:val="clear" w:color="auto" w:fill="auto"/>
            <w:vAlign w:val="center"/>
          </w:tcPr>
          <w:p w14:paraId="671399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序号</w:t>
            </w:r>
          </w:p>
        </w:tc>
        <w:tc>
          <w:tcPr>
            <w:tcW w:w="4037" w:type="dxa"/>
            <w:shd w:val="clear" w:color="auto" w:fill="auto"/>
            <w:vAlign w:val="center"/>
          </w:tcPr>
          <w:p w14:paraId="049999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指标</w:t>
            </w:r>
          </w:p>
        </w:tc>
        <w:tc>
          <w:tcPr>
            <w:tcW w:w="1588" w:type="dxa"/>
            <w:vAlign w:val="center"/>
          </w:tcPr>
          <w:p w14:paraId="6E7609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20</w:t>
            </w:r>
            <w:r>
              <w:rPr>
                <w:rFonts w:hint="default" w:ascii="Times New Roman" w:hAnsi="Times New Roman" w:eastAsia="仿宋_GB2312" w:cs="Times New Roman"/>
                <w:b/>
                <w:bCs/>
                <w:color w:val="auto"/>
                <w:kern w:val="0"/>
                <w:sz w:val="24"/>
                <w:szCs w:val="24"/>
                <w:lang w:val="en-US" w:eastAsia="zh-CN"/>
              </w:rPr>
              <w:t>20</w:t>
            </w:r>
            <w:r>
              <w:rPr>
                <w:rFonts w:hint="default" w:ascii="Times New Roman" w:hAnsi="Times New Roman" w:eastAsia="仿宋_GB2312" w:cs="Times New Roman"/>
                <w:b/>
                <w:bCs/>
                <w:color w:val="auto"/>
                <w:kern w:val="0"/>
                <w:sz w:val="24"/>
                <w:szCs w:val="24"/>
              </w:rPr>
              <w:t>年</w:t>
            </w:r>
          </w:p>
        </w:tc>
        <w:tc>
          <w:tcPr>
            <w:tcW w:w="1500" w:type="dxa"/>
            <w:vAlign w:val="center"/>
          </w:tcPr>
          <w:p w14:paraId="04FBE3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2025年</w:t>
            </w:r>
          </w:p>
        </w:tc>
        <w:tc>
          <w:tcPr>
            <w:tcW w:w="1216" w:type="dxa"/>
            <w:vAlign w:val="center"/>
          </w:tcPr>
          <w:p w14:paraId="4DCD1F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bCs/>
                <w:color w:val="auto"/>
                <w:kern w:val="0"/>
                <w:sz w:val="24"/>
                <w:szCs w:val="24"/>
              </w:rPr>
            </w:pPr>
            <w:r>
              <w:rPr>
                <w:rFonts w:hint="default" w:ascii="Times New Roman" w:hAnsi="Times New Roman" w:eastAsia="仿宋_GB2312" w:cs="Times New Roman"/>
                <w:b/>
                <w:bCs/>
                <w:color w:val="auto"/>
                <w:kern w:val="0"/>
                <w:sz w:val="24"/>
                <w:szCs w:val="24"/>
              </w:rPr>
              <w:t>指标属性</w:t>
            </w:r>
          </w:p>
        </w:tc>
      </w:tr>
      <w:tr w14:paraId="4946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81" w:type="dxa"/>
            <w:vMerge w:val="restart"/>
            <w:shd w:val="clear" w:color="auto" w:fill="auto"/>
            <w:vAlign w:val="center"/>
          </w:tcPr>
          <w:p w14:paraId="729C04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环境质量改善</w:t>
            </w:r>
          </w:p>
        </w:tc>
        <w:tc>
          <w:tcPr>
            <w:tcW w:w="750" w:type="dxa"/>
            <w:shd w:val="clear" w:color="auto" w:fill="auto"/>
            <w:vAlign w:val="center"/>
          </w:tcPr>
          <w:p w14:paraId="7E07CF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1</w:t>
            </w:r>
          </w:p>
        </w:tc>
        <w:tc>
          <w:tcPr>
            <w:tcW w:w="4037" w:type="dxa"/>
            <w:shd w:val="clear" w:color="auto" w:fill="auto"/>
            <w:vAlign w:val="center"/>
          </w:tcPr>
          <w:p w14:paraId="636045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细颗粒物（PM</w:t>
            </w:r>
            <w:r>
              <w:rPr>
                <w:rFonts w:hint="default" w:ascii="Times New Roman" w:hAnsi="Times New Roman" w:eastAsia="仿宋_GB2312" w:cs="Times New Roman"/>
                <w:b w:val="0"/>
                <w:bCs w:val="0"/>
                <w:color w:val="auto"/>
                <w:kern w:val="0"/>
                <w:sz w:val="24"/>
                <w:szCs w:val="24"/>
                <w:vertAlign w:val="subscript"/>
              </w:rPr>
              <w:t>2.5</w:t>
            </w:r>
            <w:r>
              <w:rPr>
                <w:rFonts w:hint="default" w:ascii="Times New Roman" w:hAnsi="Times New Roman" w:eastAsia="仿宋_GB2312" w:cs="Times New Roman"/>
                <w:b w:val="0"/>
                <w:bCs w:val="0"/>
                <w:color w:val="auto"/>
                <w:kern w:val="0"/>
                <w:sz w:val="24"/>
                <w:szCs w:val="24"/>
              </w:rPr>
              <w:t>）浓度下降（%）</w:t>
            </w:r>
          </w:p>
        </w:tc>
        <w:tc>
          <w:tcPr>
            <w:tcW w:w="1588" w:type="dxa"/>
            <w:vAlign w:val="center"/>
          </w:tcPr>
          <w:p w14:paraId="7A8C9B06">
            <w:pPr>
              <w:widowControl/>
              <w:adjustRightInd/>
              <w:spacing w:line="240" w:lineRule="auto"/>
              <w:ind w:firstLine="0" w:firstLineChars="0"/>
              <w:jc w:val="center"/>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cs="Times New Roman"/>
                <w:color w:val="auto"/>
                <w:kern w:val="0"/>
                <w:sz w:val="24"/>
                <w:szCs w:val="24"/>
              </w:rPr>
              <w:t>29.4</w:t>
            </w:r>
          </w:p>
        </w:tc>
        <w:tc>
          <w:tcPr>
            <w:tcW w:w="1500" w:type="dxa"/>
            <w:vAlign w:val="center"/>
          </w:tcPr>
          <w:p w14:paraId="6D392BF7">
            <w:pPr>
              <w:widowControl/>
              <w:adjustRightInd/>
              <w:spacing w:line="240" w:lineRule="auto"/>
              <w:ind w:firstLine="0" w:firstLineChars="0"/>
              <w:jc w:val="center"/>
              <w:rPr>
                <w:rFonts w:hint="default" w:ascii="Times New Roman" w:hAnsi="Times New Roman" w:eastAsia="仿宋_GB2312" w:cs="Times New Roman"/>
                <w:b w:val="0"/>
                <w:bCs w:val="0"/>
                <w:color w:val="auto"/>
                <w:kern w:val="0"/>
                <w:sz w:val="24"/>
                <w:szCs w:val="24"/>
              </w:rPr>
            </w:pPr>
            <w:r>
              <w:rPr>
                <w:rFonts w:hint="default" w:ascii="Times New Roman" w:hAnsi="Times New Roman" w:cs="Times New Roman"/>
                <w:b w:val="0"/>
                <w:bCs w:val="0"/>
                <w:color w:val="auto"/>
                <w:kern w:val="0"/>
                <w:sz w:val="24"/>
                <w:szCs w:val="24"/>
              </w:rPr>
              <w:t>29</w:t>
            </w:r>
          </w:p>
        </w:tc>
        <w:tc>
          <w:tcPr>
            <w:tcW w:w="1216" w:type="dxa"/>
            <w:vAlign w:val="center"/>
          </w:tcPr>
          <w:p w14:paraId="459EA8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约束性</w:t>
            </w:r>
          </w:p>
        </w:tc>
      </w:tr>
      <w:tr w14:paraId="7CE4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81" w:type="dxa"/>
            <w:vMerge w:val="continue"/>
            <w:shd w:val="clear" w:color="auto" w:fill="auto"/>
            <w:vAlign w:val="center"/>
          </w:tcPr>
          <w:p w14:paraId="3CBAA2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46823E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2</w:t>
            </w:r>
          </w:p>
        </w:tc>
        <w:tc>
          <w:tcPr>
            <w:tcW w:w="4037" w:type="dxa"/>
            <w:shd w:val="clear" w:color="auto" w:fill="auto"/>
            <w:vAlign w:val="center"/>
          </w:tcPr>
          <w:p w14:paraId="09C67D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空气质量优良天数比例（%）</w:t>
            </w:r>
          </w:p>
        </w:tc>
        <w:tc>
          <w:tcPr>
            <w:tcW w:w="1588" w:type="dxa"/>
            <w:vAlign w:val="center"/>
          </w:tcPr>
          <w:p w14:paraId="536F1A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93.7</w:t>
            </w:r>
          </w:p>
        </w:tc>
        <w:tc>
          <w:tcPr>
            <w:tcW w:w="1500" w:type="dxa"/>
            <w:vAlign w:val="center"/>
          </w:tcPr>
          <w:p w14:paraId="17A80E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93.7</w:t>
            </w:r>
          </w:p>
        </w:tc>
        <w:tc>
          <w:tcPr>
            <w:tcW w:w="1216" w:type="dxa"/>
            <w:vAlign w:val="center"/>
          </w:tcPr>
          <w:p w14:paraId="0CE0E1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约束性</w:t>
            </w:r>
          </w:p>
        </w:tc>
      </w:tr>
      <w:tr w14:paraId="1A6E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006055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633DD7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3</w:t>
            </w:r>
          </w:p>
        </w:tc>
        <w:tc>
          <w:tcPr>
            <w:tcW w:w="4037" w:type="dxa"/>
            <w:shd w:val="clear" w:color="auto" w:fill="auto"/>
            <w:vAlign w:val="center"/>
          </w:tcPr>
          <w:p w14:paraId="1E00E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国省控地表水监测断面水质达到或优于Ⅲ类水体比例（%）</w:t>
            </w:r>
          </w:p>
        </w:tc>
        <w:tc>
          <w:tcPr>
            <w:tcW w:w="1588" w:type="dxa"/>
            <w:vAlign w:val="center"/>
          </w:tcPr>
          <w:p w14:paraId="6683E8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0</w:t>
            </w:r>
          </w:p>
        </w:tc>
        <w:tc>
          <w:tcPr>
            <w:tcW w:w="1500" w:type="dxa"/>
            <w:vAlign w:val="center"/>
          </w:tcPr>
          <w:p w14:paraId="1164C0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100</w:t>
            </w:r>
          </w:p>
        </w:tc>
        <w:tc>
          <w:tcPr>
            <w:tcW w:w="1216" w:type="dxa"/>
            <w:vAlign w:val="center"/>
          </w:tcPr>
          <w:p w14:paraId="1F882D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约束性</w:t>
            </w:r>
          </w:p>
        </w:tc>
      </w:tr>
      <w:tr w14:paraId="7996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426E2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629649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4</w:t>
            </w:r>
          </w:p>
        </w:tc>
        <w:tc>
          <w:tcPr>
            <w:tcW w:w="4037" w:type="dxa"/>
            <w:shd w:val="clear" w:color="auto" w:fill="auto"/>
            <w:vAlign w:val="center"/>
          </w:tcPr>
          <w:p w14:paraId="11077C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地表水质量劣Ⅴ类水体比例（%）</w:t>
            </w:r>
          </w:p>
        </w:tc>
        <w:tc>
          <w:tcPr>
            <w:tcW w:w="1588" w:type="dxa"/>
            <w:vAlign w:val="center"/>
          </w:tcPr>
          <w:p w14:paraId="430714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0</w:t>
            </w:r>
          </w:p>
        </w:tc>
        <w:tc>
          <w:tcPr>
            <w:tcW w:w="1500" w:type="dxa"/>
            <w:vAlign w:val="center"/>
          </w:tcPr>
          <w:p w14:paraId="0BF5EE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val="en-US" w:eastAsia="zh-CN"/>
              </w:rPr>
              <w:t>0</w:t>
            </w:r>
          </w:p>
        </w:tc>
        <w:tc>
          <w:tcPr>
            <w:tcW w:w="1216" w:type="dxa"/>
            <w:vAlign w:val="center"/>
          </w:tcPr>
          <w:p w14:paraId="72952B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约束性</w:t>
            </w:r>
          </w:p>
        </w:tc>
      </w:tr>
      <w:tr w14:paraId="0781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229380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50E878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5</w:t>
            </w:r>
          </w:p>
        </w:tc>
        <w:tc>
          <w:tcPr>
            <w:tcW w:w="4037" w:type="dxa"/>
            <w:shd w:val="clear" w:color="auto" w:fill="auto"/>
            <w:vAlign w:val="center"/>
          </w:tcPr>
          <w:p w14:paraId="3401C2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highlight w:val="none"/>
              </w:rPr>
            </w:pPr>
            <w:r>
              <w:rPr>
                <w:rFonts w:hint="default" w:ascii="Times New Roman" w:hAnsi="Times New Roman" w:eastAsia="仿宋_GB2312" w:cs="Times New Roman"/>
                <w:b w:val="0"/>
                <w:bCs w:val="0"/>
                <w:color w:val="auto"/>
                <w:kern w:val="0"/>
                <w:sz w:val="24"/>
                <w:szCs w:val="24"/>
                <w:highlight w:val="none"/>
              </w:rPr>
              <w:t>重要江河湖泊水功能区达标率（%）</w:t>
            </w:r>
          </w:p>
        </w:tc>
        <w:tc>
          <w:tcPr>
            <w:tcW w:w="1588" w:type="dxa"/>
            <w:vAlign w:val="center"/>
          </w:tcPr>
          <w:p w14:paraId="27EA000D">
            <w:pPr>
              <w:widowControl/>
              <w:adjustRightInd/>
              <w:spacing w:line="240" w:lineRule="auto"/>
              <w:ind w:firstLine="0" w:firstLineChars="0"/>
              <w:jc w:val="center"/>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87.5</w:t>
            </w:r>
          </w:p>
        </w:tc>
        <w:tc>
          <w:tcPr>
            <w:tcW w:w="1500" w:type="dxa"/>
            <w:vAlign w:val="center"/>
          </w:tcPr>
          <w:p w14:paraId="49ED4DAD">
            <w:pPr>
              <w:widowControl/>
              <w:adjustRightInd/>
              <w:spacing w:line="240" w:lineRule="auto"/>
              <w:ind w:firstLine="0" w:firstLineChars="0"/>
              <w:jc w:val="center"/>
              <w:rPr>
                <w:rFonts w:hint="default" w:ascii="Times New Roman" w:hAnsi="Times New Roman" w:eastAsia="仿宋_GB2312" w:cs="Times New Roman"/>
                <w:b w:val="0"/>
                <w:bCs w:val="0"/>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100</w:t>
            </w:r>
          </w:p>
        </w:tc>
        <w:tc>
          <w:tcPr>
            <w:tcW w:w="1216" w:type="dxa"/>
            <w:vAlign w:val="center"/>
          </w:tcPr>
          <w:p w14:paraId="6730B693">
            <w:pPr>
              <w:widowControl/>
              <w:adjustRightInd/>
              <w:spacing w:line="240" w:lineRule="auto"/>
              <w:ind w:firstLine="0" w:firstLineChars="0"/>
              <w:jc w:val="center"/>
              <w:rPr>
                <w:rFonts w:hint="default" w:ascii="Times New Roman" w:hAnsi="Times New Roman" w:eastAsia="仿宋_GB2312"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预期性</w:t>
            </w:r>
          </w:p>
        </w:tc>
      </w:tr>
      <w:tr w14:paraId="5542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shd w:val="clear" w:color="auto" w:fill="auto"/>
            <w:vAlign w:val="center"/>
          </w:tcPr>
          <w:p w14:paraId="4F39B8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应对气候变化</w:t>
            </w:r>
          </w:p>
        </w:tc>
        <w:tc>
          <w:tcPr>
            <w:tcW w:w="750" w:type="dxa"/>
            <w:shd w:val="clear" w:color="auto" w:fill="auto"/>
            <w:vAlign w:val="center"/>
          </w:tcPr>
          <w:p w14:paraId="699AD1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val="en-US" w:eastAsia="zh-CN"/>
              </w:rPr>
              <w:t>6</w:t>
            </w:r>
          </w:p>
        </w:tc>
        <w:tc>
          <w:tcPr>
            <w:tcW w:w="4037" w:type="dxa"/>
            <w:shd w:val="clear" w:color="auto" w:fill="auto"/>
            <w:vAlign w:val="center"/>
          </w:tcPr>
          <w:p w14:paraId="740E85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单位国内生产总值二氧化碳排放降低（%）</w:t>
            </w:r>
          </w:p>
        </w:tc>
        <w:tc>
          <w:tcPr>
            <w:tcW w:w="1588" w:type="dxa"/>
            <w:vAlign w:val="center"/>
          </w:tcPr>
          <w:p w14:paraId="19ABC3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cs="Times New Roman"/>
                <w:color w:val="auto"/>
                <w:kern w:val="0"/>
                <w:sz w:val="24"/>
                <w:szCs w:val="24"/>
              </w:rPr>
              <w:t>满足国家、省、市考核要求</w:t>
            </w:r>
          </w:p>
        </w:tc>
        <w:tc>
          <w:tcPr>
            <w:tcW w:w="1500" w:type="dxa"/>
            <w:vAlign w:val="center"/>
          </w:tcPr>
          <w:p w14:paraId="5A9F03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cs="Times New Roman"/>
                <w:color w:val="auto"/>
                <w:kern w:val="0"/>
                <w:sz w:val="24"/>
                <w:szCs w:val="24"/>
              </w:rPr>
              <w:t>满足国家、省、市考核要求</w:t>
            </w:r>
          </w:p>
        </w:tc>
        <w:tc>
          <w:tcPr>
            <w:tcW w:w="1216" w:type="dxa"/>
            <w:vAlign w:val="center"/>
          </w:tcPr>
          <w:p w14:paraId="693C9F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14:paraId="0C51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81" w:type="dxa"/>
            <w:shd w:val="clear" w:color="auto" w:fill="auto"/>
            <w:vAlign w:val="center"/>
          </w:tcPr>
          <w:p w14:paraId="610389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污染物排放总量控制</w:t>
            </w:r>
          </w:p>
        </w:tc>
        <w:tc>
          <w:tcPr>
            <w:tcW w:w="750" w:type="dxa"/>
            <w:shd w:val="clear" w:color="auto" w:fill="auto"/>
            <w:vAlign w:val="center"/>
          </w:tcPr>
          <w:p w14:paraId="2FAA76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val="en-US" w:eastAsia="zh-CN"/>
              </w:rPr>
              <w:t>7</w:t>
            </w:r>
          </w:p>
        </w:tc>
        <w:tc>
          <w:tcPr>
            <w:tcW w:w="4037" w:type="dxa"/>
            <w:shd w:val="clear" w:color="auto" w:fill="auto"/>
            <w:vAlign w:val="center"/>
          </w:tcPr>
          <w:p w14:paraId="1925EC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主要污染物（氮氧化物、挥发性有机污染物、化学需氧量、氨氮）排放总量减少（%）</w:t>
            </w:r>
          </w:p>
        </w:tc>
        <w:tc>
          <w:tcPr>
            <w:tcW w:w="1588" w:type="dxa"/>
            <w:vAlign w:val="center"/>
          </w:tcPr>
          <w:p w14:paraId="16152CB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cs="Times New Roman"/>
                <w:color w:val="auto"/>
                <w:kern w:val="0"/>
                <w:sz w:val="24"/>
                <w:szCs w:val="24"/>
              </w:rPr>
              <w:t>满足国家、省、市考核要求</w:t>
            </w:r>
          </w:p>
        </w:tc>
        <w:tc>
          <w:tcPr>
            <w:tcW w:w="1500" w:type="dxa"/>
            <w:vAlign w:val="center"/>
          </w:tcPr>
          <w:p w14:paraId="3882B56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cs="Times New Roman"/>
                <w:color w:val="auto"/>
                <w:kern w:val="0"/>
                <w:sz w:val="24"/>
                <w:szCs w:val="24"/>
              </w:rPr>
              <w:t>满足国家、省、市考核要求</w:t>
            </w:r>
          </w:p>
        </w:tc>
        <w:tc>
          <w:tcPr>
            <w:tcW w:w="1216" w:type="dxa"/>
            <w:vAlign w:val="center"/>
          </w:tcPr>
          <w:p w14:paraId="7AD3552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约束性</w:t>
            </w:r>
          </w:p>
        </w:tc>
      </w:tr>
      <w:tr w14:paraId="1263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restart"/>
            <w:shd w:val="clear" w:color="auto" w:fill="auto"/>
            <w:vAlign w:val="center"/>
          </w:tcPr>
          <w:p w14:paraId="1C5A24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环境风险防控</w:t>
            </w:r>
          </w:p>
        </w:tc>
        <w:tc>
          <w:tcPr>
            <w:tcW w:w="750" w:type="dxa"/>
            <w:shd w:val="clear" w:color="auto" w:fill="auto"/>
            <w:vAlign w:val="center"/>
          </w:tcPr>
          <w:p w14:paraId="0D1D7E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val="en-US" w:eastAsia="zh-CN"/>
              </w:rPr>
              <w:t>8</w:t>
            </w:r>
          </w:p>
        </w:tc>
        <w:tc>
          <w:tcPr>
            <w:tcW w:w="4037" w:type="dxa"/>
            <w:shd w:val="clear" w:color="auto" w:fill="auto"/>
            <w:vAlign w:val="center"/>
          </w:tcPr>
          <w:p w14:paraId="485625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超筛选值耕地安全利用率（%）</w:t>
            </w:r>
          </w:p>
        </w:tc>
        <w:tc>
          <w:tcPr>
            <w:tcW w:w="1588" w:type="dxa"/>
            <w:vAlign w:val="center"/>
          </w:tcPr>
          <w:p w14:paraId="4439AB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rPr>
            </w:pPr>
            <w:r>
              <w:rPr>
                <w:rFonts w:hint="default" w:ascii="Times New Roman" w:hAnsi="Times New Roman" w:cs="Times New Roman"/>
                <w:b w:val="0"/>
                <w:bCs w:val="0"/>
                <w:color w:val="auto"/>
                <w:kern w:val="0"/>
                <w:sz w:val="24"/>
                <w:szCs w:val="24"/>
                <w:lang w:val="en-US" w:eastAsia="zh-CN"/>
              </w:rPr>
              <w:t>100</w:t>
            </w:r>
          </w:p>
        </w:tc>
        <w:tc>
          <w:tcPr>
            <w:tcW w:w="1500" w:type="dxa"/>
            <w:vAlign w:val="center"/>
          </w:tcPr>
          <w:p w14:paraId="2438F5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90</w:t>
            </w:r>
          </w:p>
        </w:tc>
        <w:tc>
          <w:tcPr>
            <w:tcW w:w="1216" w:type="dxa"/>
            <w:vAlign w:val="center"/>
          </w:tcPr>
          <w:p w14:paraId="4DE317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约束性</w:t>
            </w:r>
          </w:p>
        </w:tc>
      </w:tr>
      <w:tr w14:paraId="3EC4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2194F9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49A820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9</w:t>
            </w:r>
          </w:p>
        </w:tc>
        <w:tc>
          <w:tcPr>
            <w:tcW w:w="4037" w:type="dxa"/>
            <w:shd w:val="clear" w:color="auto" w:fill="auto"/>
            <w:vAlign w:val="center"/>
          </w:tcPr>
          <w:p w14:paraId="545EE9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超筛选值建设用地安全利用率（%）</w:t>
            </w:r>
          </w:p>
        </w:tc>
        <w:tc>
          <w:tcPr>
            <w:tcW w:w="1588" w:type="dxa"/>
            <w:vAlign w:val="center"/>
          </w:tcPr>
          <w:p w14:paraId="3E5EC7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rPr>
            </w:pPr>
            <w:r>
              <w:rPr>
                <w:rFonts w:hint="default" w:ascii="Times New Roman" w:hAnsi="Times New Roman" w:cs="Times New Roman"/>
                <w:b w:val="0"/>
                <w:bCs w:val="0"/>
                <w:color w:val="auto"/>
                <w:kern w:val="0"/>
                <w:sz w:val="24"/>
                <w:szCs w:val="24"/>
                <w:lang w:val="en-US" w:eastAsia="zh-CN"/>
              </w:rPr>
              <w:t>100</w:t>
            </w:r>
          </w:p>
        </w:tc>
        <w:tc>
          <w:tcPr>
            <w:tcW w:w="1500" w:type="dxa"/>
            <w:vAlign w:val="center"/>
          </w:tcPr>
          <w:p w14:paraId="04268C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93</w:t>
            </w:r>
          </w:p>
        </w:tc>
        <w:tc>
          <w:tcPr>
            <w:tcW w:w="1216" w:type="dxa"/>
            <w:vAlign w:val="center"/>
          </w:tcPr>
          <w:p w14:paraId="5A561A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eastAsia="仿宋_GB2312" w:cs="Times New Roman"/>
                <w:b w:val="0"/>
                <w:bCs w:val="0"/>
                <w:color w:val="auto"/>
                <w:kern w:val="0"/>
                <w:sz w:val="24"/>
                <w:szCs w:val="24"/>
              </w:rPr>
              <w:t>约束性</w:t>
            </w:r>
          </w:p>
        </w:tc>
      </w:tr>
      <w:tr w14:paraId="273C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103945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15E7EB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eastAsia="仿宋_GB2312" w:cs="Times New Roman"/>
                <w:b w:val="0"/>
                <w:bCs w:val="0"/>
                <w:color w:val="auto"/>
                <w:kern w:val="0"/>
                <w:sz w:val="24"/>
                <w:szCs w:val="24"/>
              </w:rPr>
              <w:t>1</w:t>
            </w:r>
            <w:r>
              <w:rPr>
                <w:rFonts w:hint="default" w:ascii="Times New Roman" w:hAnsi="Times New Roman" w:cs="Times New Roman"/>
                <w:b w:val="0"/>
                <w:bCs w:val="0"/>
                <w:color w:val="auto"/>
                <w:kern w:val="0"/>
                <w:sz w:val="24"/>
                <w:szCs w:val="24"/>
                <w:lang w:val="en-US" w:eastAsia="zh-CN"/>
              </w:rPr>
              <w:t>0</w:t>
            </w:r>
          </w:p>
        </w:tc>
        <w:tc>
          <w:tcPr>
            <w:tcW w:w="4037" w:type="dxa"/>
            <w:shd w:val="clear" w:color="auto" w:fill="auto"/>
            <w:vAlign w:val="center"/>
          </w:tcPr>
          <w:p w14:paraId="1ABD73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bidi="ar-SA"/>
              </w:rPr>
            </w:pPr>
            <w:r>
              <w:rPr>
                <w:rFonts w:hint="default" w:ascii="Times New Roman" w:hAnsi="Times New Roman" w:eastAsia="仿宋_GB2312" w:cs="Times New Roman"/>
                <w:b w:val="0"/>
                <w:bCs w:val="0"/>
                <w:color w:val="auto"/>
                <w:kern w:val="0"/>
                <w:sz w:val="24"/>
                <w:szCs w:val="24"/>
              </w:rPr>
              <w:t>工业危险废物利用处置率（%）</w:t>
            </w:r>
          </w:p>
        </w:tc>
        <w:tc>
          <w:tcPr>
            <w:tcW w:w="1588" w:type="dxa"/>
            <w:vAlign w:val="center"/>
          </w:tcPr>
          <w:p w14:paraId="3C5604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bidi="ar-SA"/>
              </w:rPr>
            </w:pPr>
            <w:r>
              <w:rPr>
                <w:rFonts w:hint="default" w:ascii="Times New Roman" w:hAnsi="Times New Roman" w:cs="Times New Roman"/>
                <w:b w:val="0"/>
                <w:bCs w:val="0"/>
                <w:color w:val="auto"/>
                <w:kern w:val="0"/>
                <w:sz w:val="24"/>
                <w:szCs w:val="24"/>
                <w:lang w:val="en-US" w:eastAsia="zh-CN"/>
              </w:rPr>
              <w:t>100</w:t>
            </w:r>
          </w:p>
        </w:tc>
        <w:tc>
          <w:tcPr>
            <w:tcW w:w="1500" w:type="dxa"/>
            <w:vAlign w:val="center"/>
          </w:tcPr>
          <w:p w14:paraId="2DD3B3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bidi="ar-SA"/>
              </w:rPr>
            </w:pPr>
            <w:r>
              <w:rPr>
                <w:rFonts w:hint="default" w:ascii="Times New Roman" w:hAnsi="Times New Roman" w:eastAsia="仿宋_GB2312" w:cs="Times New Roman"/>
                <w:b w:val="0"/>
                <w:bCs w:val="0"/>
                <w:color w:val="auto"/>
                <w:kern w:val="0"/>
                <w:sz w:val="24"/>
                <w:szCs w:val="24"/>
              </w:rPr>
              <w:t>90</w:t>
            </w:r>
          </w:p>
        </w:tc>
        <w:tc>
          <w:tcPr>
            <w:tcW w:w="1216" w:type="dxa"/>
            <w:vAlign w:val="center"/>
          </w:tcPr>
          <w:p w14:paraId="05C2B8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eastAsia="zh-CN"/>
              </w:rPr>
              <w:t>预期性</w:t>
            </w:r>
          </w:p>
        </w:tc>
      </w:tr>
      <w:tr w14:paraId="27A1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015A40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rPr>
            </w:pPr>
          </w:p>
        </w:tc>
        <w:tc>
          <w:tcPr>
            <w:tcW w:w="750" w:type="dxa"/>
            <w:shd w:val="clear" w:color="auto" w:fill="auto"/>
            <w:vAlign w:val="center"/>
          </w:tcPr>
          <w:p w14:paraId="10C84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rPr>
            </w:pPr>
            <w:r>
              <w:rPr>
                <w:rFonts w:hint="default" w:ascii="Times New Roman" w:hAnsi="Times New Roman" w:eastAsia="仿宋_GB2312" w:cs="Times New Roman"/>
                <w:b w:val="0"/>
                <w:bCs w:val="0"/>
                <w:color w:val="auto"/>
                <w:kern w:val="0"/>
                <w:sz w:val="24"/>
                <w:szCs w:val="24"/>
                <w:lang w:val="en-US" w:eastAsia="zh-CN"/>
              </w:rPr>
              <w:t>1</w:t>
            </w:r>
            <w:r>
              <w:rPr>
                <w:rFonts w:hint="default" w:ascii="Times New Roman" w:hAnsi="Times New Roman" w:cs="Times New Roman"/>
                <w:b w:val="0"/>
                <w:bCs w:val="0"/>
                <w:color w:val="auto"/>
                <w:kern w:val="0"/>
                <w:sz w:val="24"/>
                <w:szCs w:val="24"/>
                <w:lang w:val="en-US" w:eastAsia="zh-CN"/>
              </w:rPr>
              <w:t>1</w:t>
            </w:r>
          </w:p>
        </w:tc>
        <w:tc>
          <w:tcPr>
            <w:tcW w:w="4037" w:type="dxa"/>
            <w:shd w:val="clear" w:color="auto" w:fill="auto"/>
            <w:vAlign w:val="center"/>
          </w:tcPr>
          <w:p w14:paraId="36B3CA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highlight w:val="yellow"/>
                <w:lang w:val="en-US" w:eastAsia="zh-CN" w:bidi="ar-SA"/>
              </w:rPr>
            </w:pPr>
            <w:r>
              <w:rPr>
                <w:rFonts w:hint="default" w:ascii="Times New Roman" w:hAnsi="Times New Roman" w:eastAsia="仿宋_GB2312" w:cs="Times New Roman"/>
                <w:b w:val="0"/>
                <w:bCs w:val="0"/>
                <w:color w:val="auto"/>
                <w:kern w:val="0"/>
                <w:sz w:val="24"/>
                <w:szCs w:val="24"/>
              </w:rPr>
              <w:t>县级以上医疗废物无害化处置率（%）</w:t>
            </w:r>
          </w:p>
        </w:tc>
        <w:tc>
          <w:tcPr>
            <w:tcW w:w="1588" w:type="dxa"/>
            <w:vAlign w:val="center"/>
          </w:tcPr>
          <w:p w14:paraId="71276B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bidi="ar-SA"/>
              </w:rPr>
            </w:pPr>
            <w:r>
              <w:rPr>
                <w:rFonts w:hint="default" w:ascii="Times New Roman" w:hAnsi="Times New Roman" w:cs="Times New Roman"/>
                <w:b w:val="0"/>
                <w:bCs w:val="0"/>
                <w:color w:val="auto"/>
                <w:kern w:val="0"/>
                <w:sz w:val="24"/>
                <w:szCs w:val="24"/>
                <w:lang w:val="en-US" w:eastAsia="zh-CN"/>
              </w:rPr>
              <w:t>100</w:t>
            </w:r>
          </w:p>
        </w:tc>
        <w:tc>
          <w:tcPr>
            <w:tcW w:w="1500" w:type="dxa"/>
            <w:vAlign w:val="center"/>
          </w:tcPr>
          <w:p w14:paraId="2BCFE1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lang w:val="en-US" w:eastAsia="zh-CN" w:bidi="ar-SA"/>
              </w:rPr>
            </w:pPr>
            <w:r>
              <w:rPr>
                <w:rFonts w:hint="default" w:ascii="Times New Roman" w:hAnsi="Times New Roman" w:eastAsia="仿宋_GB2312" w:cs="Times New Roman"/>
                <w:b w:val="0"/>
                <w:bCs w:val="0"/>
                <w:color w:val="auto"/>
                <w:kern w:val="0"/>
                <w:sz w:val="24"/>
                <w:szCs w:val="24"/>
              </w:rPr>
              <w:t>100</w:t>
            </w:r>
          </w:p>
        </w:tc>
        <w:tc>
          <w:tcPr>
            <w:tcW w:w="1216" w:type="dxa"/>
            <w:vAlign w:val="center"/>
          </w:tcPr>
          <w:p w14:paraId="011103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_GB2312" w:cs="Times New Roman"/>
                <w:b w:val="0"/>
                <w:bCs w:val="0"/>
                <w:color w:val="auto"/>
                <w:kern w:val="0"/>
                <w:sz w:val="24"/>
                <w:szCs w:val="24"/>
              </w:rPr>
            </w:pPr>
            <w:r>
              <w:rPr>
                <w:rFonts w:hint="default" w:ascii="Times New Roman" w:hAnsi="Times New Roman" w:cs="Times New Roman"/>
                <w:b w:val="0"/>
                <w:bCs w:val="0"/>
                <w:color w:val="auto"/>
                <w:kern w:val="0"/>
                <w:sz w:val="24"/>
                <w:szCs w:val="24"/>
                <w:lang w:eastAsia="zh-CN"/>
              </w:rPr>
              <w:t>预期性</w:t>
            </w:r>
          </w:p>
        </w:tc>
      </w:tr>
      <w:tr w14:paraId="2650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restart"/>
            <w:shd w:val="clear" w:color="auto" w:fill="auto"/>
            <w:vAlign w:val="center"/>
          </w:tcPr>
          <w:p w14:paraId="235D44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eastAsia="zh-CN"/>
              </w:rPr>
              <w:t>生态保护</w:t>
            </w:r>
          </w:p>
        </w:tc>
        <w:tc>
          <w:tcPr>
            <w:tcW w:w="750" w:type="dxa"/>
            <w:shd w:val="clear" w:color="auto" w:fill="auto"/>
            <w:vAlign w:val="center"/>
          </w:tcPr>
          <w:p w14:paraId="156342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12</w:t>
            </w:r>
          </w:p>
        </w:tc>
        <w:tc>
          <w:tcPr>
            <w:tcW w:w="4037" w:type="dxa"/>
            <w:shd w:val="clear" w:color="auto" w:fill="auto"/>
            <w:vAlign w:val="center"/>
          </w:tcPr>
          <w:p w14:paraId="2816C1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森林覆盖率（%）</w:t>
            </w:r>
          </w:p>
        </w:tc>
        <w:tc>
          <w:tcPr>
            <w:tcW w:w="1588" w:type="dxa"/>
            <w:vAlign w:val="center"/>
          </w:tcPr>
          <w:p w14:paraId="622A45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34.4</w:t>
            </w:r>
          </w:p>
        </w:tc>
        <w:tc>
          <w:tcPr>
            <w:tcW w:w="1500" w:type="dxa"/>
            <w:vAlign w:val="center"/>
          </w:tcPr>
          <w:p w14:paraId="19661D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3</w:t>
            </w:r>
            <w:r>
              <w:rPr>
                <w:rFonts w:hint="default" w:ascii="Times New Roman" w:hAnsi="Times New Roman" w:cs="Times New Roman"/>
                <w:b w:val="0"/>
                <w:bCs w:val="0"/>
                <w:color w:val="auto"/>
                <w:kern w:val="0"/>
                <w:sz w:val="24"/>
                <w:szCs w:val="24"/>
                <w:lang w:eastAsia="zh-CN"/>
              </w:rPr>
              <w:t>4</w:t>
            </w:r>
            <w:r>
              <w:rPr>
                <w:rFonts w:hint="default" w:ascii="Times New Roman" w:hAnsi="Times New Roman" w:cs="Times New Roman"/>
                <w:b w:val="0"/>
                <w:bCs w:val="0"/>
                <w:color w:val="auto"/>
                <w:kern w:val="0"/>
                <w:sz w:val="24"/>
                <w:szCs w:val="24"/>
                <w:lang w:val="en-US" w:eastAsia="zh-CN"/>
              </w:rPr>
              <w:t>.4</w:t>
            </w:r>
          </w:p>
        </w:tc>
        <w:tc>
          <w:tcPr>
            <w:tcW w:w="1216" w:type="dxa"/>
            <w:vAlign w:val="center"/>
          </w:tcPr>
          <w:p w14:paraId="3E14C8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约束性</w:t>
            </w:r>
          </w:p>
        </w:tc>
      </w:tr>
      <w:tr w14:paraId="4299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393763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eastAsia="zh-CN"/>
              </w:rPr>
            </w:pPr>
          </w:p>
        </w:tc>
        <w:tc>
          <w:tcPr>
            <w:tcW w:w="750" w:type="dxa"/>
            <w:shd w:val="clear" w:color="auto" w:fill="auto"/>
            <w:vAlign w:val="center"/>
          </w:tcPr>
          <w:p w14:paraId="5EB1C0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13</w:t>
            </w:r>
          </w:p>
        </w:tc>
        <w:tc>
          <w:tcPr>
            <w:tcW w:w="4037" w:type="dxa"/>
            <w:shd w:val="clear" w:color="auto" w:fill="auto"/>
            <w:vAlign w:val="center"/>
          </w:tcPr>
          <w:p w14:paraId="3B9F51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县域生态环境状况指数（EI）</w:t>
            </w:r>
          </w:p>
        </w:tc>
        <w:tc>
          <w:tcPr>
            <w:tcW w:w="1588" w:type="dxa"/>
            <w:vAlign w:val="center"/>
          </w:tcPr>
          <w:p w14:paraId="79CDAD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稳中向好</w:t>
            </w:r>
          </w:p>
        </w:tc>
        <w:tc>
          <w:tcPr>
            <w:tcW w:w="1500" w:type="dxa"/>
            <w:vAlign w:val="center"/>
          </w:tcPr>
          <w:p w14:paraId="172AB7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稳中向好</w:t>
            </w:r>
          </w:p>
        </w:tc>
        <w:tc>
          <w:tcPr>
            <w:tcW w:w="1216" w:type="dxa"/>
            <w:vAlign w:val="center"/>
          </w:tcPr>
          <w:p w14:paraId="1C89BE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eastAsia="zh-CN"/>
              </w:rPr>
              <w:t>预期性</w:t>
            </w:r>
          </w:p>
        </w:tc>
      </w:tr>
      <w:tr w14:paraId="07E0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1" w:type="dxa"/>
            <w:vMerge w:val="continue"/>
            <w:shd w:val="clear" w:color="auto" w:fill="auto"/>
            <w:vAlign w:val="center"/>
          </w:tcPr>
          <w:p w14:paraId="1B497F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eastAsia="zh-CN"/>
              </w:rPr>
            </w:pPr>
          </w:p>
        </w:tc>
        <w:tc>
          <w:tcPr>
            <w:tcW w:w="750" w:type="dxa"/>
            <w:shd w:val="clear" w:color="auto" w:fill="auto"/>
            <w:vAlign w:val="center"/>
          </w:tcPr>
          <w:p w14:paraId="6B5227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14</w:t>
            </w:r>
          </w:p>
        </w:tc>
        <w:tc>
          <w:tcPr>
            <w:tcW w:w="4037" w:type="dxa"/>
            <w:shd w:val="clear" w:color="auto" w:fill="auto"/>
            <w:vAlign w:val="center"/>
          </w:tcPr>
          <w:p w14:paraId="548B6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生态保护红线占国土面积比例（%）</w:t>
            </w:r>
          </w:p>
        </w:tc>
        <w:tc>
          <w:tcPr>
            <w:tcW w:w="1588" w:type="dxa"/>
            <w:vAlign w:val="center"/>
          </w:tcPr>
          <w:p w14:paraId="3D0D77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val="en-US" w:eastAsia="zh-CN"/>
              </w:rPr>
              <w:t>0.034</w:t>
            </w:r>
          </w:p>
        </w:tc>
        <w:tc>
          <w:tcPr>
            <w:tcW w:w="1500" w:type="dxa"/>
            <w:vAlign w:val="center"/>
          </w:tcPr>
          <w:p w14:paraId="22868A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color w:val="auto"/>
                <w:kern w:val="0"/>
                <w:sz w:val="24"/>
                <w:szCs w:val="24"/>
                <w:lang w:eastAsia="zh-CN"/>
              </w:rPr>
              <w:t>面积不减少</w:t>
            </w:r>
          </w:p>
        </w:tc>
        <w:tc>
          <w:tcPr>
            <w:tcW w:w="1216" w:type="dxa"/>
            <w:vAlign w:val="center"/>
          </w:tcPr>
          <w:p w14:paraId="178BB1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4"/>
                <w:szCs w:val="24"/>
                <w:lang w:eastAsia="zh-CN"/>
              </w:rPr>
            </w:pPr>
            <w:r>
              <w:rPr>
                <w:rFonts w:hint="default" w:ascii="Times New Roman" w:hAnsi="Times New Roman" w:cs="Times New Roman"/>
                <w:b w:val="0"/>
                <w:bCs w:val="0"/>
                <w:color w:val="auto"/>
                <w:kern w:val="0"/>
                <w:sz w:val="24"/>
                <w:szCs w:val="24"/>
                <w:lang w:eastAsia="zh-CN"/>
              </w:rPr>
              <w:t>约束性</w:t>
            </w:r>
          </w:p>
        </w:tc>
      </w:tr>
    </w:tbl>
    <w:p w14:paraId="1AC1FA47">
      <w:pPr>
        <w:rPr>
          <w:rFonts w:hint="default" w:ascii="Times New Roman" w:hAnsi="Times New Roman" w:cs="Times New Roman"/>
          <w:color w:val="auto"/>
        </w:rPr>
      </w:pPr>
      <w:r>
        <w:rPr>
          <w:rFonts w:hint="default" w:ascii="Times New Roman" w:hAnsi="Times New Roman" w:cs="Times New Roman"/>
          <w:color w:val="auto"/>
          <w:sz w:val="28"/>
          <w:szCs w:val="28"/>
        </w:rPr>
        <w:br w:type="page"/>
      </w:r>
    </w:p>
    <w:p w14:paraId="02FDFA11">
      <w:pPr>
        <w:pStyle w:val="3"/>
        <w:numPr>
          <w:ilvl w:val="0"/>
          <w:numId w:val="1"/>
        </w:numPr>
        <w:bidi w:val="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 xml:space="preserve"> </w:t>
      </w:r>
      <w:bookmarkStart w:id="19" w:name="_Toc27214"/>
      <w:r>
        <w:rPr>
          <w:rFonts w:hint="default" w:ascii="Times New Roman" w:hAnsi="Times New Roman" w:cs="Times New Roman"/>
          <w:color w:val="auto"/>
          <w:lang w:eastAsia="zh-CN"/>
        </w:rPr>
        <w:t>坚持生态优先，加快生态文明建设示范县建设</w:t>
      </w:r>
      <w:bookmarkEnd w:id="19"/>
    </w:p>
    <w:p w14:paraId="5B9EB1ED">
      <w:pPr>
        <w:numPr>
          <w:ilvl w:val="0"/>
          <w:numId w:val="0"/>
        </w:numPr>
        <w:ind w:firstLine="60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坚持绿水青山就是金山银山的理念，以创建生态文明建设示范县为抓手，全力加快生态文明建设，推进生态惠民、生态利民、生态为民，加快产业结构调整和绿色转型，提高能源资源利用效率，推动社会经济高质量发展，力争将蓬溪建设成为践行习近平生态文明思想的示范城市。</w:t>
      </w:r>
    </w:p>
    <w:p w14:paraId="03234D35">
      <w:pPr>
        <w:pStyle w:val="4"/>
        <w:bidi w:val="0"/>
        <w:jc w:val="center"/>
        <w:rPr>
          <w:rFonts w:hint="default" w:ascii="Times New Roman" w:hAnsi="Times New Roman" w:cs="Times New Roman"/>
          <w:color w:val="auto"/>
          <w:lang w:eastAsia="zh-CN"/>
        </w:rPr>
      </w:pPr>
      <w:bookmarkStart w:id="20" w:name="_Toc23478"/>
      <w:r>
        <w:rPr>
          <w:rFonts w:hint="default" w:ascii="Times New Roman" w:hAnsi="Times New Roman" w:cs="Times New Roman"/>
          <w:color w:val="auto"/>
          <w:lang w:eastAsia="zh-CN"/>
        </w:rPr>
        <w:t>第一节</w:t>
      </w:r>
      <w:r>
        <w:rPr>
          <w:rFonts w:hint="default" w:ascii="Times New Roman" w:hAnsi="Times New Roman" w:cs="Times New Roman"/>
          <w:color w:val="auto"/>
          <w:lang w:val="en-US" w:eastAsia="zh-CN"/>
        </w:rPr>
        <w:t xml:space="preserve"> 打造生态文明建设标杆</w:t>
      </w:r>
      <w:bookmarkEnd w:id="20"/>
    </w:p>
    <w:p w14:paraId="35939D66">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全力建设生态文明建设示范县。</w:t>
      </w:r>
      <w:r>
        <w:rPr>
          <w:rFonts w:hint="default" w:ascii="Times New Roman" w:hAnsi="Times New Roman" w:cs="Times New Roman"/>
          <w:b w:val="0"/>
          <w:bCs w:val="0"/>
          <w:color w:val="auto"/>
          <w:lang w:eastAsia="zh-CN"/>
        </w:rPr>
        <w:t>成立由县委、县政府主要领导任组长的生态文明建设示范县创建工作领导小组，高质量编制生态文明建设示范县规划，细化分解目标任务和责任分工，做到责任到位、措施到位、投入到位，坚</w:t>
      </w:r>
      <w:r>
        <w:rPr>
          <w:rFonts w:hint="default" w:ascii="Times New Roman" w:hAnsi="Times New Roman" w:cs="Times New Roman"/>
          <w:color w:val="auto"/>
          <w:lang w:eastAsia="zh-CN"/>
        </w:rPr>
        <w:t>持以生态文明建设工程为主抓手，以生态制度为保障、生态环境为基础、生态空间为根本，生态经济为核心、生态生活为目标、生态文化为灵魂，定指标、找差距、补短板，统筹谋划好队伍建设、污染防治、风险防控等各项工作，以攻坚克难的勇气、勇攀高峰的毅力抓落实。鼓励创建生态乡镇、生态村、生态产业园区等生态细胞工程，力争用</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年时间成功创建生态文明建设示范县。</w:t>
      </w:r>
    </w:p>
    <w:p w14:paraId="723A467B">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建立并完善生态环境准入体系。</w:t>
      </w:r>
      <w:r>
        <w:rPr>
          <w:rFonts w:hint="default" w:ascii="Times New Roman" w:hAnsi="Times New Roman" w:cs="Times New Roman"/>
          <w:color w:val="auto"/>
          <w:lang w:eastAsia="zh-CN"/>
        </w:rPr>
        <w:t>严格划定并落实“三线一单”，落实主体功能区战略，细化“三线一单”分区管控要求，加强“三线一单”在环境准入、园区管理、环境执法等方面的应用。明确禁止和限制发展的行业、生产工艺和产业目录，严把产业准入关。严控“两高”行业产能，严格执行质量、环保、能耗、安全等法规标准。依法开展规划环境影响评价，依据有关生态环境保护标准、环境影响评价技术导则和技术规范，对县级相关部门组织编制的“十四五”及中长期土地利用规划和区域、流域的建设、开发利用规划，以及工业、农业、畜牧业、林业、能源、水利、交通、城市建设、旅游、自然资源开发的有关专项规划，进行环境影响评价，严格准入条件。</w:t>
      </w:r>
    </w:p>
    <w:p w14:paraId="3B06A409">
      <w:pPr>
        <w:pStyle w:val="4"/>
        <w:keepNext/>
        <w:keepLines/>
        <w:pageBreakBefore w:val="0"/>
        <w:widowControl w:val="0"/>
        <w:numPr>
          <w:ilvl w:val="0"/>
          <w:numId w:val="0"/>
        </w:numPr>
        <w:kinsoku/>
        <w:wordWrap/>
        <w:overflowPunct/>
        <w:topLinePunct w:val="0"/>
        <w:autoSpaceDE/>
        <w:autoSpaceDN/>
        <w:bidi w:val="0"/>
        <w:adjustRightInd w:val="0"/>
        <w:snapToGrid w:val="0"/>
        <w:spacing w:line="416" w:lineRule="auto"/>
        <w:ind w:firstLine="0" w:firstLineChars="0"/>
        <w:jc w:val="center"/>
        <w:textAlignment w:val="auto"/>
        <w:rPr>
          <w:rFonts w:hint="default" w:ascii="Times New Roman" w:hAnsi="Times New Roman" w:cs="Times New Roman"/>
          <w:color w:val="auto"/>
          <w:lang w:val="en-US" w:eastAsia="zh-CN"/>
        </w:rPr>
      </w:pPr>
      <w:bookmarkStart w:id="21" w:name="_Toc11910"/>
      <w:r>
        <w:rPr>
          <w:rFonts w:hint="default" w:ascii="Times New Roman" w:hAnsi="Times New Roman" w:cs="Times New Roman"/>
          <w:color w:val="auto"/>
          <w:lang w:val="en-US" w:eastAsia="zh-CN"/>
        </w:rPr>
        <w:t>第二节 提高能源资源利用效率</w:t>
      </w:r>
      <w:bookmarkEnd w:id="21"/>
    </w:p>
    <w:p w14:paraId="1111C919">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建设低碳高效能源体系。</w:t>
      </w:r>
      <w:r>
        <w:rPr>
          <w:rFonts w:hint="default" w:ascii="Times New Roman" w:hAnsi="Times New Roman" w:cs="Times New Roman"/>
          <w:color w:val="auto"/>
          <w:lang w:val="en-US" w:eastAsia="zh-CN"/>
        </w:rPr>
        <w:t>实行能源总量和强度双控制度，开展重点用能单位能源审计、能源在线监控、能源管理中心和能源管理体系标准化建设。推进清洁能源替代降碳。大力推广电能替代，在工业生产、交通运输、农业生产、商业消费等领域推广实施“以电代煤”、“以电代油”、“以电代柴”。发展清洁能源，构建多能互补的能源供给体系，</w:t>
      </w:r>
      <w:r>
        <w:rPr>
          <w:rFonts w:hint="default" w:ascii="Times New Roman" w:hAnsi="Times New Roman" w:cs="Times New Roman"/>
          <w:color w:val="auto"/>
        </w:rPr>
        <w:t>加大新能源和清洁能源车辆在城市公交、出租汽车、城市配送、邮政快递、机场、铁路货场等领域应用</w:t>
      </w:r>
      <w:r>
        <w:rPr>
          <w:rFonts w:hint="default" w:ascii="Times New Roman" w:hAnsi="Times New Roman" w:cs="Times New Roman"/>
          <w:color w:val="auto"/>
          <w:lang w:val="en-US" w:eastAsia="zh-CN"/>
        </w:rPr>
        <w:t>。合理开发利用水电资源，完成高桥水电站、尖尖堰水电站、红江电站、碧山庙电站、高洞庙电站农村水电站清理整治。因地制宜推广生物质能源。实施绿色生产，化解和防范煤炭煤电产能过剩，补齐基础短板，强化互驱共进，加快产业结构优化调整，实施能源“双控”，开创节约高效能源消费新局面。</w:t>
      </w:r>
    </w:p>
    <w:p w14:paraId="22189F70">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全面实施最严格的水资源管理制度。</w:t>
      </w:r>
      <w:r>
        <w:rPr>
          <w:rFonts w:hint="default" w:ascii="Times New Roman" w:hAnsi="Times New Roman" w:cs="Times New Roman"/>
          <w:color w:val="auto"/>
          <w:lang w:val="en-US" w:eastAsia="zh-CN"/>
        </w:rPr>
        <w:t>统筹涪江流域（蓬溪段）水资源合理配置、统一调度和高效利用，实施取用水总量控制和消耗强度控制管理制度，全县用水总量控制在1.73亿m³内。加强水资源节约循环利用，健全蓬溪县取用水总量控制指标体系，合理审批建设项目新增取水许可。持续推动重大水利工程，建设高标准农田，重点推进四川省蓬溪船山灌区工程、蓬溪船山灌区续建配套与现代化改造、蓬船灌区引水入城、任隆镇农田水利基础设施建设项目、三五水库配套渠系项目、鸣凤镇高标准农田建设、荷叶乡标良田建设项目、蓬溪县中型灌区续建配套与现代化改造工程等。严格落实“以水定城”“以水定产”的水资源管理制度，全面推广高效节水技术和产品，发展节水农牧业，加强城市节水，推进企业节水改造。积极开发利用再生水、矿井水等非常规水源，提高工业用水重复利用率和循环使用率，发展清洁型、循环型节水产业集群。</w:t>
      </w:r>
    </w:p>
    <w:p w14:paraId="29A61FBA">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加强土地资源节约集约利用。</w:t>
      </w:r>
      <w:r>
        <w:rPr>
          <w:rFonts w:hint="default" w:ascii="Times New Roman" w:hAnsi="Times New Roman" w:cs="Times New Roman"/>
          <w:color w:val="auto"/>
          <w:lang w:val="en-US" w:eastAsia="zh-CN"/>
        </w:rPr>
        <w:t>按照严控增量、盘活存量、优化结构、提高效率的原则，加强土地利用的规划管控、市场调节、标准控制和考核监督，严格土地用途管制，提高土地利用效率。贯彻落实《国务院关于严格规范城乡建设用地增减挂钩试点切实做好农村土地整治工作的通知》（国发〔2010〕47号）精神，完善城乡建设用地增减挂钩制度政策，正确引导、严格规范增减挂钩试点工作，统筹促进城乡发展和新农村建设，按照“占一补一”“先补后占”“占优补优”和“占水田补水田”原则，规范耕地占补平衡，强化对城乡各类建设占用耕地的控制和引导；开展农用地综合整治整理，统筹推进“旱改水”、宜林地和园地整治、污染土壤修复等，集中连片改良提升农田，增加耕地数量，提高耕地质量，改善农田生态，重点推进任隆镇土地增减挂钩、蓬南镇土地双挂钩、蓬溪文井城乡建设用地增减挂钩、蓬溪普安街道城乡建设用地增减挂钩、土地整理、农用地综合整治等项目。</w:t>
      </w:r>
    </w:p>
    <w:p w14:paraId="741E0F5F">
      <w:pPr>
        <w:pStyle w:val="4"/>
        <w:keepNext/>
        <w:keepLines/>
        <w:pageBreakBefore w:val="0"/>
        <w:widowControl w:val="0"/>
        <w:numPr>
          <w:ilvl w:val="0"/>
          <w:numId w:val="0"/>
        </w:numPr>
        <w:kinsoku/>
        <w:wordWrap/>
        <w:overflowPunct/>
        <w:topLinePunct w:val="0"/>
        <w:autoSpaceDE/>
        <w:autoSpaceDN/>
        <w:bidi w:val="0"/>
        <w:adjustRightInd w:val="0"/>
        <w:snapToGrid w:val="0"/>
        <w:spacing w:line="416" w:lineRule="auto"/>
        <w:ind w:leftChars="200"/>
        <w:jc w:val="center"/>
        <w:textAlignment w:val="auto"/>
        <w:rPr>
          <w:rFonts w:hint="default" w:ascii="Times New Roman" w:hAnsi="Times New Roman" w:cs="Times New Roman"/>
          <w:color w:val="auto"/>
          <w:lang w:val="en-US" w:eastAsia="zh-CN"/>
        </w:rPr>
      </w:pPr>
      <w:bookmarkStart w:id="22" w:name="_Toc24872"/>
      <w:r>
        <w:rPr>
          <w:rFonts w:hint="default" w:ascii="Times New Roman" w:hAnsi="Times New Roman" w:cs="Times New Roman"/>
          <w:color w:val="auto"/>
          <w:lang w:val="en-US" w:eastAsia="zh-CN"/>
        </w:rPr>
        <w:t>第三节 加速推进产业绿色升级</w:t>
      </w:r>
      <w:bookmarkEnd w:id="22"/>
    </w:p>
    <w:p w14:paraId="69AED54F">
      <w:pPr>
        <w:keepNext w:val="0"/>
        <w:keepLines w:val="0"/>
        <w:widowControl/>
        <w:suppressLineNumbers w:val="0"/>
        <w:jc w:val="both"/>
        <w:rPr>
          <w:rFonts w:hint="default" w:ascii="Times New Roman" w:hAnsi="Times New Roman" w:cs="Times New Roman"/>
          <w:color w:val="auto"/>
          <w:lang w:val="en-US" w:eastAsia="zh-CN"/>
        </w:rPr>
      </w:pPr>
      <w:r>
        <w:rPr>
          <w:rFonts w:hint="default" w:ascii="Times New Roman" w:hAnsi="Times New Roman" w:cs="Times New Roman"/>
          <w:b/>
          <w:bCs/>
          <w:color w:val="auto"/>
          <w:lang w:eastAsia="zh-CN"/>
        </w:rPr>
        <w:t>构建“一核一极两带三中心多点”</w:t>
      </w:r>
      <w:r>
        <w:rPr>
          <w:rFonts w:hint="default" w:ascii="Times New Roman" w:hAnsi="Times New Roman" w:cs="Times New Roman"/>
          <w:b/>
          <w:bCs/>
          <w:color w:val="auto"/>
          <w:lang w:val="en-US" w:eastAsia="zh-CN"/>
        </w:rPr>
        <w:t>绿色工业体系。</w:t>
      </w:r>
      <w:r>
        <w:rPr>
          <w:rFonts w:hint="default" w:ascii="Times New Roman" w:hAnsi="Times New Roman" w:cs="Times New Roman"/>
          <w:color w:val="auto"/>
          <w:lang w:eastAsia="zh-CN"/>
        </w:rPr>
        <w:t>紧扣蓬溪新型工业县转型升级，加快经开区上游片区拓园扩区，突出产城一体，实现工业与现代服务业良性互动，建设新型工业化产业示范基地。</w:t>
      </w:r>
      <w:r>
        <w:rPr>
          <w:rFonts w:hint="default" w:ascii="Times New Roman" w:hAnsi="Times New Roman" w:cs="Times New Roman"/>
          <w:color w:val="auto"/>
          <w:lang w:val="en-US" w:eastAsia="zh-CN"/>
        </w:rPr>
        <w:t>鼓励企业按照“节能、降耗、减排、增效”的方针，不断改进设计、使用清洁的能源和原料、采用先进的工艺技术，全面提高蓬溪经开区清洁生产水平，调整产品结构，提升产品附加值，加强能源梯级利用、水资源循环利用、废弃资源综合利用。对重点污染企业、超量和超标准排放企业、使用或排放有毒有害物质企业、单位</w:t>
      </w:r>
      <w:r>
        <w:rPr>
          <w:rFonts w:hint="default" w:ascii="Times New Roman" w:hAnsi="Times New Roman" w:eastAsia="仿宋_GB2312" w:cs="Times New Roman"/>
          <w:color w:val="auto"/>
          <w:lang w:val="en-US" w:eastAsia="zh-CN"/>
        </w:rPr>
        <w:t>产品能耗超限额企业，实施强制性清洁生产审核和持续清洁生产审核。实施园区循环化改造，鼓励经开区上游片区的智能家居及线缆线束产业实施以节能减排和清洁生产为</w:t>
      </w:r>
      <w:r>
        <w:rPr>
          <w:rFonts w:hint="default" w:ascii="Times New Roman" w:hAnsi="Times New Roman" w:cs="Times New Roman"/>
          <w:color w:val="auto"/>
          <w:lang w:val="en-US" w:eastAsia="zh-CN"/>
        </w:rPr>
        <w:t>主的企业内部的循环改造；经开区金桥片区的绿色食品饮料、锂电及新材料等产业链延伸为主的园区层面中循环以及以废弃物处置和循环利用为主的大循环；实施循环化改造重点项目建设，构建以能源梯度利用和工业废弃物综合利用的产业链。深入推动电子、纺织、建材、机械等传统产业绿色转型升级，为建设新型工业化产业示范基地提供有力支撑。</w:t>
      </w:r>
    </w:p>
    <w:p w14:paraId="28E662CD">
      <w:pPr>
        <w:pStyle w:val="10"/>
        <w:ind w:left="0" w:leftChars="0" w:firstLine="602" w:firstLineChars="20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推进“1+1+2+3+N”现代生态农业建设。</w:t>
      </w:r>
      <w:r>
        <w:rPr>
          <w:rFonts w:hint="default" w:ascii="Times New Roman" w:hAnsi="Times New Roman" w:cs="Times New Roman"/>
          <w:color w:val="auto"/>
          <w:lang w:val="en-US" w:eastAsia="zh-CN"/>
        </w:rPr>
        <w:t>坚持以农业供给侧结构性改革为主线，以建基地、创品牌、深加工、兴旅游为抓手，大力发展优质菌菜、精品水果、健康水产、高效林产、道地中药材等五大绿色安全产业，发展休闲农业、体验农业和乡村旅游，加快构建现代农业产业体系。重点推进墨砚湖生态湿地农旅融合产业园、任隆仙桃产业特色中心镇、天福现代农业园区特色中心镇、文井生态康养特色中心镇、蓬溪食用菌产业园二三期建设、蓬溪拱市花海建设、蓬溪现代农业园区提档升级工程、蓬溪现代农业示范区基础设施建设项目、蓬溪生态产业园建设。实施种养结合、资源循环利用的产业发展模式，推进农业资源持续利用，重点发展绿色食品、有机农产品，并加强地理标志农产品认证和管理。实施农业绿色品牌提升行动，重点打造优质菌菜、吉星贡米、拱市大米、仙桃、矮晚柚、九叶青花椒、核桃、PIC猪肉制品等优势品牌，构建以农产品整体品牌为引领，区域公用品牌和企业产品品牌为主体的农产品品牌体系，争创四川省有机产品认证示范区和全国休闲农业与乡村旅游示范区。</w:t>
      </w:r>
    </w:p>
    <w:p w14:paraId="7CAB80B5">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提高服务业绿色发展水平。</w:t>
      </w:r>
      <w:r>
        <w:rPr>
          <w:rFonts w:hint="default" w:ascii="Times New Roman" w:hAnsi="Times New Roman" w:cs="Times New Roman"/>
          <w:color w:val="auto"/>
          <w:lang w:val="en-US" w:eastAsia="zh-CN"/>
        </w:rPr>
        <w:t>探索建立新型生态环境服务咨询体系，鼓励发展节能环保技术咨询、系统设计、设备制造、工程施工、运营管理等专业化节能环保企业。培育一批节能服务公司、环保服务公司、资源回收综合利用服务公司，打造“一站式”合同能源管理综合服务平台，推进互联网+节能模式，鼓励发展环保服务总承包和环境污染第三方治理。</w:t>
      </w:r>
      <w:r>
        <w:rPr>
          <w:rFonts w:hint="default" w:ascii="Times New Roman" w:hAnsi="Times New Roman" w:cs="Times New Roman"/>
          <w:b w:val="0"/>
          <w:bCs w:val="0"/>
          <w:color w:val="auto"/>
          <w:lang w:eastAsia="zh-CN"/>
        </w:rPr>
        <w:t>打造全域旅游格局，严格落实《蓬溪全域旅游三年行动计划》，围绕“国际化生态型全域文化休闲生活目的地”的总体定位，加快推进串珠成链，文旅、农旅、康旅齐头并进，</w:t>
      </w:r>
      <w:r>
        <w:rPr>
          <w:rFonts w:hint="default" w:ascii="Times New Roman" w:hAnsi="Times New Roman" w:cs="Times New Roman"/>
          <w:color w:val="auto"/>
          <w:lang w:val="en-US" w:eastAsia="zh-CN"/>
        </w:rPr>
        <w:t>做强生态休闲养生旅游业，以生态化标准规划建设继勋公园、蓬溪起义遗址、蓬南烈士陵园、白塔公园、红海景区、赤城湖、龙洞湾等景区，</w:t>
      </w:r>
      <w:r>
        <w:rPr>
          <w:rFonts w:hint="default" w:ascii="Times New Roman" w:hAnsi="Times New Roman" w:cs="Times New Roman"/>
          <w:color w:val="auto"/>
          <w:lang w:eastAsia="zh-CN"/>
        </w:rPr>
        <w:t>强化景区环境监测、环境管理、生态建设及灾害防治</w:t>
      </w:r>
      <w:r>
        <w:rPr>
          <w:rFonts w:hint="default" w:ascii="Times New Roman" w:hAnsi="Times New Roman" w:cs="Times New Roman"/>
          <w:color w:val="auto"/>
        </w:rPr>
        <w:t>，</w:t>
      </w:r>
      <w:r>
        <w:rPr>
          <w:rFonts w:hint="default" w:ascii="Times New Roman" w:hAnsi="Times New Roman" w:cs="Times New Roman"/>
          <w:color w:val="auto"/>
          <w:lang w:val="en-US" w:eastAsia="zh-CN"/>
        </w:rPr>
        <w:t>鼓励设施建设采用节能环保产品，使用节能环保交通工具出行。推动餐饮住宿业对照明、空调、锅炉、用水系统进行节能、节水改造改造。提升旅游业、“两街三市三圈”生态环境保护与管理水平，倡导绿色消费，减少使用一次性餐具和洗漱用品，鼓励酒店、宾馆开设绿色客房，争创省级全域旅游示范区。</w:t>
      </w:r>
    </w:p>
    <w:p w14:paraId="74E8776B">
      <w:pPr>
        <w:pStyle w:val="4"/>
        <w:numPr>
          <w:ilvl w:val="0"/>
          <w:numId w:val="0"/>
        </w:numPr>
        <w:bidi w:val="0"/>
        <w:jc w:val="center"/>
        <w:rPr>
          <w:rFonts w:hint="default" w:ascii="Times New Roman" w:hAnsi="Times New Roman" w:cs="Times New Roman"/>
          <w:color w:val="auto"/>
          <w:lang w:eastAsia="zh-CN"/>
        </w:rPr>
      </w:pPr>
      <w:bookmarkStart w:id="23" w:name="_Toc10113"/>
      <w:r>
        <w:rPr>
          <w:rFonts w:hint="default" w:ascii="Times New Roman" w:hAnsi="Times New Roman" w:cs="Times New Roman"/>
          <w:color w:val="auto"/>
          <w:lang w:eastAsia="zh-CN"/>
        </w:rPr>
        <w:t>第四节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积极探索“两山”转化路径</w:t>
      </w:r>
      <w:bookmarkEnd w:id="23"/>
    </w:p>
    <w:p w14:paraId="1FEFF238">
      <w:pPr>
        <w:numPr>
          <w:ilvl w:val="0"/>
          <w:numId w:val="0"/>
        </w:numPr>
        <w:ind w:firstLine="602" w:firstLineChars="20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建立健全生态产品价值实现机制。</w:t>
      </w:r>
      <w:r>
        <w:rPr>
          <w:rFonts w:hint="default" w:ascii="Times New Roman" w:hAnsi="Times New Roman" w:cs="Times New Roman"/>
          <w:color w:val="auto"/>
          <w:lang w:eastAsia="zh-CN"/>
        </w:rPr>
        <w:t>保护好自然生态系统，以“两山”理念引领高质量发展，建立健全生态产品价值实现机制，找准方向，创造条件，让绿水青山源源不断地带来金山银山，实现生产生活生态齐发展，走出一条“生态美、产业绿、百姓富”的可持续发展之路。以生态产业打开“两山”转化通道，促进农业向前、后两端延伸，向下深度拓展，实现生态产品价值增值提质，提高市场竞争力，丰富生态产品内涵，推动自然资本大幅增值，实现生态价值。依托良好的生态环境，整合农业、旅游、文化等资源，多措并举做大做强“生态</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”产业，把生态环境优势转化成经济发展优势，实现发展和保护协同共进的新路径。</w:t>
      </w:r>
    </w:p>
    <w:p w14:paraId="77013A5B">
      <w:pPr>
        <w:numPr>
          <w:ilvl w:val="0"/>
          <w:numId w:val="0"/>
        </w:numPr>
        <w:ind w:firstLine="602" w:firstLineChars="200"/>
        <w:rPr>
          <w:rFonts w:hint="default" w:ascii="Times New Roman" w:hAnsi="Times New Roman" w:cs="Times New Roman"/>
          <w:color w:val="auto"/>
          <w:lang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
          <w:bCs/>
          <w:color w:val="auto"/>
          <w:lang w:eastAsia="zh-CN"/>
        </w:rPr>
        <w:t>探索“两山”</w:t>
      </w:r>
      <w:r>
        <w:rPr>
          <w:rFonts w:hint="eastAsia" w:cs="Times New Roman"/>
          <w:b/>
          <w:bCs/>
          <w:color w:val="auto"/>
          <w:lang w:val="en-US" w:eastAsia="zh-CN"/>
        </w:rPr>
        <w:t>实践</w:t>
      </w:r>
      <w:bookmarkStart w:id="88" w:name="_GoBack"/>
      <w:bookmarkEnd w:id="88"/>
      <w:r>
        <w:rPr>
          <w:rFonts w:hint="default" w:ascii="Times New Roman" w:hAnsi="Times New Roman" w:cs="Times New Roman"/>
          <w:b/>
          <w:bCs/>
          <w:color w:val="auto"/>
          <w:lang w:eastAsia="zh-CN"/>
        </w:rPr>
        <w:t>创新基地建设。</w:t>
      </w:r>
      <w:r>
        <w:rPr>
          <w:rFonts w:hint="default" w:ascii="Times New Roman" w:hAnsi="Times New Roman" w:cs="Times New Roman"/>
          <w:color w:val="auto"/>
          <w:lang w:eastAsia="zh-CN"/>
        </w:rPr>
        <w:t>加强自然生态空间用途管控，守住绿水青山，打造两山文化品牌，推动绿色惠民富民，开展“绿水青山就是金山银山”实践创新基地建设、申报工作，并建立后续监督考核和长效管理机制，加强“两山”建设成果总结和示范推广，形成特色转化模式，让保护修复生态环境获得合理回报，让破坏生态环境付出相应代价，引导探索可持续发展道路，积极推进国家生态文明创建相关工作。</w:t>
      </w:r>
    </w:p>
    <w:p w14:paraId="5A5518EC">
      <w:pPr>
        <w:pStyle w:val="3"/>
        <w:numPr>
          <w:ilvl w:val="0"/>
          <w:numId w:val="0"/>
        </w:numPr>
        <w:bidi w:val="0"/>
        <w:jc w:val="center"/>
        <w:rPr>
          <w:rFonts w:hint="default" w:ascii="Times New Roman" w:hAnsi="Times New Roman" w:cs="Times New Roman"/>
          <w:color w:val="auto"/>
        </w:rPr>
      </w:pPr>
      <w:bookmarkStart w:id="24" w:name="_Toc23407"/>
      <w:r>
        <w:rPr>
          <w:rFonts w:hint="default" w:ascii="Times New Roman" w:hAnsi="Times New Roman" w:cs="Times New Roman"/>
          <w:color w:val="auto"/>
          <w:lang w:eastAsia="zh-CN"/>
        </w:rPr>
        <w:t>第四章</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严格空间管控</w:t>
      </w:r>
      <w:r>
        <w:rPr>
          <w:rFonts w:hint="default" w:ascii="Times New Roman" w:hAnsi="Times New Roman" w:cs="Times New Roman"/>
          <w:color w:val="auto"/>
        </w:rPr>
        <w:t>，筑牢生态</w:t>
      </w:r>
      <w:r>
        <w:rPr>
          <w:rFonts w:hint="default" w:ascii="Times New Roman" w:hAnsi="Times New Roman" w:cs="Times New Roman"/>
          <w:color w:val="auto"/>
          <w:lang w:eastAsia="zh-CN"/>
        </w:rPr>
        <w:t>环境</w:t>
      </w:r>
      <w:r>
        <w:rPr>
          <w:rFonts w:hint="default" w:ascii="Times New Roman" w:hAnsi="Times New Roman" w:cs="Times New Roman"/>
          <w:color w:val="auto"/>
        </w:rPr>
        <w:t>安全</w:t>
      </w:r>
      <w:r>
        <w:rPr>
          <w:rFonts w:hint="default" w:ascii="Times New Roman" w:hAnsi="Times New Roman" w:cs="Times New Roman"/>
          <w:color w:val="auto"/>
          <w:lang w:eastAsia="zh-CN"/>
        </w:rPr>
        <w:t>屏障</w:t>
      </w:r>
      <w:bookmarkEnd w:id="24"/>
    </w:p>
    <w:p w14:paraId="46F432A2">
      <w:pPr>
        <w:pStyle w:val="4"/>
        <w:keepNext/>
        <w:keepLines/>
        <w:pageBreakBefore w:val="0"/>
        <w:widowControl w:val="0"/>
        <w:kinsoku/>
        <w:wordWrap/>
        <w:overflowPunct/>
        <w:topLinePunct w:val="0"/>
        <w:autoSpaceDE/>
        <w:autoSpaceDN/>
        <w:bidi w:val="0"/>
        <w:adjustRightInd w:val="0"/>
        <w:snapToGrid w:val="0"/>
        <w:spacing w:line="416" w:lineRule="auto"/>
        <w:ind w:firstLine="0" w:firstLineChars="0"/>
        <w:jc w:val="center"/>
        <w:textAlignment w:val="auto"/>
        <w:rPr>
          <w:rFonts w:hint="default" w:ascii="Times New Roman" w:hAnsi="Times New Roman" w:cs="Times New Roman"/>
          <w:color w:val="auto"/>
          <w:lang w:eastAsia="zh-CN"/>
        </w:rPr>
      </w:pPr>
      <w:bookmarkStart w:id="25" w:name="_Toc1445"/>
      <w:r>
        <w:rPr>
          <w:rFonts w:hint="default" w:ascii="Times New Roman" w:hAnsi="Times New Roman" w:cs="Times New Roman"/>
          <w:color w:val="auto"/>
          <w:lang w:eastAsia="zh-CN"/>
        </w:rPr>
        <w:t>第一节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构筑生态安全空间格局</w:t>
      </w:r>
      <w:bookmarkEnd w:id="25"/>
    </w:p>
    <w:p w14:paraId="4DB67B85">
      <w:pPr>
        <w:widowControl/>
        <w:ind w:firstLine="562"/>
        <w:jc w:val="left"/>
        <w:rPr>
          <w:rFonts w:hint="default" w:ascii="Times New Roman" w:hAnsi="Times New Roman" w:cs="Times New Roman"/>
          <w:b/>
          <w:bCs/>
          <w:color w:val="auto"/>
          <w:lang w:eastAsia="zh-CN"/>
        </w:rPr>
      </w:pPr>
      <w:r>
        <w:rPr>
          <w:rFonts w:hint="default" w:ascii="Times New Roman" w:hAnsi="Times New Roman" w:cs="Times New Roman"/>
          <w:b/>
          <w:bCs/>
          <w:color w:val="auto"/>
        </w:rPr>
        <w:t>严守生态保护红线。</w:t>
      </w:r>
      <w:r>
        <w:rPr>
          <w:rFonts w:hint="default" w:ascii="Times New Roman" w:hAnsi="Times New Roman" w:cs="Times New Roman"/>
          <w:b w:val="0"/>
          <w:bCs w:val="0"/>
          <w:color w:val="auto"/>
          <w:lang w:eastAsia="zh-CN"/>
        </w:rPr>
        <w:t>严格按照《生态保护红线管理办法（试行）》要求，</w:t>
      </w:r>
      <w:r>
        <w:rPr>
          <w:rFonts w:hint="default" w:ascii="Times New Roman" w:hAnsi="Times New Roman" w:cs="Times New Roman"/>
          <w:color w:val="auto"/>
        </w:rPr>
        <w:t>开展生态保护红线区基础调查，实施勘界定标，设立统一规范的界碑界桩和标识标牌。在生态保护红线区域内，自然保护地核心保护区原则上禁止人为活动，其他区域严格禁止开发性、生产性建设活动，严禁任意改变用途，确保生态功能不降低、面积不减少、性质不改变。</w:t>
      </w:r>
    </w:p>
    <w:p w14:paraId="26CC251A">
      <w:pPr>
        <w:pStyle w:val="1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构建“一带、两廊、两片、多斑”的生态安全格局。</w:t>
      </w:r>
      <w:r>
        <w:rPr>
          <w:rFonts w:hint="default" w:ascii="Times New Roman" w:hAnsi="Times New Roman" w:cs="Times New Roman"/>
          <w:color w:val="auto"/>
          <w:lang w:eastAsia="zh-CN"/>
        </w:rPr>
        <w:t>“一带”指涪江生态带，开展流域合作，与船山区、射洪市、大英县及上游区县共保涪江生态安全，治理沿江平坝区域，削减污染物入河量。“两廊”指芝溪河生态廊道、荷叶溪生态廊道，重点治理芝溪河流域污染，削减城镇污染排放，治理农业面源污染，提升水质；重点治理荷叶溪流域水土流失，采用石坎坡改梯、土坎坡改梯、水保林、封禁治理、保土耕作等方式综合施治。两片指高峰山片区、荷叶溪片区，重点涵养水源、开展水土流失治理，修复片区生态环境。“多斑”指白鹤林水库、黑龙凼水库、高峰山风景名胜区等水体、山体生态斑块，严格按照相关法律法规保持水源地水质，保护优质山体。</w:t>
      </w:r>
    </w:p>
    <w:p w14:paraId="789611DC">
      <w:pPr>
        <w:jc w:val="both"/>
        <w:rPr>
          <w:rFonts w:hint="default" w:ascii="Times New Roman" w:hAnsi="Times New Roman" w:cs="Times New Roman"/>
          <w:b w:val="0"/>
          <w:bCs w:val="0"/>
          <w:color w:val="auto"/>
          <w:lang w:eastAsia="zh-CN"/>
        </w:rPr>
      </w:pPr>
      <w:r>
        <w:rPr>
          <w:rFonts w:hint="default" w:ascii="Times New Roman" w:hAnsi="Times New Roman" w:cs="Times New Roman"/>
          <w:b/>
          <w:bCs/>
          <w:color w:val="auto"/>
          <w:lang w:eastAsia="zh-CN"/>
        </w:rPr>
        <w:t>强化生态空间管控。</w:t>
      </w:r>
      <w:r>
        <w:rPr>
          <w:rFonts w:hint="default" w:ascii="Times New Roman" w:hAnsi="Times New Roman" w:cs="Times New Roman"/>
          <w:b w:val="0"/>
          <w:bCs w:val="0"/>
          <w:color w:val="auto"/>
          <w:lang w:eastAsia="zh-CN"/>
        </w:rPr>
        <w:t>严格按照《蓬溪县国土空间总体规划》（2019-2035年）要求，实施生态空间分类管控，严格落实“三线一单”空间管控要求，实施生态保护红线和一般生态空间的分区管控机制，强化重点生态功能区管控，确保生态红线、自然保护地面积不减少、性质不改变，功能不降低。重点强化赤城湖、黑龙凼水源地保护区生态保护极重要区和高峰山片区、荷叶溪流域生态保护重要区的管控。到</w:t>
      </w:r>
      <w:r>
        <w:rPr>
          <w:rFonts w:hint="default" w:ascii="Times New Roman" w:hAnsi="Times New Roman" w:cs="Times New Roman"/>
          <w:b w:val="0"/>
          <w:bCs w:val="0"/>
          <w:color w:val="auto"/>
          <w:lang w:val="en-US" w:eastAsia="zh-CN"/>
        </w:rPr>
        <w:t>2025年，</w:t>
      </w:r>
      <w:r>
        <w:rPr>
          <w:rFonts w:hint="default" w:ascii="Times New Roman" w:hAnsi="Times New Roman" w:cs="Times New Roman"/>
          <w:b w:val="0"/>
          <w:bCs w:val="0"/>
          <w:color w:val="auto"/>
          <w:lang w:eastAsia="zh-CN"/>
        </w:rPr>
        <w:t>落实较为完善的生态环境分区管控体系和数据应用系统。</w:t>
      </w:r>
    </w:p>
    <w:p w14:paraId="7B8C0945">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推动产业空间布局优化。</w:t>
      </w:r>
      <w:r>
        <w:rPr>
          <w:rFonts w:hint="default" w:ascii="Times New Roman" w:hAnsi="Times New Roman" w:cs="Times New Roman"/>
          <w:color w:val="auto"/>
          <w:lang w:eastAsia="zh-CN"/>
        </w:rPr>
        <w:t>强化生态环境保护引导和调控作用，引导构建与生态环境相适应的产业空间布局。合理规划布局重点产业，将资源环境承载力、环境风险接受度等作为各产业规划布局的约束性条件，积极引导产业绿色低碳循环发展，支持现有高耗水产业向水资源丰富、水环境容量允许、基础设施完善的地区转移布局。支持符合环保、能效等标准要求的高载能行业向清洁能源优势地区集中。严禁在城市建成区以及近郊区域，新建、扩建石化、农药、冶炼、化工等列入高污染、高排放的产业。</w:t>
      </w:r>
    </w:p>
    <w:p w14:paraId="07E6CB61">
      <w:pPr>
        <w:pStyle w:val="4"/>
        <w:keepNext/>
        <w:keepLines/>
        <w:pageBreakBefore w:val="0"/>
        <w:widowControl w:val="0"/>
        <w:numPr>
          <w:ilvl w:val="0"/>
          <w:numId w:val="0"/>
        </w:numPr>
        <w:kinsoku/>
        <w:wordWrap/>
        <w:overflowPunct/>
        <w:topLinePunct w:val="0"/>
        <w:autoSpaceDE/>
        <w:autoSpaceDN/>
        <w:bidi w:val="0"/>
        <w:adjustRightInd w:val="0"/>
        <w:snapToGrid w:val="0"/>
        <w:spacing w:line="416" w:lineRule="auto"/>
        <w:jc w:val="center"/>
        <w:textAlignment w:val="auto"/>
        <w:rPr>
          <w:rFonts w:hint="default" w:ascii="Times New Roman" w:hAnsi="Times New Roman" w:cs="Times New Roman"/>
          <w:color w:val="auto"/>
          <w:lang w:eastAsia="zh-CN"/>
        </w:rPr>
      </w:pPr>
      <w:bookmarkStart w:id="26" w:name="_Toc25645"/>
      <w:r>
        <w:rPr>
          <w:rFonts w:hint="default" w:ascii="Times New Roman" w:hAnsi="Times New Roman" w:cs="Times New Roman"/>
          <w:color w:val="auto"/>
          <w:lang w:eastAsia="zh-CN"/>
        </w:rPr>
        <w:t>第二节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统筹生态系统保护与修复</w:t>
      </w:r>
      <w:bookmarkEnd w:id="26"/>
    </w:p>
    <w:p w14:paraId="70302221">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坚持自然恢复为主，统筹山水林田湖草系统保护。</w:t>
      </w:r>
      <w:r>
        <w:rPr>
          <w:rFonts w:hint="default" w:ascii="Times New Roman" w:hAnsi="Times New Roman" w:cs="Times New Roman"/>
          <w:color w:val="auto"/>
          <w:lang w:eastAsia="zh-CN"/>
        </w:rPr>
        <w:t>按照《山水林田湖草生态保护修复工程指南（试行）》要求，健全生态保护修复制度，积极推进水源涵养林、湿地和道路廊道建设，提升区域生态系统服务功能，满足公园城市景观和生物迁徙的需求，构建山水林田湖草一体化生态保护修复新格局。</w:t>
      </w:r>
    </w:p>
    <w:p w14:paraId="15363F77">
      <w:pPr>
        <w:pStyle w:val="1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加强林草生态系统建设与保护。</w:t>
      </w:r>
      <w:r>
        <w:rPr>
          <w:rFonts w:hint="default" w:ascii="Times New Roman" w:hAnsi="Times New Roman" w:cs="Times New Roman"/>
          <w:color w:val="auto"/>
          <w:lang w:eastAsia="zh-CN"/>
        </w:rPr>
        <w:t>巩固绿化全川蓬溪行动成果，稳步推进新一轮国土绿化行动，深入推进重点工程造林、江河廊道造林、森林质量提升和保护修复工程，重点推进普安大道三期绿化、遂西高速出口连接线绿道、蓬溪绿道建设等项目，对芝溪河书画湿地长廊、杨家沟湿地公园、墨砚湖城市公园等重要景观节点实施多彩通道和重点景观提升打造。积极培育和推广桢楠、香樟、红豆杉等乡土珍稀树种，重点推进白鹤林水库等重要水源地、对高峰山片区、道路建设边坡区、荷叶溪上游等重点区域实施进一步退耕还林还草。围绕森林防火、有害生物防治和乱砍滥伐防治，开展林业“三防”工程，加强天然林管护能力建设和基础设施建设，积极推进“智慧林业”建设，开展实时在线监测、监控，实现基数数据矢量化，购置手持移动处理平台、移动数据采集器、数据处理平台等设施设备，推进县域林业资源数据聚集共享。重点推进蓬溪天然林资源保护项目，实施林业有害生物防治。</w:t>
      </w:r>
    </w:p>
    <w:p w14:paraId="524A7444">
      <w:pPr>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推进湿地资源保护。</w:t>
      </w:r>
      <w:r>
        <w:rPr>
          <w:rFonts w:hint="default" w:ascii="Times New Roman" w:hAnsi="Times New Roman" w:cs="Times New Roman"/>
          <w:b w:val="0"/>
          <w:bCs w:val="0"/>
          <w:color w:val="auto"/>
          <w:lang w:eastAsia="zh-CN"/>
        </w:rPr>
        <w:t>明确湿地管理范围，</w:t>
      </w:r>
      <w:r>
        <w:rPr>
          <w:rFonts w:hint="default" w:ascii="Times New Roman" w:hAnsi="Times New Roman" w:cs="Times New Roman"/>
          <w:color w:val="auto"/>
          <w:lang w:eastAsia="zh-CN"/>
        </w:rPr>
        <w:t>按照“山水林田湖草是一个生命共同体”的理念，统筹考虑湿地的水质、土壤、大气、生物多样性等自然生态各要素，进行整体保护和系统治理。严格落实《四川省湿地保护条例》、《四川省湿地保护修复制度实施方案》和《中华人民共和国长江保护法》，通过清淤疏浚、截污纳管、科学配水、生物治理等“四管齐下”，改善湿地的水环境，综合修复集中连片、功能退化的自然湿地，增强湿地生态服务功能，重点建设墨砚湖生态湿地、芝溪河流域湿地、茶店子生态湿地公园，严格管控湿地公园内的各种开发活动和旅游活动。强化湿地用途监管，全面排查违法违规挤占生态空间、破坏自然遗迹等行为。广泛开展湿地保护宣传，提升湿地保护意识。</w:t>
      </w:r>
    </w:p>
    <w:p w14:paraId="001BECF8">
      <w:pPr>
        <w:pStyle w:val="1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开展矿山生态修复与治理。</w:t>
      </w:r>
      <w:r>
        <w:rPr>
          <w:rFonts w:hint="default" w:ascii="Times New Roman" w:hAnsi="Times New Roman" w:cs="Times New Roman"/>
          <w:color w:val="auto"/>
          <w:lang w:eastAsia="zh-CN"/>
        </w:rPr>
        <w:t>采用差别化政策推进矿山环境治理，针对历史遗留的无主矿山，按照“谁治理，谁受益”的原则，由政府、企业、社会资本参与等多元化方式，开展矿山环境治理恢复工作，提升矿山地质环境，鼓励矿山企业创建绿色矿山，力争“三率”指标达标率达到90%，全面建成绿色矿山。严格执行矿山地质环境治理恢复基金制度，督促矿业权人依法履行矿山生态修复义务。到</w:t>
      </w:r>
      <w:r>
        <w:rPr>
          <w:rFonts w:hint="default" w:ascii="Times New Roman" w:hAnsi="Times New Roman" w:cs="Times New Roman"/>
          <w:color w:val="auto"/>
          <w:lang w:val="en-US" w:eastAsia="zh-CN"/>
        </w:rPr>
        <w:t>2025年，实现</w:t>
      </w:r>
      <w:r>
        <w:rPr>
          <w:rFonts w:hint="default" w:ascii="Times New Roman" w:hAnsi="Times New Roman" w:cs="Times New Roman"/>
          <w:color w:val="auto"/>
          <w:lang w:eastAsia="zh-CN"/>
        </w:rPr>
        <w:t>废弃矿山修复率100%，补充耕地率80%。</w:t>
      </w:r>
    </w:p>
    <w:p w14:paraId="7D60FF91">
      <w:pPr>
        <w:pStyle w:val="4"/>
        <w:keepNext/>
        <w:keepLines/>
        <w:pageBreakBefore w:val="0"/>
        <w:widowControl w:val="0"/>
        <w:numPr>
          <w:ilvl w:val="0"/>
          <w:numId w:val="0"/>
        </w:numPr>
        <w:kinsoku/>
        <w:wordWrap/>
        <w:overflowPunct/>
        <w:topLinePunct w:val="0"/>
        <w:autoSpaceDE/>
        <w:autoSpaceDN/>
        <w:bidi w:val="0"/>
        <w:adjustRightInd w:val="0"/>
        <w:snapToGrid w:val="0"/>
        <w:spacing w:line="416" w:lineRule="auto"/>
        <w:jc w:val="center"/>
        <w:textAlignment w:val="auto"/>
        <w:rPr>
          <w:rFonts w:hint="default" w:ascii="Times New Roman" w:hAnsi="Times New Roman" w:cs="Times New Roman"/>
          <w:color w:val="auto"/>
          <w:lang w:val="en-US" w:eastAsia="zh-CN"/>
        </w:rPr>
      </w:pPr>
      <w:bookmarkStart w:id="27" w:name="_Toc25481"/>
      <w:r>
        <w:rPr>
          <w:rFonts w:hint="default" w:ascii="Times New Roman" w:hAnsi="Times New Roman" w:cs="Times New Roman"/>
          <w:color w:val="auto"/>
          <w:lang w:val="en-US" w:eastAsia="zh-CN"/>
        </w:rPr>
        <w:t>第三节 加强生物多样性保护</w:t>
      </w:r>
      <w:bookmarkEnd w:id="27"/>
    </w:p>
    <w:p w14:paraId="06EEA245">
      <w:pPr>
        <w:bidi w:val="0"/>
        <w:rPr>
          <w:rFonts w:hint="default" w:ascii="Times New Roman" w:hAnsi="Times New Roman" w:cs="Times New Roman"/>
          <w:color w:val="auto"/>
        </w:rPr>
      </w:pPr>
      <w:r>
        <w:rPr>
          <w:rFonts w:hint="default" w:ascii="Times New Roman" w:hAnsi="Times New Roman" w:cs="Times New Roman"/>
          <w:b/>
          <w:bCs/>
          <w:color w:val="auto"/>
        </w:rPr>
        <w:t>全面加强野生动物植物保护。</w:t>
      </w:r>
      <w:r>
        <w:rPr>
          <w:rFonts w:hint="default" w:ascii="Times New Roman" w:hAnsi="Times New Roman" w:cs="Times New Roman"/>
          <w:color w:val="auto"/>
        </w:rPr>
        <w:t>严格落实《全国主体功能区规划》、《关于完善主体功能区战略和制度的若干意见》要求，实施主体功能区战略和制度，将生物多样性维护功能重要区域列入限制开发区域或禁止开发区。建立“三区三线”生物管控体系，保障重要生态空间和生物多样性丰富区的独立性和免干扰性。重点</w:t>
      </w:r>
      <w:r>
        <w:rPr>
          <w:rFonts w:hint="default" w:ascii="Times New Roman" w:hAnsi="Times New Roman" w:cs="Times New Roman"/>
          <w:color w:val="auto"/>
          <w:lang w:eastAsia="zh-CN"/>
        </w:rPr>
        <w:t>推进</w:t>
      </w:r>
      <w:r>
        <w:rPr>
          <w:rFonts w:hint="default" w:ascii="Times New Roman" w:hAnsi="Times New Roman" w:cs="Times New Roman"/>
          <w:color w:val="auto"/>
        </w:rPr>
        <w:t>高峰山—赤城湖、荷叶溪中上游生态涵养区</w:t>
      </w:r>
      <w:r>
        <w:rPr>
          <w:rFonts w:hint="default" w:ascii="Times New Roman" w:hAnsi="Times New Roman" w:cs="Times New Roman"/>
          <w:color w:val="auto"/>
          <w:lang w:eastAsia="zh-CN"/>
        </w:rPr>
        <w:t>、</w:t>
      </w:r>
      <w:r>
        <w:rPr>
          <w:rFonts w:hint="default" w:ascii="Times New Roman" w:hAnsi="Times New Roman" w:cs="Times New Roman"/>
          <w:color w:val="auto"/>
        </w:rPr>
        <w:t>黑龙凼、沙坝、三五水库等</w:t>
      </w:r>
      <w:r>
        <w:rPr>
          <w:rFonts w:hint="default" w:ascii="Times New Roman" w:hAnsi="Times New Roman" w:cs="Times New Roman"/>
          <w:color w:val="auto"/>
          <w:lang w:eastAsia="zh-CN"/>
        </w:rPr>
        <w:t>生物多样性保护，</w:t>
      </w:r>
      <w:r>
        <w:rPr>
          <w:rFonts w:hint="default" w:ascii="Times New Roman" w:hAnsi="Times New Roman" w:cs="Times New Roman"/>
          <w:color w:val="auto"/>
        </w:rPr>
        <w:t>建设并定期更新野生动植物与重要物种栖息地、原生境数据库，加大对野生动植物重要栖息地的保护力度，加强野生动植物保护监督。加强水生生物资源养护，推进以</w:t>
      </w:r>
      <w:r>
        <w:rPr>
          <w:rFonts w:hint="default" w:ascii="Times New Roman" w:hAnsi="Times New Roman" w:cs="Times New Roman"/>
          <w:color w:val="auto"/>
          <w:lang w:eastAsia="zh-CN"/>
        </w:rPr>
        <w:t>涪江</w:t>
      </w:r>
      <w:r>
        <w:rPr>
          <w:rFonts w:hint="default" w:ascii="Times New Roman" w:hAnsi="Times New Roman" w:cs="Times New Roman"/>
          <w:color w:val="auto"/>
        </w:rPr>
        <w:t>为重点的渔政执法能力建设，实施重点水域十年禁渔，推进水产种质资源保护区的划定和保护工作，做好退捕渔民安置保障工作。</w:t>
      </w:r>
    </w:p>
    <w:p w14:paraId="3D22148D">
      <w:pPr>
        <w:pStyle w:val="4"/>
        <w:keepNext/>
        <w:keepLines/>
        <w:pageBreakBefore w:val="0"/>
        <w:widowControl w:val="0"/>
        <w:kinsoku/>
        <w:wordWrap/>
        <w:overflowPunct/>
        <w:topLinePunct w:val="0"/>
        <w:autoSpaceDE/>
        <w:autoSpaceDN/>
        <w:bidi w:val="0"/>
        <w:adjustRightInd w:val="0"/>
        <w:snapToGrid w:val="0"/>
        <w:spacing w:line="416" w:lineRule="auto"/>
        <w:ind w:firstLine="0" w:firstLineChars="0"/>
        <w:jc w:val="center"/>
        <w:textAlignment w:val="auto"/>
        <w:rPr>
          <w:rFonts w:hint="default" w:ascii="Times New Roman" w:hAnsi="Times New Roman" w:cs="Times New Roman"/>
          <w:color w:val="auto"/>
          <w:lang w:eastAsia="zh-CN"/>
        </w:rPr>
      </w:pPr>
      <w:bookmarkStart w:id="28" w:name="_Toc15693"/>
      <w:r>
        <w:rPr>
          <w:rFonts w:hint="default" w:ascii="Times New Roman" w:hAnsi="Times New Roman" w:cs="Times New Roman"/>
          <w:color w:val="auto"/>
          <w:lang w:eastAsia="zh-CN"/>
        </w:rPr>
        <w:t>第四节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防治水土流失和地质灾害</w:t>
      </w:r>
      <w:bookmarkEnd w:id="28"/>
    </w:p>
    <w:p w14:paraId="0E29A206">
      <w:pPr>
        <w:ind w:firstLine="562"/>
        <w:rPr>
          <w:rFonts w:hint="default" w:ascii="Times New Roman" w:hAnsi="Times New Roman" w:eastAsia="仿宋" w:cs="Times New Roman"/>
          <w:color w:val="auto"/>
          <w:lang w:eastAsia="zh-CN"/>
        </w:rPr>
      </w:pPr>
      <w:r>
        <w:rPr>
          <w:rFonts w:hint="default" w:ascii="Times New Roman" w:hAnsi="Times New Roman" w:cs="Times New Roman"/>
          <w:b/>
          <w:bCs/>
          <w:color w:val="auto"/>
          <w:lang w:eastAsia="zh-CN"/>
        </w:rPr>
        <w:t>强化</w:t>
      </w:r>
      <w:r>
        <w:rPr>
          <w:rFonts w:hint="default" w:ascii="Times New Roman" w:hAnsi="Times New Roman" w:cs="Times New Roman"/>
          <w:b/>
          <w:bCs/>
          <w:color w:val="auto"/>
        </w:rPr>
        <w:t>水土流失治理。</w:t>
      </w:r>
      <w:r>
        <w:rPr>
          <w:rFonts w:hint="default" w:ascii="Times New Roman" w:hAnsi="Times New Roman" w:cs="Times New Roman"/>
          <w:b w:val="0"/>
          <w:bCs w:val="0"/>
          <w:color w:val="auto"/>
          <w:lang w:eastAsia="zh-CN"/>
        </w:rPr>
        <w:t>深入</w:t>
      </w:r>
      <w:r>
        <w:rPr>
          <w:rFonts w:hint="default" w:ascii="Times New Roman" w:hAnsi="Times New Roman" w:cs="Times New Roman"/>
          <w:color w:val="auto"/>
        </w:rPr>
        <w:t>开展大规模国土绿化行动，推行林长制，采取生物措施和工程措施相结合的方式，采用石坎坡改梯、土坎坡改梯、水保林、封禁治理、保土耕作等方式综合施治</w:t>
      </w:r>
      <w:r>
        <w:rPr>
          <w:rFonts w:hint="default" w:ascii="Times New Roman" w:hAnsi="Times New Roman" w:cs="Times New Roman"/>
          <w:color w:val="auto"/>
          <w:lang w:eastAsia="zh-CN"/>
        </w:rPr>
        <w:t>，重点推进荷叶溪流域、高峰山片区、荷叶溪片区</w:t>
      </w:r>
      <w:r>
        <w:rPr>
          <w:rFonts w:hint="default" w:ascii="Times New Roman" w:hAnsi="Times New Roman" w:cs="Times New Roman"/>
          <w:color w:val="auto"/>
        </w:rPr>
        <w:t>等</w:t>
      </w:r>
      <w:r>
        <w:rPr>
          <w:rFonts w:hint="default" w:ascii="Times New Roman" w:hAnsi="Times New Roman" w:cs="Times New Roman"/>
          <w:color w:val="auto"/>
          <w:lang w:eastAsia="zh-CN"/>
        </w:rPr>
        <w:t>区域</w:t>
      </w:r>
      <w:r>
        <w:rPr>
          <w:rFonts w:hint="default" w:ascii="Times New Roman" w:hAnsi="Times New Roman" w:cs="Times New Roman"/>
          <w:color w:val="auto"/>
        </w:rPr>
        <w:t>水土流失综合治理</w:t>
      </w:r>
      <w:r>
        <w:rPr>
          <w:rFonts w:hint="default" w:ascii="Times New Roman" w:hAnsi="Times New Roman" w:cs="Times New Roman"/>
          <w:color w:val="auto"/>
          <w:lang w:eastAsia="zh-CN"/>
        </w:rPr>
        <w:t>。</w:t>
      </w:r>
      <w:r>
        <w:rPr>
          <w:rFonts w:hint="default" w:ascii="Times New Roman" w:hAnsi="Times New Roman" w:cs="Times New Roman"/>
          <w:color w:val="auto"/>
        </w:rPr>
        <w:t>全面启动坡耕地水土流失综合治理项目，</w:t>
      </w:r>
      <w:r>
        <w:rPr>
          <w:rFonts w:hint="default" w:ascii="Times New Roman" w:hAnsi="Times New Roman" w:cs="Times New Roman"/>
          <w:color w:val="auto"/>
          <w:lang w:eastAsia="zh-CN"/>
        </w:rPr>
        <w:t>改变坡面长度、分段拦截水流，增加土壤的入渗时间、减缓地表径流的流速，配套建设沟、池、凼、渠等坡面水系工程和整治山坪塘，变跑水、跑土、跑肥的“三跑田”为“三保田”，改善土地资源状况，</w:t>
      </w:r>
      <w:r>
        <w:rPr>
          <w:rFonts w:hint="default" w:ascii="Times New Roman" w:hAnsi="Times New Roman" w:cs="Times New Roman"/>
          <w:color w:val="auto"/>
        </w:rPr>
        <w:t>调整水土流失敏感区、水土保持重要区用地结构，将水土流失治理与特色产业发展相结合，实施坡改梯、新建蓄水池、整治渠系等措施，逐步恢复林草植被</w:t>
      </w:r>
      <w:r>
        <w:rPr>
          <w:rFonts w:hint="default" w:ascii="Times New Roman" w:hAnsi="Times New Roman" w:cs="Times New Roman"/>
          <w:color w:val="auto"/>
          <w:lang w:eastAsia="zh-CN"/>
        </w:rPr>
        <w:t>，</w:t>
      </w:r>
      <w:r>
        <w:rPr>
          <w:rFonts w:hint="default" w:ascii="Times New Roman" w:hAnsi="Times New Roman" w:cs="Times New Roman"/>
          <w:color w:val="auto"/>
        </w:rPr>
        <w:t>力争2025年新增水土流失治理面积247平方公里</w:t>
      </w:r>
      <w:r>
        <w:rPr>
          <w:rFonts w:hint="default" w:ascii="Times New Roman" w:hAnsi="Times New Roman" w:cs="Times New Roman"/>
          <w:color w:val="auto"/>
          <w:lang w:eastAsia="zh-CN"/>
        </w:rPr>
        <w:t>。</w:t>
      </w:r>
    </w:p>
    <w:p w14:paraId="3CE9AA86">
      <w:pPr>
        <w:ind w:firstLine="562"/>
        <w:rPr>
          <w:rFonts w:hint="default" w:ascii="Times New Roman" w:hAnsi="Times New Roman" w:eastAsia="仿宋" w:cs="Times New Roman"/>
          <w:color w:val="auto"/>
          <w:lang w:eastAsia="zh-CN"/>
        </w:rPr>
      </w:pPr>
      <w:r>
        <w:rPr>
          <w:rFonts w:hint="default" w:ascii="Times New Roman" w:hAnsi="Times New Roman" w:cs="Times New Roman"/>
          <w:b/>
          <w:bCs/>
          <w:color w:val="auto"/>
        </w:rPr>
        <w:t>加强地质灾害防治</w:t>
      </w:r>
      <w:r>
        <w:rPr>
          <w:rFonts w:hint="default" w:ascii="Times New Roman" w:hAnsi="Times New Roman" w:cs="Times New Roman"/>
          <w:color w:val="auto"/>
        </w:rPr>
        <w:t>。加强重点防治区域地质灾害详细调查，并开展动态巡查工作。加强地质灾害群测群防专职监测网络建设，实施地质灾害专业监测预警及隐患点动态管理。采用监测预警、工程整治、搬迁避让等方式综合治理既有隐患点，对</w:t>
      </w:r>
      <w:r>
        <w:rPr>
          <w:rFonts w:hint="default" w:ascii="Times New Roman" w:hAnsi="Times New Roman" w:cs="Times New Roman"/>
          <w:color w:val="auto"/>
          <w:lang w:eastAsia="zh-CN"/>
        </w:rPr>
        <w:t>受</w:t>
      </w:r>
      <w:r>
        <w:rPr>
          <w:rFonts w:hint="default" w:ascii="Times New Roman" w:hAnsi="Times New Roman" w:cs="Times New Roman"/>
          <w:color w:val="auto"/>
        </w:rPr>
        <w:t>地质灾害隐患威胁且有搬迁意愿的分散农户采取避让搬迁安置</w:t>
      </w:r>
      <w:r>
        <w:rPr>
          <w:rFonts w:hint="default" w:ascii="Times New Roman" w:hAnsi="Times New Roman" w:cs="Times New Roman"/>
          <w:color w:val="auto"/>
          <w:lang w:eastAsia="zh-CN"/>
        </w:rPr>
        <w:t>，</w:t>
      </w:r>
      <w:r>
        <w:rPr>
          <w:rFonts w:hint="default" w:ascii="Times New Roman" w:hAnsi="Times New Roman" w:cs="Times New Roman"/>
          <w:color w:val="auto"/>
        </w:rPr>
        <w:t>对地质灾害集中发育的典型小流域、重点城镇试点部署综合整治工程</w:t>
      </w:r>
      <w:r>
        <w:rPr>
          <w:rFonts w:hint="default" w:ascii="Times New Roman" w:hAnsi="Times New Roman" w:cs="Times New Roman"/>
          <w:color w:val="auto"/>
          <w:lang w:eastAsia="zh-CN"/>
        </w:rPr>
        <w:t>，</w:t>
      </w:r>
      <w:r>
        <w:rPr>
          <w:rFonts w:hint="default" w:ascii="Times New Roman" w:hAnsi="Times New Roman" w:cs="Times New Roman"/>
          <w:color w:val="auto"/>
        </w:rPr>
        <w:t>对威胁县城、集镇、学校、居民聚居区等人口密集区的地质灾害隐患开展工程整治</w:t>
      </w:r>
      <w:r>
        <w:rPr>
          <w:rFonts w:hint="default" w:ascii="Times New Roman" w:hAnsi="Times New Roman" w:cs="Times New Roman"/>
          <w:color w:val="auto"/>
          <w:lang w:eastAsia="zh-CN"/>
        </w:rPr>
        <w:t>，</w:t>
      </w:r>
      <w:r>
        <w:rPr>
          <w:rFonts w:hint="default" w:ascii="Times New Roman" w:hAnsi="Times New Roman" w:cs="Times New Roman"/>
          <w:color w:val="auto"/>
        </w:rPr>
        <w:t>对防治措施简单的地质灾害隐患点实施排危除险。结合县内各地质灾害隐患的分布特征，</w:t>
      </w:r>
      <w:r>
        <w:rPr>
          <w:rFonts w:hint="default" w:ascii="Times New Roman" w:hAnsi="Times New Roman" w:cs="Times New Roman"/>
          <w:color w:val="auto"/>
          <w:lang w:eastAsia="zh-CN"/>
        </w:rPr>
        <w:t>全面推进</w:t>
      </w:r>
      <w:r>
        <w:rPr>
          <w:rFonts w:hint="default" w:ascii="Times New Roman" w:hAnsi="Times New Roman" w:cs="Times New Roman"/>
          <w:color w:val="auto"/>
        </w:rPr>
        <w:t>全县38个地灾隐患点开展工程治理、排危除险</w:t>
      </w:r>
      <w:r>
        <w:rPr>
          <w:rFonts w:hint="default" w:ascii="Times New Roman" w:hAnsi="Times New Roman" w:cs="Times New Roman"/>
          <w:color w:val="auto"/>
          <w:lang w:eastAsia="zh-CN"/>
        </w:rPr>
        <w:t>。</w:t>
      </w:r>
      <w:r>
        <w:rPr>
          <w:rFonts w:hint="default" w:ascii="Times New Roman" w:hAnsi="Times New Roman" w:cs="Times New Roman"/>
          <w:color w:val="auto"/>
        </w:rPr>
        <w:t>广泛深入开展地质灾害防治科普宣传和培训工作，提高防灾抗灾意识</w:t>
      </w:r>
      <w:r>
        <w:rPr>
          <w:rFonts w:hint="default" w:ascii="Times New Roman" w:hAnsi="Times New Roman" w:cs="Times New Roman"/>
          <w:color w:val="auto"/>
          <w:lang w:eastAsia="zh-CN"/>
        </w:rPr>
        <w:t>，减小灾害损失。</w:t>
      </w:r>
    </w:p>
    <w:p w14:paraId="497E5187">
      <w:pPr>
        <w:pStyle w:val="3"/>
        <w:bidi w:val="0"/>
        <w:jc w:val="center"/>
        <w:rPr>
          <w:rFonts w:hint="default" w:ascii="Times New Roman" w:hAnsi="Times New Roman" w:cs="Times New Roman"/>
          <w:color w:val="auto"/>
          <w:lang w:val="en-US" w:eastAsia="zh-CN"/>
        </w:rPr>
      </w:pPr>
      <w:bookmarkStart w:id="29" w:name="_Toc28263"/>
      <w:r>
        <w:rPr>
          <w:rFonts w:hint="default" w:ascii="Times New Roman" w:hAnsi="Times New Roman" w:cs="Times New Roman"/>
          <w:color w:val="auto"/>
          <w:lang w:eastAsia="zh-CN"/>
        </w:rPr>
        <w:t>第五章</w:t>
      </w:r>
      <w:r>
        <w:rPr>
          <w:rFonts w:hint="default" w:ascii="Times New Roman" w:hAnsi="Times New Roman" w:cs="Times New Roman"/>
          <w:color w:val="auto"/>
          <w:lang w:val="en-US" w:eastAsia="zh-CN"/>
        </w:rPr>
        <w:t xml:space="preserve"> 以协同防控为主，巩固提升大气环境质量</w:t>
      </w:r>
      <w:bookmarkEnd w:id="29"/>
    </w:p>
    <w:p w14:paraId="35B22CFF">
      <w:pPr>
        <w:pStyle w:val="4"/>
        <w:bidi w:val="0"/>
        <w:jc w:val="center"/>
        <w:rPr>
          <w:rFonts w:hint="default" w:ascii="Times New Roman" w:hAnsi="Times New Roman" w:cs="Times New Roman"/>
          <w:color w:val="auto"/>
          <w:lang w:val="en-US" w:eastAsia="zh-CN"/>
        </w:rPr>
      </w:pPr>
      <w:bookmarkStart w:id="30" w:name="_Toc3607"/>
      <w:r>
        <w:rPr>
          <w:rFonts w:hint="default" w:ascii="Times New Roman" w:hAnsi="Times New Roman" w:cs="Times New Roman"/>
          <w:color w:val="auto"/>
          <w:lang w:val="en-US" w:eastAsia="zh-CN"/>
        </w:rPr>
        <w:t>第一节 加强工业污染源治理</w:t>
      </w:r>
      <w:bookmarkEnd w:id="30"/>
    </w:p>
    <w:p w14:paraId="263DCA59">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严格涉气项目环境准入。</w:t>
      </w:r>
      <w:r>
        <w:rPr>
          <w:rFonts w:hint="default" w:ascii="Times New Roman" w:hAnsi="Times New Roman" w:cs="Times New Roman"/>
          <w:color w:val="auto"/>
          <w:lang w:val="en-US" w:eastAsia="zh-CN"/>
        </w:rPr>
        <w:t>严格控制石化、化工、火电、钢铁、有色金属冶炼、水泥、陶瓷等“两高”项目建设；严格控制园区外新建涉气工业企业；新建涉挥发性有机物排放的建设项目需进入工业园区；空气质量不达标区域严格落实颗粒物、二氧化硫、氮氧化物、挥发性有机物2倍现役源削减替代。</w:t>
      </w:r>
    </w:p>
    <w:p w14:paraId="030AB15D">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深化工业炉窑污染整治力度。</w:t>
      </w:r>
      <w:r>
        <w:rPr>
          <w:rFonts w:hint="default" w:ascii="Times New Roman" w:hAnsi="Times New Roman" w:cs="Times New Roman"/>
          <w:color w:val="auto"/>
          <w:lang w:val="en-US" w:eastAsia="zh-CN"/>
        </w:rPr>
        <w:t>加大不达标工业炉窑淘汰力度，鼓励工业炉窑使用电、天然气等清洁能源，新建工业炉窑建设项目原则上进入工业园区。</w:t>
      </w:r>
    </w:p>
    <w:p w14:paraId="76E7F826">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强化臭氧和细颗粒物协同治理。</w:t>
      </w:r>
      <w:r>
        <w:rPr>
          <w:rFonts w:hint="default" w:ascii="Times New Roman" w:hAnsi="Times New Roman" w:cs="Times New Roman"/>
          <w:b w:val="0"/>
          <w:bCs w:val="0"/>
          <w:color w:val="auto"/>
          <w:lang w:val="en-US" w:eastAsia="zh-CN"/>
        </w:rPr>
        <w:t>将PM</w:t>
      </w:r>
      <w:r>
        <w:rPr>
          <w:rFonts w:hint="default" w:ascii="Times New Roman" w:hAnsi="Times New Roman" w:cs="Times New Roman"/>
          <w:b w:val="0"/>
          <w:bCs w:val="0"/>
          <w:color w:val="auto"/>
          <w:vertAlign w:val="subscript"/>
          <w:lang w:val="en-US" w:eastAsia="zh-CN"/>
        </w:rPr>
        <w:t>2.5</w:t>
      </w:r>
      <w:r>
        <w:rPr>
          <w:rFonts w:hint="default" w:ascii="Times New Roman" w:hAnsi="Times New Roman" w:cs="Times New Roman"/>
          <w:b w:val="0"/>
          <w:bCs w:val="0"/>
          <w:color w:val="auto"/>
          <w:lang w:val="en-US" w:eastAsia="zh-CN"/>
        </w:rPr>
        <w:t>和O</w:t>
      </w:r>
      <w:r>
        <w:rPr>
          <w:rFonts w:hint="default" w:ascii="Times New Roman" w:hAnsi="Times New Roman" w:cs="Times New Roman"/>
          <w:b w:val="0"/>
          <w:bCs w:val="0"/>
          <w:color w:val="auto"/>
          <w:vertAlign w:val="subscript"/>
          <w:lang w:val="en-US" w:eastAsia="zh-CN"/>
        </w:rPr>
        <w:t>3</w:t>
      </w:r>
      <w:r>
        <w:rPr>
          <w:rFonts w:hint="default" w:ascii="Times New Roman" w:hAnsi="Times New Roman" w:cs="Times New Roman"/>
          <w:b w:val="0"/>
          <w:bCs w:val="0"/>
          <w:color w:val="auto"/>
          <w:lang w:val="en-US" w:eastAsia="zh-CN"/>
        </w:rPr>
        <w:t>的协同控制作为核心工作，推动PM</w:t>
      </w:r>
      <w:r>
        <w:rPr>
          <w:rFonts w:hint="default" w:ascii="Times New Roman" w:hAnsi="Times New Roman" w:cs="Times New Roman"/>
          <w:b w:val="0"/>
          <w:bCs w:val="0"/>
          <w:color w:val="auto"/>
          <w:vertAlign w:val="subscript"/>
          <w:lang w:val="en-US" w:eastAsia="zh-CN"/>
        </w:rPr>
        <w:t>2.5</w:t>
      </w:r>
      <w:r>
        <w:rPr>
          <w:rFonts w:hint="default" w:ascii="Times New Roman" w:hAnsi="Times New Roman" w:cs="Times New Roman"/>
          <w:b w:val="0"/>
          <w:bCs w:val="0"/>
          <w:color w:val="auto"/>
          <w:lang w:val="en-US" w:eastAsia="zh-CN"/>
        </w:rPr>
        <w:t>浓度持续下降，O</w:t>
      </w:r>
      <w:r>
        <w:rPr>
          <w:rFonts w:hint="default" w:ascii="Times New Roman" w:hAnsi="Times New Roman" w:cs="Times New Roman"/>
          <w:b w:val="0"/>
          <w:bCs w:val="0"/>
          <w:color w:val="auto"/>
          <w:vertAlign w:val="subscript"/>
          <w:lang w:val="en-US" w:eastAsia="zh-CN"/>
        </w:rPr>
        <w:t>3</w:t>
      </w:r>
      <w:r>
        <w:rPr>
          <w:rFonts w:hint="default" w:ascii="Times New Roman" w:hAnsi="Times New Roman" w:cs="Times New Roman"/>
          <w:b w:val="0"/>
          <w:bCs w:val="0"/>
          <w:color w:val="auto"/>
          <w:lang w:val="en-US" w:eastAsia="zh-CN"/>
        </w:rPr>
        <w:t>浓度稳中有降。持续更新优化大气污染源排放清单，强化共同前体物NO</w:t>
      </w:r>
      <w:r>
        <w:rPr>
          <w:rFonts w:hint="default" w:ascii="Times New Roman" w:hAnsi="Times New Roman" w:cs="Times New Roman"/>
          <w:b w:val="0"/>
          <w:bCs w:val="0"/>
          <w:color w:val="auto"/>
          <w:vertAlign w:val="subscript"/>
          <w:lang w:val="en-US" w:eastAsia="zh-CN"/>
        </w:rPr>
        <w:t>x</w:t>
      </w:r>
      <w:r>
        <w:rPr>
          <w:rFonts w:hint="default" w:ascii="Times New Roman" w:hAnsi="Times New Roman" w:cs="Times New Roman"/>
          <w:b w:val="0"/>
          <w:bCs w:val="0"/>
          <w:color w:val="auto"/>
          <w:lang w:val="en-US" w:eastAsia="zh-CN"/>
        </w:rPr>
        <w:t>和VOCs的排放控制，推动协同减排。统筹考虑PM</w:t>
      </w:r>
      <w:r>
        <w:rPr>
          <w:rFonts w:hint="default" w:ascii="Times New Roman" w:hAnsi="Times New Roman" w:cs="Times New Roman"/>
          <w:b w:val="0"/>
          <w:bCs w:val="0"/>
          <w:color w:val="auto"/>
          <w:vertAlign w:val="subscript"/>
          <w:lang w:val="en-US" w:eastAsia="zh-CN"/>
        </w:rPr>
        <w:t>2.5</w:t>
      </w:r>
      <w:r>
        <w:rPr>
          <w:rFonts w:hint="default" w:ascii="Times New Roman" w:hAnsi="Times New Roman" w:cs="Times New Roman"/>
          <w:b w:val="0"/>
          <w:bCs w:val="0"/>
          <w:color w:val="auto"/>
          <w:lang w:val="en-US" w:eastAsia="zh-CN"/>
        </w:rPr>
        <w:t>和O</w:t>
      </w:r>
      <w:r>
        <w:rPr>
          <w:rFonts w:hint="default" w:ascii="Times New Roman" w:hAnsi="Times New Roman" w:cs="Times New Roman"/>
          <w:b w:val="0"/>
          <w:bCs w:val="0"/>
          <w:color w:val="auto"/>
          <w:vertAlign w:val="subscript"/>
          <w:lang w:val="en-US" w:eastAsia="zh-CN"/>
        </w:rPr>
        <w:t>3</w:t>
      </w:r>
      <w:r>
        <w:rPr>
          <w:rFonts w:hint="default" w:ascii="Times New Roman" w:hAnsi="Times New Roman" w:cs="Times New Roman"/>
          <w:b w:val="0"/>
          <w:bCs w:val="0"/>
          <w:color w:val="auto"/>
          <w:lang w:val="en-US" w:eastAsia="zh-CN"/>
        </w:rPr>
        <w:t>污染区域传输规律和季节性特征，以夏季和秋冬季为重点控制时段，强化分区分时分类差异化精细化协同管控，强化分时分类的差异化和精细化管控。</w:t>
      </w:r>
    </w:p>
    <w:p w14:paraId="743DED54">
      <w:pPr>
        <w:pStyle w:val="4"/>
        <w:bidi w:val="0"/>
        <w:jc w:val="center"/>
        <w:rPr>
          <w:rFonts w:hint="default" w:ascii="Times New Roman" w:hAnsi="Times New Roman" w:cs="Times New Roman"/>
          <w:color w:val="auto"/>
          <w:lang w:val="en-US" w:eastAsia="zh-CN"/>
        </w:rPr>
      </w:pPr>
      <w:bookmarkStart w:id="31" w:name="_Toc2939"/>
      <w:r>
        <w:rPr>
          <w:rFonts w:hint="default" w:ascii="Times New Roman" w:hAnsi="Times New Roman" w:cs="Times New Roman"/>
          <w:color w:val="auto"/>
          <w:lang w:val="en-US" w:eastAsia="zh-CN"/>
        </w:rPr>
        <w:t>第二节 深化VOCs污染防治</w:t>
      </w:r>
      <w:bookmarkEnd w:id="31"/>
    </w:p>
    <w:p w14:paraId="5098AC2A">
      <w:pPr>
        <w:bidi w:val="0"/>
        <w:rPr>
          <w:rFonts w:hint="default" w:ascii="Times New Roman" w:hAnsi="Times New Roman" w:eastAsia="仿宋" w:cs="Times New Roman"/>
          <w:color w:val="auto"/>
          <w:lang w:val="en-US" w:eastAsia="zh-CN"/>
        </w:rPr>
      </w:pPr>
      <w:r>
        <w:rPr>
          <w:rFonts w:hint="default" w:ascii="Times New Roman" w:hAnsi="Times New Roman" w:cs="Times New Roman"/>
          <w:b/>
          <w:bCs/>
          <w:color w:val="auto"/>
          <w:lang w:val="en-US" w:eastAsia="zh-CN"/>
        </w:rPr>
        <w:t>实施重点行业VOCs总量控制和源头替代。</w:t>
      </w:r>
      <w:r>
        <w:rPr>
          <w:rFonts w:hint="default" w:ascii="Times New Roman" w:hAnsi="Times New Roman" w:cs="Times New Roman"/>
          <w:color w:val="auto"/>
          <w:lang w:val="en-US" w:eastAsia="zh-CN"/>
        </w:rPr>
        <w:t>参照《低挥发性有机化合物含量涂料产品技术要求》（GB/T 38597—2020）及相关产品质量标准，大力推进工业涂装、包装印刷等溶剂使用类行业及涂料、油墨、胶粘剂、清洗剂等行业低挥发性原辅料产品的源头替代，鼓励采购使用低VOCs含量原辅材料的产品，建立全面使用符合国家要求的低VOCs含量原辅材料的企业正面清单和政府绿色采购清单。</w:t>
      </w:r>
    </w:p>
    <w:p w14:paraId="01AE4C1F">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加强重点地区、重点行业VOCs排放整治。</w:t>
      </w:r>
      <w:r>
        <w:rPr>
          <w:rFonts w:hint="default" w:ascii="Times New Roman" w:hAnsi="Times New Roman" w:cs="Times New Roman"/>
          <w:color w:val="auto"/>
          <w:lang w:val="en-US" w:eastAsia="zh-CN"/>
        </w:rPr>
        <w:t>严格控制涉VOCs排放新建项目，对新增VOCs排放项目实施倍量或减量替代。以经开区上游片区、金桥片区等区域的集中工业区为重点，推进重点区域VOCs整治。持续开展全县重点行业企业“一厂一策”综合治理，实施重点行业VOCs达标排放整治，实施化工、制药、家具制造、锂电及新材料线缆线束、塑料加工、印刷等重点行业VOCs总量控制；深化汽车修理行业整治，建设主城区汽修行业喷涂共享中心并适时在其他地区推广，促进集中高效处理，完善汽修行业管理台账和在线监测手段。</w:t>
      </w:r>
    </w:p>
    <w:p w14:paraId="74CFC9D7">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加强其他行业VOCs污染防治。</w:t>
      </w:r>
      <w:r>
        <w:rPr>
          <w:rFonts w:hint="default" w:ascii="Times New Roman" w:hAnsi="Times New Roman" w:cs="Times New Roman"/>
          <w:color w:val="auto"/>
          <w:lang w:val="en-US" w:eastAsia="zh-CN"/>
        </w:rPr>
        <w:t>加大油品油气行业治理，全面实施加油站油气回收在线监测系统安装。持续开展油气回收专项检查，对未安装或回收装置运行不正常的加油站、储油库、油罐车、油品运输船舶依法责令整改或停止使用；加强建筑面源污染排放控制，建立全县涉及VOCs排放作业工序工地错峰施工机制与实施方案。</w:t>
      </w:r>
    </w:p>
    <w:p w14:paraId="54B0E0DF">
      <w:pPr>
        <w:pStyle w:val="4"/>
        <w:numPr>
          <w:ilvl w:val="0"/>
          <w:numId w:val="0"/>
        </w:numPr>
        <w:bidi w:val="0"/>
        <w:ind w:leftChars="200"/>
        <w:jc w:val="center"/>
        <w:rPr>
          <w:rFonts w:hint="default" w:ascii="Times New Roman" w:hAnsi="Times New Roman" w:cs="Times New Roman"/>
          <w:color w:val="auto"/>
          <w:lang w:val="en-US" w:eastAsia="zh-CN"/>
        </w:rPr>
      </w:pPr>
      <w:bookmarkStart w:id="32" w:name="_Toc23973"/>
      <w:r>
        <w:rPr>
          <w:rFonts w:hint="default" w:ascii="Times New Roman" w:hAnsi="Times New Roman" w:cs="Times New Roman"/>
          <w:color w:val="auto"/>
          <w:lang w:val="en-US" w:eastAsia="zh-CN"/>
        </w:rPr>
        <w:t>第三节 深入移动源污染防控</w:t>
      </w:r>
      <w:bookmarkEnd w:id="32"/>
    </w:p>
    <w:p w14:paraId="74DDDEB5">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不断深化机动车污染治理。</w:t>
      </w:r>
      <w:r>
        <w:rPr>
          <w:rFonts w:hint="default" w:ascii="Times New Roman" w:hAnsi="Times New Roman" w:cs="Times New Roman"/>
          <w:color w:val="auto"/>
          <w:lang w:val="en-US" w:eastAsia="zh-CN"/>
        </w:rPr>
        <w:t>开展非道路移动机械登记备案，建立健全使用管理制度，未登记备案一律不得进场施工。完善在用汽车排放检测与强制维护制度，强化新生产机动车环保达标监管，加快区域内机动车排污监控平台建设。进一步摸清机动车污染现状及保有量结构，加快新能源汽车推广和技术提升，加大高污染车辆和老旧车淘汰力度。推进“快速便捷、连通成网、绿色生态”的道路交通发展体系建设，利用物联网、大数据等信息化技术构建便捷高效换乘体系。调整货物运输方式，依托成达万高铁蓬溪站、宁涪江复航金桥港、荷叶港水道等重大交通设施和中农联蓬溪现代农贸城冷链仓储、蓬溪邮政分公司仓储基地、城市物流配送园区等交通综合物流园区，新、改、扩建设计大宗物料运输的建设项目原则上不采用公路运输，推进货物运输“公转铁”，进一步优化货车绕行限行措施，有序引导货车按规定路线行驶。完成建成高铁蓬溪南站，打造绿色化综合客货运枢纽，实现动车公交化运营，完善公共交通体系，新增和优化公交线路，提升公共交通占机动化出行比例。</w:t>
      </w:r>
    </w:p>
    <w:p w14:paraId="6318CF2A">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加强成品油市场监管</w:t>
      </w:r>
      <w:r>
        <w:rPr>
          <w:rFonts w:hint="default" w:ascii="Times New Roman" w:hAnsi="Times New Roman" w:cs="Times New Roman"/>
          <w:color w:val="auto"/>
          <w:lang w:val="en-US" w:eastAsia="zh-CN"/>
        </w:rPr>
        <w:t>。全面供应国Ⅵ标准汽、柴油。实现车用柴油、普通柴油、部分船用油“三油并轨”。加大抽检力度，严厉查处制、售和使用不合格燃油等行为，保证全县加油站抽检覆盖率达到100%。加强对油品制售企业的质量监督管理，严厉打击生产、销售、使用不合格油品和车用尿素行为。</w:t>
      </w:r>
    </w:p>
    <w:p w14:paraId="770C1967">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加强移动源日常监管。</w:t>
      </w:r>
      <w:r>
        <w:rPr>
          <w:rFonts w:hint="default" w:ascii="Times New Roman" w:hAnsi="Times New Roman" w:cs="Times New Roman"/>
          <w:color w:val="auto"/>
          <w:lang w:val="en-US" w:eastAsia="zh-CN"/>
        </w:rPr>
        <w:t>按国家要求实施机动车国VI排放标准。加快淘汰老旧机动车，严禁排放不达标车辆跨区域转移。强化检验机构监督管理，严格落实机动车排放检验制度，规范检验程序，提高检测数据质量，依法查处、严厉打击机动车排放检验机构尾气检测弄虚作假、屏蔽和修改车辆环保监控参数等违法行为。推进工程机械安装精准定位系统和实时排放监控装置，建立监控平台，划定非道路移动机械低排放控制区。开展多部门联合执法，强化现场路检路查和停放地监督抽测。</w:t>
      </w:r>
    </w:p>
    <w:p w14:paraId="58E52AE1">
      <w:pPr>
        <w:pStyle w:val="4"/>
        <w:bidi w:val="0"/>
        <w:jc w:val="center"/>
        <w:rPr>
          <w:rFonts w:hint="default" w:ascii="Times New Roman" w:hAnsi="Times New Roman" w:cs="Times New Roman"/>
          <w:color w:val="auto"/>
          <w:lang w:val="en-US" w:eastAsia="zh-CN"/>
        </w:rPr>
      </w:pPr>
      <w:bookmarkStart w:id="33" w:name="_Toc10524"/>
      <w:r>
        <w:rPr>
          <w:rFonts w:hint="default" w:ascii="Times New Roman" w:hAnsi="Times New Roman" w:cs="Times New Roman"/>
          <w:color w:val="auto"/>
          <w:lang w:eastAsia="zh-CN"/>
        </w:rPr>
        <w:t>第四节</w:t>
      </w:r>
      <w:r>
        <w:rPr>
          <w:rFonts w:hint="default" w:ascii="Times New Roman" w:hAnsi="Times New Roman" w:cs="Times New Roman"/>
          <w:color w:val="auto"/>
          <w:lang w:val="en-US" w:eastAsia="zh-CN"/>
        </w:rPr>
        <w:t xml:space="preserve"> 强化面源污染治理</w:t>
      </w:r>
      <w:bookmarkEnd w:id="33"/>
    </w:p>
    <w:p w14:paraId="66A67ADA">
      <w:pPr>
        <w:pStyle w:val="10"/>
        <w:rPr>
          <w:rFonts w:hint="default" w:ascii="Times New Roman" w:hAnsi="Times New Roman" w:cs="Times New Roman"/>
          <w:color w:val="auto"/>
        </w:rPr>
      </w:pPr>
      <w:r>
        <w:rPr>
          <w:rFonts w:hint="default" w:ascii="Times New Roman" w:hAnsi="Times New Roman" w:cs="Times New Roman"/>
          <w:b/>
          <w:bCs/>
          <w:color w:val="auto"/>
          <w:lang w:val="en-US" w:eastAsia="zh-CN"/>
        </w:rPr>
        <w:t>控制农业源氨排放。</w:t>
      </w:r>
      <w:r>
        <w:rPr>
          <w:rFonts w:hint="default" w:ascii="Times New Roman" w:hAnsi="Times New Roman" w:cs="Times New Roman"/>
          <w:color w:val="auto"/>
        </w:rPr>
        <w:t>引导农民开展种养结合，实现禽畜粪肥的还田利用，减少化肥的施用，减少氨排放量。加强养殖业氨排放治理，加大低蛋白饲料品种的研发与推广，推广封闭式的粪便存储和处理系统，</w:t>
      </w:r>
      <w:r>
        <w:rPr>
          <w:rFonts w:hint="default" w:ascii="Times New Roman" w:hAnsi="Times New Roman" w:cs="Times New Roman"/>
          <w:color w:val="auto"/>
          <w:lang w:val="en-US" w:eastAsia="zh-CN"/>
        </w:rPr>
        <w:t>鼓励规模养殖厂安装建设氨排放净化装置。大力推进</w:t>
      </w:r>
      <w:r>
        <w:rPr>
          <w:rFonts w:hint="default" w:ascii="Times New Roman" w:hAnsi="Times New Roman" w:cs="Times New Roman"/>
          <w:color w:val="auto"/>
        </w:rPr>
        <w:t>高效含氨气体处理技术的研发及运用。</w:t>
      </w:r>
      <w:r>
        <w:rPr>
          <w:rFonts w:hint="default" w:ascii="Times New Roman" w:hAnsi="Times New Roman" w:cs="Times New Roman"/>
          <w:color w:val="auto"/>
          <w:lang w:val="en-US" w:eastAsia="zh-CN"/>
        </w:rPr>
        <w:t>推广种植业氨减排技术，调整氮肥结构，改进施肥方式，推进农业氨排放控制。</w:t>
      </w:r>
    </w:p>
    <w:p w14:paraId="7CE4465E">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加强扬尘治理。</w:t>
      </w:r>
      <w:r>
        <w:rPr>
          <w:rFonts w:hint="default" w:ascii="Times New Roman" w:hAnsi="Times New Roman" w:cs="Times New Roman"/>
          <w:color w:val="auto"/>
          <w:lang w:val="en-US" w:eastAsia="zh-CN"/>
        </w:rPr>
        <w:t>严格落实《四川省扬尘污染防治条例》相关规定，城市道路严格实行精细化管理，建立县、镇、村（社区）三级道路清扫保洁体系，实现各级各类道路的主路、辅路和人行步道清扫保洁“全覆盖”。严格施工扬尘监管，施工工地全面推进绿色施工，完善文明施工和绿色施工管理工作制度建设，严格落实“六个百分之百”和“门前三包”的扬尘防治要求，将建设工程施工工地扬尘排污纳入环境税范围，加大对数据超标和安装不规范行为的惩处力度。加强铁路、公路、港口等货物运输管理，采取有效的封闭措施减少扬尘污染，无法封闭的应建设防风抑尘设施。</w:t>
      </w:r>
    </w:p>
    <w:p w14:paraId="6CB76B1C">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严控秸秆露天焚烧。</w:t>
      </w:r>
      <w:r>
        <w:rPr>
          <w:rFonts w:hint="default" w:ascii="Times New Roman" w:hAnsi="Times New Roman" w:cs="Times New Roman"/>
          <w:color w:val="auto"/>
          <w:lang w:val="en-US" w:eastAsia="zh-CN"/>
        </w:rPr>
        <w:t>坚持疏堵结合、以疏为主，做实做细县、镇、村、组四级网格化监管体系，</w:t>
      </w:r>
      <w:r>
        <w:rPr>
          <w:rFonts w:hint="default" w:ascii="Times New Roman" w:hAnsi="Times New Roman" w:cs="Times New Roman"/>
          <w:color w:val="auto"/>
        </w:rPr>
        <w:t>加强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定点、定时、定人、定责”管控，杜绝露天焚烧秸秆现象。持续推进全县秸秆、林木废弃物集中综合利用，支持蓬南镇新建秸秆综合利用项目，建设秸秆综合收储暂存场所，购买秸秆粉碎、机械还田、秸秆青储等设备，依托回田、生物质供热等方式，推动秸秆资源化利用，建立农户收集、村组集中、镇转移制度，强化奖惩考核，实现2025年全县秸秆收集和综合利用率高于92%。</w:t>
      </w:r>
    </w:p>
    <w:p w14:paraId="69CB74FD">
      <w:pPr>
        <w:ind w:firstLine="562"/>
        <w:rPr>
          <w:rFonts w:hint="default" w:ascii="Times New Roman" w:hAnsi="Times New Roman" w:cs="Times New Roman"/>
          <w:color w:val="auto"/>
        </w:rPr>
      </w:pPr>
      <w:r>
        <w:rPr>
          <w:rFonts w:hint="default" w:ascii="Times New Roman" w:hAnsi="Times New Roman" w:cs="Times New Roman"/>
          <w:b/>
          <w:bCs/>
          <w:color w:val="auto"/>
        </w:rPr>
        <w:t>强化餐饮油烟治理</w:t>
      </w:r>
      <w:r>
        <w:rPr>
          <w:rFonts w:hint="default" w:ascii="Times New Roman" w:hAnsi="Times New Roman" w:cs="Times New Roman"/>
          <w:color w:val="auto"/>
        </w:rPr>
        <w:t>。加强餐饮油烟治理设施普及，推广使用高效净化型家用吸油烟机。强化油烟气治理的日常监管，城市建成区餐饮服务场所全部安装高效油烟净化装置，并加强设施运行监管。加大餐饮业监督执法，实现油烟治理设施每年定期检修、定期监测，监测不合格的限期整改。</w:t>
      </w:r>
    </w:p>
    <w:p w14:paraId="6F4664DC">
      <w:pPr>
        <w:rPr>
          <w:rFonts w:hint="default" w:ascii="Times New Roman" w:hAnsi="Times New Roman" w:cs="Times New Roman"/>
          <w:color w:val="auto"/>
          <w:lang w:val="en-US" w:eastAsia="zh-CN"/>
        </w:rPr>
        <w:sectPr>
          <w:pgSz w:w="11906" w:h="16838"/>
          <w:pgMar w:top="1440" w:right="1800" w:bottom="1440" w:left="1800" w:header="851" w:footer="992" w:gutter="0"/>
          <w:pgNumType w:fmt="decimal"/>
          <w:cols w:space="425" w:num="1"/>
          <w:docGrid w:type="lines" w:linePitch="312" w:charSpace="0"/>
        </w:sectPr>
      </w:pPr>
    </w:p>
    <w:p w14:paraId="525D983C">
      <w:pPr>
        <w:pStyle w:val="3"/>
        <w:bidi w:val="0"/>
        <w:jc w:val="center"/>
        <w:rPr>
          <w:rFonts w:hint="default" w:ascii="Times New Roman" w:hAnsi="Times New Roman" w:cs="Times New Roman"/>
          <w:color w:val="auto"/>
          <w:lang w:val="en-US" w:eastAsia="zh-CN"/>
        </w:rPr>
      </w:pPr>
      <w:bookmarkStart w:id="34" w:name="_Toc24069"/>
      <w:r>
        <w:rPr>
          <w:rFonts w:hint="default" w:ascii="Times New Roman" w:hAnsi="Times New Roman" w:cs="Times New Roman"/>
          <w:color w:val="auto"/>
          <w:lang w:val="en-US" w:eastAsia="zh-CN"/>
        </w:rPr>
        <w:t>第六章 强化水生态修复，持续提升水环境质量</w:t>
      </w:r>
      <w:bookmarkEnd w:id="34"/>
    </w:p>
    <w:p w14:paraId="09F83484">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以水生态环境改善为核心，统筹水资源利用、水生态保护和水环境治理，污染减排与生态扩容两手发力，持续巩固提升水污染防治管理成效，大力推动水生态修复，推进“美丽河湖”保护与建设，努力实现“清水绿岸、鱼翔浅底”。</w:t>
      </w:r>
    </w:p>
    <w:p w14:paraId="294F10B2">
      <w:pPr>
        <w:pStyle w:val="4"/>
        <w:bidi w:val="0"/>
        <w:jc w:val="center"/>
        <w:rPr>
          <w:rFonts w:hint="default" w:ascii="Times New Roman" w:hAnsi="Times New Roman" w:cs="Times New Roman"/>
          <w:color w:val="auto"/>
          <w:lang w:val="en-US" w:eastAsia="zh-CN"/>
        </w:rPr>
      </w:pPr>
      <w:bookmarkStart w:id="35" w:name="_Toc8652"/>
      <w:r>
        <w:rPr>
          <w:rFonts w:hint="default" w:ascii="Times New Roman" w:hAnsi="Times New Roman" w:cs="Times New Roman"/>
          <w:color w:val="auto"/>
          <w:lang w:val="en-US" w:eastAsia="zh-CN"/>
        </w:rPr>
        <w:t>第一节 加强水资源供给保障</w:t>
      </w:r>
      <w:bookmarkEnd w:id="35"/>
    </w:p>
    <w:p w14:paraId="3CD8005B">
      <w:pPr>
        <w:pStyle w:val="10"/>
        <w:rPr>
          <w:rFonts w:hint="default" w:ascii="Times New Roman" w:hAnsi="Times New Roman" w:cs="Times New Roman"/>
          <w:color w:val="auto"/>
        </w:rPr>
      </w:pPr>
      <w:r>
        <w:rPr>
          <w:rFonts w:hint="default" w:ascii="Times New Roman" w:hAnsi="Times New Roman" w:cs="Times New Roman"/>
          <w:b/>
          <w:bCs/>
          <w:color w:val="auto"/>
        </w:rPr>
        <w:t>强化饮用水水源保护修复。</w:t>
      </w:r>
      <w:r>
        <w:rPr>
          <w:rFonts w:hint="default" w:ascii="Times New Roman" w:hAnsi="Times New Roman" w:cs="Times New Roman"/>
          <w:color w:val="auto"/>
        </w:rPr>
        <w:t>深入贯彻《四川省饮用水水源保护管理条例》</w:t>
      </w:r>
      <w:r>
        <w:rPr>
          <w:rFonts w:hint="default" w:ascii="Times New Roman" w:hAnsi="Times New Roman" w:cs="Times New Roman"/>
          <w:color w:val="auto"/>
          <w:lang w:eastAsia="zh-CN"/>
        </w:rPr>
        <w:t>，按照《集中式饮用水水源地规范化建设环境保护技术要求》</w:t>
      </w:r>
      <w:r>
        <w:rPr>
          <w:rFonts w:hint="default" w:ascii="Times New Roman" w:hAnsi="Times New Roman" w:cs="Times New Roman"/>
          <w:color w:val="auto"/>
        </w:rPr>
        <w:t>，对饮用水源地定期开展水源地环境状况调查评估，按照“水量保证、水质达标、应急保障”的要求，加强城镇集中式饮用水水源地及应急备用水源保护提升工程建设。对集中式饮用水源地突出环境问题进行规范化建设，持续完善水源地隔离设施、界标、道路交通警示标志和宣传牌，设置视频监控系统，对饮用水源地二级保护区及准保护区内非点源污染进行综合整治</w:t>
      </w:r>
      <w:r>
        <w:rPr>
          <w:rFonts w:hint="default" w:ascii="Times New Roman" w:hAnsi="Times New Roman" w:cs="Times New Roman"/>
          <w:color w:val="auto"/>
          <w:lang w:val="en-US" w:eastAsia="zh-CN"/>
        </w:rPr>
        <w:t>，建设生态缓冲隔离带、生态浮岛、人工湿地，种植滨水植物、沉水植物等。</w:t>
      </w:r>
      <w:r>
        <w:rPr>
          <w:rFonts w:hint="default" w:ascii="Times New Roman" w:hAnsi="Times New Roman" w:cs="Times New Roman"/>
          <w:color w:val="auto"/>
          <w:lang w:eastAsia="zh-CN"/>
        </w:rPr>
        <w:t>重点推进</w:t>
      </w:r>
      <w:r>
        <w:rPr>
          <w:rFonts w:hint="default" w:ascii="Times New Roman" w:hAnsi="Times New Roman" w:cs="Times New Roman"/>
          <w:color w:val="auto"/>
        </w:rPr>
        <w:t>蓬溪县白鹤林水库县级饮用水源地规范化建设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蓬溪县三五水库水源地环境整治及生态修复。</w:t>
      </w:r>
    </w:p>
    <w:p w14:paraId="5EDBC42D">
      <w:pPr>
        <w:ind w:firstLine="562"/>
        <w:rPr>
          <w:rFonts w:hint="default" w:ascii="Times New Roman" w:hAnsi="Times New Roman" w:cs="Times New Roman"/>
          <w:color w:val="auto"/>
        </w:rPr>
      </w:pPr>
      <w:r>
        <w:rPr>
          <w:rFonts w:hint="default" w:ascii="Times New Roman" w:hAnsi="Times New Roman" w:cs="Times New Roman"/>
          <w:b/>
          <w:bCs/>
          <w:color w:val="auto"/>
        </w:rPr>
        <w:t>强化饮用水</w:t>
      </w:r>
      <w:r>
        <w:rPr>
          <w:rFonts w:hint="default" w:ascii="Times New Roman" w:hAnsi="Times New Roman" w:cs="Times New Roman"/>
          <w:b/>
          <w:bCs/>
          <w:color w:val="auto"/>
          <w:lang w:eastAsia="zh-CN"/>
        </w:rPr>
        <w:t>水源地保护。</w:t>
      </w:r>
      <w:r>
        <w:rPr>
          <w:rFonts w:hint="default" w:ascii="Times New Roman" w:hAnsi="Times New Roman" w:cs="Times New Roman"/>
          <w:b w:val="0"/>
          <w:bCs w:val="0"/>
          <w:color w:val="auto"/>
        </w:rPr>
        <w:t>全面优化饮用水水源布局和供水格局，开展保护区范围划定工作，持续推进水源地规范化建设</w:t>
      </w:r>
      <w:r>
        <w:rPr>
          <w:rFonts w:hint="default" w:ascii="Times New Roman" w:hAnsi="Times New Roman" w:cs="Times New Roman"/>
          <w:b w:val="0"/>
          <w:bCs w:val="0"/>
          <w:color w:val="auto"/>
          <w:lang w:eastAsia="zh-CN"/>
        </w:rPr>
        <w:t>，开展白鹤林水库县级水源地规范化建设；加强饮用水源地保护，对饮用水水源地水质不符合饮用水要求或存在环境风险隐患等饮用水水源的开展整治，重点推进三五水库水源地环境整治及生态修复。提升饮用水水源地水质监测和预警能力，定期开展集中式饮用水水源监测和环境状况调查评估，定期向社会公开饮水安全状况。完善饮用水源地突发环境事件应急体系建设，建立饮用水源地突发污染事故预报预警机制，建立水源地风险源监管名单动态更新与长效监管机制。加快推进城镇应急备用水源建设，</w:t>
      </w:r>
      <w:r>
        <w:rPr>
          <w:rFonts w:hint="default" w:ascii="Times New Roman" w:hAnsi="Times New Roman" w:cs="Times New Roman"/>
          <w:color w:val="auto"/>
        </w:rPr>
        <w:t>深入推进饮用水水源地环境保护执法专项行动，依法查处保护区内的违法行为。到2025年，确保城镇集中式饮用水水源水质达标率100%。</w:t>
      </w:r>
    </w:p>
    <w:p w14:paraId="7E17F489">
      <w:pPr>
        <w:pStyle w:val="10"/>
        <w:ind w:firstLine="562"/>
        <w:rPr>
          <w:rFonts w:hint="default" w:ascii="Times New Roman" w:hAnsi="Times New Roman" w:eastAsia="仿宋_GB2312" w:cs="Times New Roman"/>
          <w:color w:val="auto"/>
          <w:szCs w:val="22"/>
        </w:rPr>
      </w:pPr>
      <w:r>
        <w:rPr>
          <w:rFonts w:hint="default" w:ascii="Times New Roman" w:hAnsi="Times New Roman" w:eastAsia="仿宋_GB2312" w:cs="Times New Roman"/>
          <w:b/>
          <w:bCs/>
          <w:color w:val="auto"/>
          <w:szCs w:val="22"/>
        </w:rPr>
        <w:t>深化农村饮用水卫生管理。</w:t>
      </w:r>
      <w:r>
        <w:rPr>
          <w:rFonts w:hint="default" w:ascii="Times New Roman" w:hAnsi="Times New Roman" w:eastAsia="仿宋_GB2312" w:cs="Times New Roman"/>
          <w:color w:val="auto"/>
          <w:szCs w:val="22"/>
        </w:rPr>
        <w:t>采取“以大并小、小小联合”的模式，实施</w:t>
      </w:r>
      <w:r>
        <w:rPr>
          <w:rFonts w:hint="default" w:ascii="Times New Roman" w:hAnsi="Times New Roman" w:cs="Times New Roman"/>
          <w:color w:val="auto"/>
          <w:szCs w:val="22"/>
          <w:lang w:eastAsia="zh-CN"/>
        </w:rPr>
        <w:t>蓬溪</w:t>
      </w:r>
      <w:r>
        <w:rPr>
          <w:rFonts w:hint="default" w:ascii="Times New Roman" w:hAnsi="Times New Roman" w:eastAsia="仿宋_GB2312" w:cs="Times New Roman"/>
          <w:color w:val="auto"/>
          <w:szCs w:val="22"/>
        </w:rPr>
        <w:t>县农村供水保障工程，积极推进农村供水工程规模化建设和升级改造，</w:t>
      </w:r>
      <w:r>
        <w:rPr>
          <w:rFonts w:hint="default" w:ascii="Times New Roman" w:hAnsi="Times New Roman" w:cs="Times New Roman"/>
          <w:color w:val="auto"/>
          <w:szCs w:val="22"/>
          <w:lang w:eastAsia="zh-CN"/>
        </w:rPr>
        <w:t>重点推进</w:t>
      </w:r>
      <w:r>
        <w:rPr>
          <w:rFonts w:hint="default" w:ascii="Times New Roman" w:hAnsi="Times New Roman" w:eastAsia="仿宋_GB2312" w:cs="Times New Roman"/>
          <w:color w:val="auto"/>
          <w:szCs w:val="22"/>
        </w:rPr>
        <w:t>蓬溪镇村供水一体化工程</w:t>
      </w:r>
      <w:r>
        <w:rPr>
          <w:rFonts w:hint="default" w:ascii="Times New Roman" w:hAnsi="Times New Roman" w:cs="Times New Roman"/>
          <w:color w:val="auto"/>
          <w:szCs w:val="22"/>
          <w:lang w:eastAsia="zh-CN"/>
        </w:rPr>
        <w:t>、蓬南自来水厂处理设施及管网建设改造；逐步</w:t>
      </w:r>
      <w:r>
        <w:rPr>
          <w:rFonts w:hint="default" w:ascii="Times New Roman" w:hAnsi="Times New Roman" w:eastAsia="仿宋_GB2312" w:cs="Times New Roman"/>
          <w:color w:val="auto"/>
          <w:szCs w:val="22"/>
        </w:rPr>
        <w:t>建立起“水量充足、水质优良、用水方便、保障程度高”的农村供水网络体系，定期开展农村饮用水水源水质27项指标监测，对规模化农村供水工程配套完善水质净化消毒设施设备，建设自动化监控系统，确保农村饮水水质满足《农村饮水安全评价准则》（T/CHES-2018）的规定。</w:t>
      </w:r>
    </w:p>
    <w:p w14:paraId="5B442CDA">
      <w:pPr>
        <w:pStyle w:val="4"/>
        <w:bidi w:val="0"/>
        <w:jc w:val="center"/>
        <w:rPr>
          <w:rFonts w:hint="default" w:ascii="Times New Roman" w:hAnsi="Times New Roman" w:cs="Times New Roman"/>
          <w:color w:val="auto"/>
          <w:lang w:val="en-US" w:eastAsia="zh-CN"/>
        </w:rPr>
      </w:pPr>
      <w:bookmarkStart w:id="36" w:name="_Toc30113"/>
      <w:r>
        <w:rPr>
          <w:rFonts w:hint="default" w:ascii="Times New Roman" w:hAnsi="Times New Roman" w:cs="Times New Roman"/>
          <w:color w:val="auto"/>
          <w:lang w:val="en-US" w:eastAsia="zh-CN"/>
        </w:rPr>
        <w:t>第二节 深化水环境综合治理</w:t>
      </w:r>
      <w:bookmarkEnd w:id="36"/>
    </w:p>
    <w:p w14:paraId="2273F2DA">
      <w:pPr>
        <w:ind w:firstLine="562"/>
        <w:rPr>
          <w:rFonts w:hint="default" w:ascii="Times New Roman" w:hAnsi="Times New Roman" w:cs="Times New Roman"/>
          <w:b w:val="0"/>
          <w:bCs w:val="0"/>
          <w:color w:val="auto"/>
        </w:rPr>
      </w:pPr>
      <w:r>
        <w:rPr>
          <w:rFonts w:hint="default" w:ascii="Times New Roman" w:hAnsi="Times New Roman" w:cs="Times New Roman"/>
          <w:b/>
          <w:bCs/>
          <w:color w:val="auto"/>
        </w:rPr>
        <w:t>深入开展入河排污口排查整治</w:t>
      </w:r>
      <w:r>
        <w:rPr>
          <w:rFonts w:hint="default" w:ascii="Times New Roman" w:hAnsi="Times New Roman" w:cs="Times New Roman"/>
          <w:b/>
          <w:bCs/>
          <w:color w:val="auto"/>
          <w:lang w:eastAsia="zh-CN"/>
        </w:rPr>
        <w:t>。</w:t>
      </w:r>
      <w:r>
        <w:rPr>
          <w:rFonts w:hint="default" w:ascii="Times New Roman" w:hAnsi="Times New Roman" w:cs="Times New Roman"/>
          <w:b w:val="0"/>
          <w:bCs w:val="0"/>
          <w:color w:val="auto"/>
          <w:lang w:eastAsia="zh-CN"/>
        </w:rPr>
        <w:t>依据《入河（湖、库）排污口排查整治技术规范》《入河排污口监督管理办法》的有关规定，按照“查、测、溯、治”工作要求</w:t>
      </w:r>
      <w:r>
        <w:rPr>
          <w:rFonts w:hint="default" w:ascii="Times New Roman" w:hAnsi="Times New Roman" w:cs="Times New Roman"/>
          <w:b w:val="0"/>
          <w:bCs w:val="0"/>
          <w:color w:val="auto"/>
        </w:rPr>
        <w:t>，持续推进入河排污口排查整治</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开展</w:t>
      </w:r>
      <w:r>
        <w:rPr>
          <w:rFonts w:hint="default" w:ascii="Times New Roman" w:hAnsi="Times New Roman" w:cs="Times New Roman"/>
          <w:b w:val="0"/>
          <w:bCs w:val="0"/>
          <w:color w:val="auto"/>
          <w:lang w:eastAsia="zh-CN"/>
        </w:rPr>
        <w:t>并完善</w:t>
      </w:r>
      <w:r>
        <w:rPr>
          <w:rFonts w:hint="default" w:ascii="Times New Roman" w:hAnsi="Times New Roman" w:cs="Times New Roman"/>
          <w:b w:val="0"/>
          <w:bCs w:val="0"/>
          <w:color w:val="auto"/>
        </w:rPr>
        <w:t>排污口普查及信息台账建设</w:t>
      </w:r>
      <w:r>
        <w:rPr>
          <w:rFonts w:hint="default" w:ascii="Times New Roman" w:hAnsi="Times New Roman" w:cs="Times New Roman"/>
          <w:b w:val="0"/>
          <w:bCs w:val="0"/>
          <w:color w:val="auto"/>
          <w:lang w:eastAsia="zh-CN"/>
        </w:rPr>
        <w:t>工作</w:t>
      </w:r>
      <w:r>
        <w:rPr>
          <w:rFonts w:hint="default" w:ascii="Times New Roman" w:hAnsi="Times New Roman" w:cs="Times New Roman"/>
          <w:b w:val="0"/>
          <w:bCs w:val="0"/>
          <w:color w:val="auto"/>
        </w:rPr>
        <w:t>，全面摸清入河排污口底数，实行入河排污总量控制</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实施规范化管理，形成权责清晰、监控到位、管理规范的入河排污口监管体系。制定实施入河排污口整治方案，统一规范排污口设置，实现规模以上企业入河排污口自动监测全覆盖。</w:t>
      </w:r>
    </w:p>
    <w:p w14:paraId="1CB966C9">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强化工业污染治理。</w:t>
      </w:r>
      <w:r>
        <w:rPr>
          <w:rFonts w:hint="default" w:ascii="Times New Roman" w:hAnsi="Times New Roman" w:cs="Times New Roman"/>
          <w:color w:val="auto"/>
          <w:lang w:val="en-US" w:eastAsia="zh-CN"/>
        </w:rPr>
        <w:t>加强金桥新区城市污水处理厂、经济开发区废水处理厂等污水处理厂运行监管，确保设施稳定运行，不断完善工业废水污水处理厂雨污管网，实施探伤、修复，保障出水水质稳定达标。推动企业清洁生产改造，确保单位产品基准排水量达标；增加工业污水中水回用配套设施建设，鼓励园区和企业中水回用。推进“污水零直排区”建设，制定相关行动方案，鼓励金桥新区开展试点示范建设。</w:t>
      </w:r>
    </w:p>
    <w:p w14:paraId="14F1A839">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强化流域水环境治理。</w:t>
      </w:r>
      <w:r>
        <w:rPr>
          <w:rFonts w:hint="default" w:ascii="Times New Roman" w:hAnsi="Times New Roman" w:cs="Times New Roman"/>
          <w:color w:val="auto"/>
          <w:lang w:val="en-US" w:eastAsia="zh-CN"/>
        </w:rPr>
        <w:t>差异化推进流域综合治理，</w:t>
      </w:r>
      <w:r>
        <w:rPr>
          <w:rFonts w:hint="default" w:ascii="Times New Roman" w:hAnsi="Times New Roman" w:cs="Times New Roman"/>
          <w:color w:val="auto"/>
        </w:rPr>
        <w:t>严控河流湖库周边开发建设，开展内源治理与生态修复工作，因地制宜开展河道垃圾清理、污染底泥清理</w:t>
      </w:r>
      <w:r>
        <w:rPr>
          <w:rFonts w:hint="default" w:ascii="Times New Roman" w:hAnsi="Times New Roman" w:cs="Times New Roman"/>
          <w:color w:val="auto"/>
          <w:lang w:eastAsia="zh-CN"/>
        </w:rPr>
        <w:t>修复</w:t>
      </w:r>
      <w:r>
        <w:rPr>
          <w:rFonts w:hint="default" w:ascii="Times New Roman" w:hAnsi="Times New Roman" w:cs="Times New Roman"/>
          <w:color w:val="auto"/>
        </w:rPr>
        <w:t>、生态拦截湿地建设、生态缓冲带和生态护坡建设工程等，确保水质稳中向好。</w:t>
      </w:r>
      <w:r>
        <w:rPr>
          <w:rFonts w:hint="default" w:ascii="Times New Roman" w:hAnsi="Times New Roman" w:cs="Times New Roman"/>
          <w:color w:val="auto"/>
          <w:lang w:val="en-US" w:eastAsia="zh-CN"/>
        </w:rPr>
        <w:t>芝溪河流域重点控制输入性污染，补齐城镇污水收集处理设施短板；荷叶溪流域重点补齐乡镇污水收集处理体系建设运营短板，东保河、中车河重点保护水源地水质，并逐步推进农业面源污染治理。</w:t>
      </w:r>
    </w:p>
    <w:p w14:paraId="10A505FC">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推进生活污染源整治。</w:t>
      </w:r>
      <w:r>
        <w:rPr>
          <w:rFonts w:hint="default" w:ascii="Times New Roman" w:hAnsi="Times New Roman" w:cs="Times New Roman"/>
          <w:color w:val="auto"/>
          <w:lang w:val="en-US" w:eastAsia="zh-CN"/>
        </w:rPr>
        <w:t>推进污水处理设施建设运维和提质增效。推进城市污水处理厂扩容工程，同步推进配套管网建设、探伤、修复，对现有合流制排水系统实施污水截流收集，雨污分流，实现城镇污水处理设施全面稳定达标排放。重点开展城中村、老旧城区和城乡结合部污水截流和收集纳管工作，推进槐花镇场镇升级改造、学苑路、广福路、蜀北路蓬板路连接段道路、仿古街片区等区域雨污改造。提升城市污水厂暴雨应急能力，在污水处理厂出水口建立人工生态湿地，巩固提升黑臭水体整治效果。</w:t>
      </w:r>
    </w:p>
    <w:p w14:paraId="45D02C46">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加强区域联防联控。</w:t>
      </w:r>
      <w:r>
        <w:rPr>
          <w:rFonts w:hint="default" w:ascii="Times New Roman" w:hAnsi="Times New Roman" w:cs="Times New Roman"/>
          <w:color w:val="auto"/>
          <w:lang w:val="en-US" w:eastAsia="zh-CN"/>
        </w:rPr>
        <w:t>完善流域水污染，深入推进跨界水体联防联治，建立健全涪江“上下游同步、左右岸协调、干支流协作、水陆域共治”联防联控机制，实现跨流域水体监测信息共建共享。协调配合流域上下游各级政府、各部门，建立以河长制为核心的联防联控机制，实施联合监测、联合执法、应急联动、信息共享，严格落实研判预警、拦污控污、信息通报、协同处置、纠纷调处、基础保障等工作，探索建立乡镇交接断面考核及补偿机制。</w:t>
      </w:r>
    </w:p>
    <w:p w14:paraId="155B1E1E">
      <w:pPr>
        <w:pStyle w:val="4"/>
        <w:bidi w:val="0"/>
        <w:jc w:val="center"/>
        <w:rPr>
          <w:rFonts w:hint="default" w:ascii="Times New Roman" w:hAnsi="Times New Roman" w:cs="Times New Roman"/>
          <w:color w:val="auto"/>
          <w:lang w:eastAsia="zh-CN"/>
        </w:rPr>
      </w:pPr>
      <w:bookmarkStart w:id="37" w:name="_Toc2194"/>
      <w:r>
        <w:rPr>
          <w:rFonts w:hint="default" w:ascii="Times New Roman" w:hAnsi="Times New Roman" w:cs="Times New Roman"/>
          <w:color w:val="auto"/>
          <w:lang w:eastAsia="zh-CN"/>
        </w:rPr>
        <w:t>第三节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大力推动水生态修复</w:t>
      </w:r>
      <w:bookmarkEnd w:id="37"/>
    </w:p>
    <w:p w14:paraId="611D8EDC">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加强水域空间保护。</w:t>
      </w:r>
      <w:r>
        <w:rPr>
          <w:rFonts w:hint="default" w:ascii="Times New Roman" w:hAnsi="Times New Roman" w:cs="Times New Roman"/>
          <w:color w:val="auto"/>
          <w:lang w:eastAsia="zh-CN"/>
        </w:rPr>
        <w:t>划定芝溪河、倒流溪、荷叶溪等主干河道管理线，加强河道保护治理。划定赤城湖水库、黑龙凼水库、白鹤林水库重要水源地水库管理线。保障水源保护区水质达标率达到100%，严格保护重要河道水质环境，确保重要重要江河湖泊自然岸线保有率不低于35%。水域面积不低于33.18平方公里。</w:t>
      </w:r>
    </w:p>
    <w:p w14:paraId="34610E14">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强化水生态保护与修复。</w:t>
      </w:r>
      <w:r>
        <w:rPr>
          <w:rFonts w:hint="default" w:ascii="Times New Roman" w:hAnsi="Times New Roman" w:cs="Times New Roman"/>
          <w:color w:val="auto"/>
          <w:lang w:eastAsia="zh-CN"/>
        </w:rPr>
        <w:t>持续推进河（湖）长制，加强芝溪河、荷叶溪水系生态廊道建设，维持生物多样性、保护河岸，调节小气候，提高河岸带景观多样性，恢复河湖岸线自然状态，系统打造水生态廊道。开展饮用水水源地保护区内水源涵养林建设，实施水源涵养、生态隔离与防护等措施，有条件的水源地实施封闭管理。强化生态流量保障，探索建立以水质改善为基础、统筹开发建设需求的水生态流量保障机制。因地制宜实施生态补水，结合利用人工或天然湿地提升水质净化厂出水，提高补水质量。</w:t>
      </w:r>
    </w:p>
    <w:p w14:paraId="7FB306EC">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严格水域管理。</w:t>
      </w:r>
      <w:r>
        <w:rPr>
          <w:rFonts w:hint="default" w:ascii="Times New Roman" w:hAnsi="Times New Roman" w:cs="Times New Roman"/>
          <w:color w:val="auto"/>
          <w:lang w:eastAsia="zh-CN"/>
        </w:rPr>
        <w:t>明确水域占补平衡原则建设项目占用水域的，应当符合水域保护规划和有关技术标准、技术规划，不得危害堤防安全、影响河势稳定、妨碍行洪畅通、损害生态环境，并应当根据被占用水域的面积、容积和功能，采取功能补救措施或者建设等效替代水域工程。严格遵循城市建成区改造和经济技术开发区、旅游度假区、特色小镇、工业园区等建设中调整水域的相关要求，严格执行河道管理办法，保障水域生态功能。</w:t>
      </w:r>
    </w:p>
    <w:p w14:paraId="6CF363D8">
      <w:pPr>
        <w:pStyle w:val="4"/>
        <w:bidi w:val="0"/>
        <w:jc w:val="center"/>
        <w:rPr>
          <w:rFonts w:hint="default" w:ascii="Times New Roman" w:hAnsi="Times New Roman" w:cs="Times New Roman"/>
          <w:color w:val="auto"/>
          <w:lang w:val="en-US" w:eastAsia="zh-CN"/>
        </w:rPr>
      </w:pPr>
      <w:bookmarkStart w:id="38" w:name="_Toc8348"/>
      <w:r>
        <w:rPr>
          <w:rFonts w:hint="default" w:ascii="Times New Roman" w:hAnsi="Times New Roman" w:cs="Times New Roman"/>
          <w:color w:val="auto"/>
          <w:lang w:eastAsia="zh-CN"/>
        </w:rPr>
        <w:t>第四节</w:t>
      </w:r>
      <w:r>
        <w:rPr>
          <w:rFonts w:hint="default" w:ascii="Times New Roman" w:hAnsi="Times New Roman" w:cs="Times New Roman"/>
          <w:color w:val="auto"/>
          <w:lang w:val="en-US" w:eastAsia="zh-CN"/>
        </w:rPr>
        <w:t xml:space="preserve"> 推进美丽河湖建设与保护</w:t>
      </w:r>
      <w:bookmarkEnd w:id="38"/>
    </w:p>
    <w:p w14:paraId="62C9DB6C">
      <w:pPr>
        <w:ind w:firstLine="64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加强重点河湖（库）生态环境保护治理。</w:t>
      </w:r>
      <w:r>
        <w:rPr>
          <w:rFonts w:hint="default" w:ascii="Times New Roman" w:hAnsi="Times New Roman" w:cs="Times New Roman"/>
          <w:color w:val="auto"/>
          <w:highlight w:val="none"/>
        </w:rPr>
        <w:t>以</w:t>
      </w:r>
      <w:r>
        <w:rPr>
          <w:rFonts w:hint="default" w:ascii="Times New Roman" w:hAnsi="Times New Roman" w:cs="Times New Roman"/>
          <w:color w:val="auto"/>
          <w:highlight w:val="none"/>
          <w:lang w:eastAsia="zh-CN"/>
        </w:rPr>
        <w:t>涪江水系</w:t>
      </w:r>
      <w:r>
        <w:rPr>
          <w:rFonts w:hint="default" w:ascii="Times New Roman" w:hAnsi="Times New Roman" w:cs="Times New Roman"/>
          <w:color w:val="auto"/>
          <w:highlight w:val="none"/>
        </w:rPr>
        <w:t>为重点加强河流湖泊生态环境保护和治理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优化自然河湖水系网络格局，控制沿江开发建设强度，提高区域水源涵养、水土保持、生物多样性等综合功能，推进美丽河湖建设</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坚持保护优先和自然恢复为主的方针，建设环湖库防护林带、生态隔离带，补齐基础设施短板，维护湖库和重要水源地的生态安全，进一步提升水土保持与水源涵养能力。优化流域配水调度，保护修复自然湿地，恢复水生生物多样性。严格落实美丽河湖建设要求，严格水生态空间管控，修复拓展河湖滨水生态空间，构建水网绿色生态廊道，提升河湖生态文化品质，全县河湖稳定实现“有河有水、有鱼有草”水清岸绿的健康水生态系统。</w:t>
      </w:r>
    </w:p>
    <w:p w14:paraId="39ED3241">
      <w:pPr>
        <w:rPr>
          <w:rFonts w:hint="default" w:ascii="Times New Roman" w:hAnsi="Times New Roman" w:cs="Times New Roman"/>
          <w:color w:val="auto"/>
          <w:lang w:eastAsia="zh-CN"/>
        </w:rPr>
      </w:pPr>
      <w:r>
        <w:rPr>
          <w:rFonts w:hint="default" w:ascii="Times New Roman" w:hAnsi="Times New Roman" w:cs="Times New Roman"/>
          <w:color w:val="auto"/>
          <w:highlight w:val="none"/>
        </w:rPr>
        <w:br w:type="page"/>
      </w:r>
    </w:p>
    <w:p w14:paraId="78CECE08">
      <w:pPr>
        <w:pStyle w:val="3"/>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lang w:eastAsia="zh-CN"/>
        </w:rPr>
      </w:pPr>
      <w:bookmarkStart w:id="39" w:name="_Toc12635"/>
      <w:r>
        <w:rPr>
          <w:rFonts w:hint="default" w:ascii="Times New Roman" w:hAnsi="Times New Roman" w:cs="Times New Roman"/>
          <w:color w:val="auto"/>
          <w:lang w:eastAsia="zh-CN"/>
        </w:rPr>
        <w:t>第七章</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协同防治土壤和地下水污染</w:t>
      </w:r>
      <w:bookmarkEnd w:id="39"/>
    </w:p>
    <w:p w14:paraId="7DB157C8">
      <w:pPr>
        <w:pStyle w:val="4"/>
        <w:keepNext/>
        <w:keepLines/>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lang w:val="en-US" w:eastAsia="zh-CN"/>
        </w:rPr>
      </w:pPr>
      <w:bookmarkStart w:id="40" w:name="_Toc21049"/>
      <w:r>
        <w:rPr>
          <w:rFonts w:hint="default" w:ascii="Times New Roman" w:hAnsi="Times New Roman" w:cs="Times New Roman"/>
          <w:color w:val="auto"/>
          <w:lang w:val="en-US" w:eastAsia="zh-CN"/>
        </w:rPr>
        <w:t>第一节 推进农用地安全利用</w:t>
      </w:r>
      <w:bookmarkEnd w:id="40"/>
    </w:p>
    <w:p w14:paraId="3EB6ABF3">
      <w:pPr>
        <w:ind w:firstLine="562"/>
        <w:rPr>
          <w:rFonts w:hint="default" w:ascii="Times New Roman" w:hAnsi="Times New Roman" w:cs="Times New Roman"/>
          <w:color w:val="auto"/>
          <w:lang w:eastAsia="zh-CN"/>
        </w:rPr>
      </w:pPr>
      <w:r>
        <w:rPr>
          <w:rFonts w:hint="default" w:ascii="Times New Roman" w:hAnsi="Times New Roman" w:cs="Times New Roman"/>
          <w:b/>
          <w:bCs/>
          <w:color w:val="auto"/>
        </w:rPr>
        <w:t>强化污染源头预防，推进农用地分类分级管理。</w:t>
      </w:r>
      <w:r>
        <w:rPr>
          <w:rFonts w:hint="default" w:ascii="Times New Roman" w:hAnsi="Times New Roman" w:cs="Times New Roman"/>
          <w:color w:val="auto"/>
        </w:rPr>
        <w:t>加强耕地土壤环境质量分类管控，</w:t>
      </w:r>
      <w:r>
        <w:rPr>
          <w:rFonts w:hint="default" w:ascii="Times New Roman" w:hAnsi="Times New Roman" w:cs="Times New Roman"/>
          <w:color w:val="auto"/>
          <w:lang w:eastAsia="zh-CN"/>
        </w:rPr>
        <w:t>严格</w:t>
      </w:r>
      <w:r>
        <w:rPr>
          <w:rFonts w:hint="default" w:ascii="Times New Roman" w:hAnsi="Times New Roman" w:cs="Times New Roman"/>
          <w:color w:val="auto"/>
        </w:rPr>
        <w:t>落实分类管控措施。加强受污染耕地周边重点污染源日常监管，切断污染物进入农田的链条。建立动态更新机制，依据未来</w:t>
      </w:r>
      <w:r>
        <w:rPr>
          <w:rFonts w:hint="default" w:ascii="Times New Roman" w:hAnsi="Times New Roman" w:cs="Times New Roman"/>
          <w:color w:val="auto"/>
          <w:szCs w:val="28"/>
        </w:rPr>
        <w:t>土地用途变更、</w:t>
      </w:r>
      <w:r>
        <w:rPr>
          <w:rFonts w:hint="default" w:ascii="Times New Roman" w:hAnsi="Times New Roman" w:cs="Times New Roman"/>
          <w:color w:val="auto"/>
          <w:szCs w:val="28"/>
          <w:lang w:eastAsia="zh-CN"/>
        </w:rPr>
        <w:t>土</w:t>
      </w:r>
      <w:r>
        <w:rPr>
          <w:rFonts w:hint="default" w:ascii="Times New Roman" w:hAnsi="Times New Roman" w:cs="Times New Roman"/>
          <w:color w:val="auto"/>
          <w:szCs w:val="28"/>
        </w:rPr>
        <w:t>壤环境监测结果等，</w:t>
      </w:r>
      <w:r>
        <w:rPr>
          <w:rFonts w:hint="default" w:ascii="Times New Roman" w:hAnsi="Times New Roman" w:cs="Times New Roman"/>
          <w:color w:val="auto"/>
          <w:szCs w:val="28"/>
          <w:lang w:eastAsia="zh-CN"/>
        </w:rPr>
        <w:t>推进</w:t>
      </w:r>
      <w:r>
        <w:rPr>
          <w:rFonts w:hint="default" w:ascii="Times New Roman" w:hAnsi="Times New Roman" w:cs="Times New Roman"/>
          <w:color w:val="auto"/>
          <w:szCs w:val="28"/>
        </w:rPr>
        <w:t>耕地土壤环境质量类别</w:t>
      </w:r>
      <w:r>
        <w:rPr>
          <w:rFonts w:hint="default" w:ascii="Times New Roman" w:hAnsi="Times New Roman" w:cs="Times New Roman"/>
          <w:color w:val="auto"/>
          <w:szCs w:val="28"/>
          <w:lang w:eastAsia="zh-CN"/>
        </w:rPr>
        <w:t>划分</w:t>
      </w:r>
      <w:r>
        <w:rPr>
          <w:rFonts w:hint="default" w:ascii="Times New Roman" w:hAnsi="Times New Roman" w:cs="Times New Roman"/>
          <w:color w:val="auto"/>
          <w:szCs w:val="28"/>
        </w:rPr>
        <w:t>，</w:t>
      </w:r>
      <w:r>
        <w:rPr>
          <w:rFonts w:hint="default" w:ascii="Times New Roman" w:hAnsi="Times New Roman" w:cs="Times New Roman"/>
          <w:color w:val="auto"/>
          <w:szCs w:val="28"/>
          <w:lang w:eastAsia="zh-CN"/>
        </w:rPr>
        <w:t>并</w:t>
      </w:r>
      <w:r>
        <w:rPr>
          <w:rFonts w:hint="default" w:ascii="Times New Roman" w:hAnsi="Times New Roman" w:cs="Times New Roman"/>
          <w:color w:val="auto"/>
          <w:szCs w:val="28"/>
        </w:rPr>
        <w:t>对全县各类别耕地的面积、分布位置等信息及时进行更新。</w:t>
      </w:r>
      <w:r>
        <w:rPr>
          <w:rFonts w:hint="default" w:ascii="Times New Roman" w:hAnsi="Times New Roman" w:cs="Times New Roman"/>
          <w:color w:val="auto"/>
        </w:rPr>
        <w:t>加强耕地优先保护类土壤的预防与保护，将符合条件的优先保护类耕地划为永久基本农田，实行严格保护。强化受污染耕地安全利用管理，严格落实受污染耕地安全利用方案，加强跟踪监测与效果评估，逐步建立受污染耕地风险管控技术体系。明确责任与义务，加强对未利用地、复垦土地土壤风险管控</w:t>
      </w:r>
      <w:r>
        <w:rPr>
          <w:rFonts w:hint="default" w:ascii="Times New Roman" w:hAnsi="Times New Roman" w:cs="Times New Roman"/>
          <w:color w:val="auto"/>
          <w:lang w:eastAsia="zh-CN"/>
        </w:rPr>
        <w:t>，采取调整种植结构、退耕还林还草、退耕还湿、轮作休耕、轮牧休牧等风险管控措施。</w:t>
      </w:r>
    </w:p>
    <w:p w14:paraId="3D514232">
      <w:pPr>
        <w:ind w:firstLine="562"/>
        <w:rPr>
          <w:rFonts w:hint="default" w:ascii="Times New Roman" w:hAnsi="Times New Roman" w:cs="Times New Roman"/>
          <w:color w:val="auto"/>
          <w:lang w:val="en-US" w:eastAsia="zh-CN"/>
        </w:rPr>
      </w:pPr>
      <w:r>
        <w:rPr>
          <w:rFonts w:hint="default" w:ascii="Times New Roman" w:hAnsi="Times New Roman" w:cs="Times New Roman"/>
          <w:b/>
          <w:bCs/>
          <w:color w:val="auto"/>
        </w:rPr>
        <w:t>深入推进农用地土壤污染治理与修复。</w:t>
      </w:r>
      <w:r>
        <w:rPr>
          <w:rFonts w:hint="default" w:ascii="Times New Roman" w:hAnsi="Times New Roman" w:cs="Times New Roman"/>
          <w:color w:val="auto"/>
        </w:rPr>
        <w:t>对耕地超标的工矿企业周边、农产品（蔬菜、粮食）种植等重点区域进一步详查，完成疑似污染地块初步调查、污染地块的详查和风险评估，有序推进生态复垦。</w:t>
      </w:r>
      <w:r>
        <w:rPr>
          <w:rFonts w:hint="default" w:ascii="Times New Roman" w:hAnsi="Times New Roman" w:cs="Times New Roman"/>
          <w:color w:val="auto"/>
          <w:lang w:eastAsia="zh-CN"/>
        </w:rPr>
        <w:t>到</w:t>
      </w:r>
      <w:r>
        <w:rPr>
          <w:rFonts w:hint="default" w:ascii="Times New Roman" w:hAnsi="Times New Roman" w:cs="Times New Roman"/>
          <w:color w:val="auto"/>
          <w:lang w:val="en-US" w:eastAsia="zh-CN"/>
        </w:rPr>
        <w:t>2025年，受污染耕地安全利用率达98%以上。</w:t>
      </w:r>
    </w:p>
    <w:p w14:paraId="422B40ED">
      <w:pPr>
        <w:pStyle w:val="4"/>
        <w:numPr>
          <w:ilvl w:val="0"/>
          <w:numId w:val="0"/>
        </w:numPr>
        <w:bidi w:val="0"/>
        <w:jc w:val="center"/>
        <w:rPr>
          <w:rFonts w:hint="default" w:ascii="Times New Roman" w:hAnsi="Times New Roman" w:cs="Times New Roman"/>
          <w:color w:val="auto"/>
          <w:lang w:val="en-US" w:eastAsia="zh-CN"/>
        </w:rPr>
      </w:pPr>
      <w:bookmarkStart w:id="41" w:name="_Toc7481"/>
      <w:r>
        <w:rPr>
          <w:rFonts w:hint="default" w:ascii="Times New Roman" w:hAnsi="Times New Roman" w:cs="Times New Roman"/>
          <w:color w:val="auto"/>
          <w:lang w:val="en-US" w:eastAsia="zh-CN"/>
        </w:rPr>
        <w:t>第二节 加强建设用地治理修复</w:t>
      </w:r>
      <w:bookmarkEnd w:id="41"/>
    </w:p>
    <w:p w14:paraId="44EFD0EC">
      <w:pPr>
        <w:bidi w:val="0"/>
        <w:rPr>
          <w:rFonts w:hint="default" w:ascii="Times New Roman" w:hAnsi="Times New Roman" w:cs="Times New Roman"/>
          <w:color w:val="auto"/>
          <w:lang w:val="en-US" w:eastAsia="zh-CN"/>
        </w:rPr>
      </w:pPr>
      <w:r>
        <w:rPr>
          <w:rFonts w:hint="default" w:ascii="Times New Roman" w:hAnsi="Times New Roman" w:cs="Times New Roman"/>
          <w:b/>
          <w:bCs/>
          <w:color w:val="auto"/>
        </w:rPr>
        <w:t>加强在产企业污染预防管理。</w:t>
      </w:r>
      <w:r>
        <w:rPr>
          <w:rFonts w:hint="default" w:ascii="Times New Roman" w:hAnsi="Times New Roman" w:cs="Times New Roman"/>
          <w:color w:val="auto"/>
          <w:highlight w:val="none"/>
        </w:rPr>
        <w:t>结合重点行业企业用地详查成果，完善土壤污染重点监管单位名录，探索建立地下水重点污染源清单，落实重点监管单位主体责任，定期开展土壤污染重点监管单位周边土壤环境监测，土壤污染重点监管单位排污许可证应当全部载明土壤污染防治义务。土壤污染重点监管单位每三年对生产区、原材料及固体废物堆存区、储放区和转运区等区域，以及地下储罐、运输管线、污染处理处置等设施，开展土壤污染隐患排查，对存在污染隐患的区域，制定实施具体整改方案。鼓励土壤污染重点监管单位实施防渗漏改造，因地制宜实施管道化、密闭化改造。</w:t>
      </w:r>
    </w:p>
    <w:p w14:paraId="34636B24">
      <w:pPr>
        <w:ind w:firstLine="562"/>
        <w:rPr>
          <w:rFonts w:hint="default" w:ascii="Times New Roman" w:hAnsi="Times New Roman" w:cs="Times New Roman"/>
          <w:color w:val="auto"/>
          <w:lang w:val="en-US" w:eastAsia="zh-CN"/>
        </w:rPr>
      </w:pPr>
      <w:r>
        <w:rPr>
          <w:rFonts w:hint="default" w:ascii="Times New Roman" w:hAnsi="Times New Roman" w:cs="Times New Roman"/>
          <w:b/>
          <w:bCs/>
          <w:color w:val="auto"/>
        </w:rPr>
        <w:t>有序开展污染地块治理和修复。</w:t>
      </w:r>
      <w:r>
        <w:rPr>
          <w:rFonts w:hint="default" w:ascii="Times New Roman" w:hAnsi="Times New Roman" w:cs="Times New Roman"/>
          <w:color w:val="auto"/>
        </w:rPr>
        <w:t>对曾用于生产、使用、贮存、回收、处置有毒有害物质，曾用于固体废物堆放、填埋，曾发生过重大、特大污染事故等建设用地地块进行调查评估</w:t>
      </w:r>
      <w:r>
        <w:rPr>
          <w:rFonts w:hint="default" w:ascii="Times New Roman" w:hAnsi="Times New Roman" w:cs="Times New Roman"/>
          <w:color w:val="auto"/>
          <w:lang w:eastAsia="zh-CN"/>
        </w:rPr>
        <w:t>，</w:t>
      </w:r>
      <w:r>
        <w:rPr>
          <w:rFonts w:hint="default" w:ascii="Times New Roman" w:hAnsi="Times New Roman" w:cs="Times New Roman"/>
          <w:color w:val="auto"/>
        </w:rPr>
        <w:t>制定污染地块修复方案，积极开展污染地块修复。用途变更为住宅、公共管理与公共服务用地的，应先开展土壤污染调查。鼓励工业污染地块采用环境修复+开发建设模式，推动污染场地精准治理修复。对关闭搬迁企业场地、工业废弃物堆渣场、危险化学品堆储场等场地实施场地调查评估，针对暂不开发利用的污染场地，采取措施防止污染扩散，针对拟开发利用的污染场地治理修复和安全利用。</w:t>
      </w:r>
      <w:r>
        <w:rPr>
          <w:rFonts w:hint="default" w:ascii="Times New Roman" w:hAnsi="Times New Roman" w:cs="Times New Roman"/>
          <w:color w:val="auto"/>
          <w:lang w:eastAsia="zh-CN"/>
        </w:rPr>
        <w:t>到</w:t>
      </w:r>
      <w:r>
        <w:rPr>
          <w:rFonts w:hint="default" w:ascii="Times New Roman" w:hAnsi="Times New Roman" w:cs="Times New Roman"/>
          <w:color w:val="auto"/>
          <w:lang w:val="en-US" w:eastAsia="zh-CN"/>
        </w:rPr>
        <w:t>2025年，污染地块安全利用率达100%。</w:t>
      </w:r>
    </w:p>
    <w:p w14:paraId="26020B12">
      <w:pPr>
        <w:ind w:firstLine="562"/>
        <w:rPr>
          <w:rFonts w:hint="default" w:ascii="Times New Roman" w:hAnsi="Times New Roman" w:cs="Times New Roman"/>
          <w:color w:val="auto"/>
          <w:lang w:val="en-US" w:eastAsia="zh-CN"/>
        </w:rPr>
      </w:pPr>
      <w:r>
        <w:rPr>
          <w:rFonts w:hint="default" w:ascii="Times New Roman" w:hAnsi="Times New Roman" w:cs="Times New Roman"/>
          <w:b/>
          <w:bCs/>
          <w:color w:val="auto"/>
        </w:rPr>
        <w:t>强化重污染区域修复与治理</w:t>
      </w:r>
      <w:r>
        <w:rPr>
          <w:rFonts w:hint="default" w:ascii="Times New Roman" w:hAnsi="Times New Roman" w:cs="Times New Roman"/>
          <w:color w:val="auto"/>
          <w:lang w:eastAsia="zh-CN"/>
        </w:rPr>
        <w:t>。</w:t>
      </w:r>
      <w:r>
        <w:rPr>
          <w:rFonts w:hint="default" w:ascii="Times New Roman" w:hAnsi="Times New Roman" w:cs="Times New Roman"/>
          <w:color w:val="auto"/>
        </w:rPr>
        <w:t>实施垃圾填埋场地块修复治理工程，对已封场的垃圾填埋场和垃圾堆场进行生态修复、改造。组织开展</w:t>
      </w:r>
      <w:r>
        <w:rPr>
          <w:rFonts w:hint="default" w:ascii="Times New Roman" w:hAnsi="Times New Roman" w:cs="Times New Roman"/>
          <w:color w:val="auto"/>
          <w:lang w:eastAsia="zh-CN"/>
        </w:rPr>
        <w:t>蓬溪</w:t>
      </w:r>
      <w:r>
        <w:rPr>
          <w:rFonts w:hint="default" w:ascii="Times New Roman" w:hAnsi="Times New Roman" w:cs="Times New Roman"/>
          <w:color w:val="auto"/>
        </w:rPr>
        <w:t>县垃圾填埋场土壤污染现状调研，编制并实施垃圾填埋场土壤修复治理方案，保证污染地块后期得到安全利用。推进矿山污染综合防治及风险管控。开展矿山土壤环境调查工作，划分矿山风险管控重点区，探索构建“政府主导、政策扶持、社会参与、开放式治理、市场化运作”的矿山治理修复新模式，开展典型矿区治理修复试点示范。实行矿山地质环境监测、预报、预警报告制度，加强矿产资源集中开发区和生态脆弱地区的矿山地质环境监测。</w:t>
      </w:r>
    </w:p>
    <w:p w14:paraId="04CC9710">
      <w:pPr>
        <w:pStyle w:val="4"/>
        <w:keepNext/>
        <w:keepLines/>
        <w:pageBreakBefore w:val="0"/>
        <w:widowControl w:val="0"/>
        <w:numPr>
          <w:ilvl w:val="0"/>
          <w:numId w:val="0"/>
        </w:numPr>
        <w:kinsoku/>
        <w:wordWrap/>
        <w:overflowPunct/>
        <w:topLinePunct w:val="0"/>
        <w:autoSpaceDE/>
        <w:autoSpaceDN/>
        <w:bidi w:val="0"/>
        <w:adjustRightInd w:val="0"/>
        <w:snapToGrid w:val="0"/>
        <w:spacing w:line="416" w:lineRule="auto"/>
        <w:ind w:left="1123" w:leftChars="0"/>
        <w:jc w:val="center"/>
        <w:textAlignment w:val="auto"/>
        <w:rPr>
          <w:rFonts w:hint="default" w:ascii="Times New Roman" w:hAnsi="Times New Roman" w:cs="Times New Roman"/>
          <w:color w:val="auto"/>
          <w:lang w:val="en-US" w:eastAsia="zh-CN"/>
        </w:rPr>
      </w:pPr>
      <w:bookmarkStart w:id="42" w:name="_Toc32413"/>
      <w:r>
        <w:rPr>
          <w:rFonts w:hint="default" w:ascii="Times New Roman" w:hAnsi="Times New Roman" w:cs="Times New Roman"/>
          <w:color w:val="auto"/>
          <w:lang w:val="en-US" w:eastAsia="zh-CN"/>
        </w:rPr>
        <w:t>第三节 强化地下水监管与整治</w:t>
      </w:r>
      <w:bookmarkEnd w:id="42"/>
    </w:p>
    <w:p w14:paraId="33ED031A">
      <w:pPr>
        <w:ind w:firstLine="562"/>
        <w:rPr>
          <w:rFonts w:hint="default" w:ascii="Times New Roman" w:hAnsi="Times New Roman" w:cs="Times New Roman"/>
          <w:b/>
          <w:bCs/>
          <w:color w:val="auto"/>
        </w:rPr>
      </w:pPr>
      <w:r>
        <w:rPr>
          <w:rFonts w:hint="default" w:ascii="Times New Roman" w:hAnsi="Times New Roman" w:cs="Times New Roman"/>
          <w:b/>
          <w:bCs/>
          <w:color w:val="auto"/>
          <w:highlight w:val="none"/>
        </w:rPr>
        <w:t>开展地下水环境状况调查评估。</w:t>
      </w:r>
      <w:r>
        <w:rPr>
          <w:rFonts w:hint="default" w:ascii="Times New Roman" w:hAnsi="Times New Roman" w:cs="Times New Roman"/>
          <w:color w:val="auto"/>
          <w:highlight w:val="none"/>
        </w:rPr>
        <w:t>对沿河湖垃圾填埋场、加油站、危险废物处置场、化工园区和化工项目等地下水重点污染源及周边地下水环境风险隐患开展调查评估。围绕集中式地下水型饮用水水源和地下水污染源布设地下水环境监测点位，初步摸清地下水污染分布及环境风险情况。</w:t>
      </w:r>
      <w:r>
        <w:rPr>
          <w:rFonts w:hint="default" w:ascii="Times New Roman" w:hAnsi="Times New Roman" w:cs="Times New Roman"/>
          <w:color w:val="auto"/>
        </w:rPr>
        <w:t>整合建设项目环评要求设置的地下水污染跟踪监测井、地下水型饮用水源开采井、地下水基础环境状况调查评估监测井，加强现有地下水环境监测井的运行维护和管理，完善地下水监测数据报送制度，建设地下水环境监测信息平台和监控预警系统。按照“大网络、大系统、大数据”的建设思路，积极推进地下水环境监测数据共享共用。</w:t>
      </w:r>
    </w:p>
    <w:p w14:paraId="0685D1D2">
      <w:pPr>
        <w:bidi w:val="0"/>
        <w:rPr>
          <w:rFonts w:hint="default" w:ascii="Times New Roman" w:hAnsi="Times New Roman" w:cs="Times New Roman"/>
          <w:b/>
          <w:bCs/>
          <w:color w:val="auto"/>
        </w:rPr>
      </w:pPr>
      <w:r>
        <w:rPr>
          <w:rFonts w:hint="default" w:ascii="Times New Roman" w:hAnsi="Times New Roman" w:cs="Times New Roman"/>
          <w:b/>
          <w:bCs/>
          <w:color w:val="auto"/>
        </w:rPr>
        <w:t>加强地下水水源环境保护。</w:t>
      </w:r>
      <w:r>
        <w:rPr>
          <w:rFonts w:hint="default" w:ascii="Times New Roman" w:hAnsi="Times New Roman" w:cs="Times New Roman"/>
          <w:color w:val="auto"/>
        </w:rPr>
        <w:t>开展集中式地下水型饮用水源环境现状调查，掌握集中式地下水型饮用水源补给、径流、排泄等基础特征以及周边污染源分布情况，并对其污染趋势和健康风险进行评估。针对地质因素和人为污染造成水质超标的地下水饮用水源，采取水源更换、集中供水、污染治理等措施确保饮用水安全。</w:t>
      </w:r>
    </w:p>
    <w:p w14:paraId="682F27D0">
      <w:pPr>
        <w:pStyle w:val="2"/>
        <w:ind w:firstLine="562"/>
        <w:rPr>
          <w:rFonts w:hint="default" w:ascii="Times New Roman" w:hAnsi="Times New Roman" w:cs="Times New Roman"/>
          <w:color w:val="auto"/>
        </w:rPr>
      </w:pPr>
      <w:r>
        <w:rPr>
          <w:rFonts w:hint="default" w:ascii="Times New Roman" w:hAnsi="Times New Roman" w:cs="Times New Roman"/>
          <w:b/>
          <w:bCs/>
          <w:color w:val="auto"/>
        </w:rPr>
        <w:t>加强地下水污染协同防治</w:t>
      </w:r>
      <w:r>
        <w:rPr>
          <w:rFonts w:hint="default" w:ascii="Times New Roman" w:hAnsi="Times New Roman" w:cs="Times New Roman"/>
          <w:color w:val="auto"/>
        </w:rPr>
        <w:t>。推进重点区域地下水保护与超采治理，重视地表水、地下水污染协同防治。加快城镇污水管网更新改造，完善管网收集系统，减少管网渗漏；统筹规划农业灌溉取水水源，避免在土壤渗透性强、地下水位高、地下水露头区进行再生水灌溉。推广测土配方施肥技术，降低农业面源污染对地下水影响。加强区域与场地地下水污染协同防治。全面开展地下水污染分区防治，提出地下水污染分区防治措施，实施地下水污染源分类监管。完善工业园区水、气、土协同预警体系建设。</w:t>
      </w:r>
    </w:p>
    <w:p w14:paraId="457DDE8F">
      <w:pPr>
        <w:rPr>
          <w:rFonts w:hint="default" w:ascii="Times New Roman" w:hAnsi="Times New Roman" w:cs="Times New Roman"/>
          <w:color w:val="auto"/>
        </w:rPr>
      </w:pPr>
      <w:r>
        <w:rPr>
          <w:rFonts w:hint="default" w:ascii="Times New Roman" w:hAnsi="Times New Roman" w:cs="Times New Roman"/>
          <w:color w:val="auto"/>
        </w:rPr>
        <w:br w:type="page"/>
      </w:r>
    </w:p>
    <w:p w14:paraId="2F6B2940">
      <w:pPr>
        <w:rPr>
          <w:rFonts w:hint="default" w:ascii="Times New Roman" w:hAnsi="Times New Roman" w:cs="Times New Roman"/>
          <w:color w:val="auto"/>
        </w:rPr>
      </w:pPr>
    </w:p>
    <w:p w14:paraId="67E132CE">
      <w:pPr>
        <w:pStyle w:val="3"/>
        <w:keepNext/>
        <w:keepLines/>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lang w:eastAsia="zh-CN"/>
        </w:rPr>
      </w:pPr>
      <w:bookmarkStart w:id="43" w:name="_Toc29106"/>
      <w:r>
        <w:rPr>
          <w:rFonts w:hint="default" w:ascii="Times New Roman" w:hAnsi="Times New Roman" w:cs="Times New Roman"/>
          <w:color w:val="auto"/>
          <w:lang w:eastAsia="zh-CN"/>
        </w:rPr>
        <w:t>第八章</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推进农村环境整治，提升生态宜居水平</w:t>
      </w:r>
      <w:bookmarkEnd w:id="43"/>
    </w:p>
    <w:p w14:paraId="10003CB9">
      <w:pPr>
        <w:pStyle w:val="4"/>
        <w:keepNext/>
        <w:keepLines/>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lang w:val="en-US" w:eastAsia="zh-CN"/>
        </w:rPr>
      </w:pPr>
      <w:bookmarkStart w:id="44" w:name="_Toc30559"/>
      <w:r>
        <w:rPr>
          <w:rFonts w:hint="default" w:ascii="Times New Roman" w:hAnsi="Times New Roman" w:cs="Times New Roman"/>
          <w:color w:val="auto"/>
          <w:lang w:val="en-US" w:eastAsia="zh-CN"/>
        </w:rPr>
        <w:t>第一节 强化农村污染综合治理</w:t>
      </w:r>
      <w:bookmarkEnd w:id="44"/>
    </w:p>
    <w:p w14:paraId="5320631D">
      <w:pPr>
        <w:bidi w:val="0"/>
        <w:rPr>
          <w:rFonts w:hint="default" w:ascii="Times New Roman" w:hAnsi="Times New Roman" w:eastAsia="仿宋_GB2312" w:cs="Times New Roman"/>
          <w:color w:val="auto"/>
          <w:lang w:val="en-US" w:eastAsia="zh-CN"/>
        </w:rPr>
      </w:pPr>
      <w:r>
        <w:rPr>
          <w:rFonts w:hint="default" w:ascii="Times New Roman" w:hAnsi="Times New Roman" w:cs="Times New Roman"/>
          <w:b/>
          <w:bCs/>
          <w:color w:val="auto"/>
        </w:rPr>
        <w:t>扎实做好农村污水治理</w:t>
      </w:r>
      <w:r>
        <w:rPr>
          <w:rFonts w:hint="default" w:ascii="Times New Roman" w:hAnsi="Times New Roman" w:cs="Times New Roman"/>
          <w:b/>
          <w:bCs/>
          <w:color w:val="auto"/>
          <w:highlight w:val="none"/>
        </w:rPr>
        <w:t>。</w:t>
      </w:r>
      <w:r>
        <w:rPr>
          <w:rFonts w:hint="default" w:ascii="Times New Roman" w:hAnsi="Times New Roman" w:cs="Times New Roman"/>
          <w:color w:val="auto"/>
        </w:rPr>
        <w:t>持续推进农村“厕所革命”</w:t>
      </w:r>
      <w:r>
        <w:rPr>
          <w:rFonts w:hint="default" w:ascii="Times New Roman" w:hAnsi="Times New Roman" w:cs="Times New Roman"/>
          <w:color w:val="auto"/>
          <w:highlight w:val="none"/>
        </w:rPr>
        <w:t>，</w:t>
      </w:r>
      <w:r>
        <w:rPr>
          <w:rFonts w:hint="default" w:ascii="Times New Roman" w:hAnsi="Times New Roman" w:cs="Times New Roman"/>
          <w:color w:val="auto"/>
        </w:rPr>
        <w:t>强化改厕质量，杜绝改厕质量“反弹回潮”，完成</w:t>
      </w:r>
      <w:r>
        <w:rPr>
          <w:rFonts w:hint="default" w:ascii="Times New Roman" w:hAnsi="Times New Roman" w:cs="Times New Roman"/>
          <w:color w:val="auto"/>
          <w:lang w:val="en-US" w:eastAsia="zh-CN"/>
        </w:rPr>
        <w:t>4.35</w:t>
      </w:r>
      <w:r>
        <w:rPr>
          <w:rFonts w:hint="default" w:ascii="Times New Roman" w:hAnsi="Times New Roman" w:cs="Times New Roman"/>
          <w:color w:val="auto"/>
        </w:rPr>
        <w:t>万户户用无害化卫生厕所改造；积极推进厕所粪污综合处理，推行粪污还田。推动行政村乡村公共厕所配套建设，加强改厕的运营维护。统筹做好生活污水治理与改厕的衔接工作，梯次推进农村生活污水治理，优先解决乡镇所在地和中心村生活污水问题科学规划、统筹开展农村生活污水治理，</w:t>
      </w:r>
      <w:r>
        <w:rPr>
          <w:rFonts w:hint="default" w:ascii="Times New Roman" w:hAnsi="Times New Roman" w:cs="Times New Roman"/>
          <w:color w:val="auto"/>
          <w:lang w:eastAsia="zh-CN"/>
        </w:rPr>
        <w:t>完成污水设施、污水收集管网建设。持续</w:t>
      </w:r>
      <w:r>
        <w:rPr>
          <w:rFonts w:hint="default" w:ascii="Times New Roman" w:hAnsi="Times New Roman" w:cs="Times New Roman"/>
          <w:color w:val="auto"/>
        </w:rPr>
        <w:t>推进农村黑臭水体治理</w:t>
      </w:r>
      <w:r>
        <w:rPr>
          <w:rFonts w:hint="default" w:ascii="Times New Roman" w:hAnsi="Times New Roman" w:cs="Times New Roman"/>
          <w:color w:val="auto"/>
          <w:lang w:eastAsia="zh-CN"/>
        </w:rPr>
        <w:t>，</w:t>
      </w:r>
      <w:r>
        <w:rPr>
          <w:rFonts w:hint="default" w:ascii="Times New Roman" w:hAnsi="Times New Roman" w:cs="Times New Roman"/>
          <w:color w:val="auto"/>
        </w:rPr>
        <w:t>建立农村生活污水治理长效机制。</w:t>
      </w:r>
    </w:p>
    <w:p w14:paraId="7FDB6EBB">
      <w:pPr>
        <w:bidi w:val="0"/>
        <w:rPr>
          <w:rFonts w:hint="default" w:ascii="Times New Roman" w:hAnsi="Times New Roman" w:eastAsia="仿宋_GB2312" w:cs="Times New Roman"/>
          <w:color w:val="auto"/>
          <w:lang w:val="en-US" w:eastAsia="zh-CN"/>
        </w:rPr>
      </w:pPr>
      <w:r>
        <w:rPr>
          <w:rFonts w:hint="default" w:ascii="Times New Roman" w:hAnsi="Times New Roman" w:cs="Times New Roman"/>
          <w:b/>
          <w:bCs/>
          <w:color w:val="auto"/>
        </w:rPr>
        <w:t>全面推进农村垃圾治理</w:t>
      </w:r>
      <w:r>
        <w:rPr>
          <w:rFonts w:hint="default" w:ascii="Times New Roman" w:hAnsi="Times New Roman" w:cs="Times New Roman"/>
          <w:b/>
          <w:bCs/>
          <w:color w:val="auto"/>
          <w:highlight w:val="none"/>
        </w:rPr>
        <w:t>。</w:t>
      </w:r>
      <w:r>
        <w:rPr>
          <w:rFonts w:hint="default" w:ascii="Times New Roman" w:hAnsi="Times New Roman" w:cs="Times New Roman"/>
          <w:color w:val="auto"/>
          <w:highlight w:val="none"/>
        </w:rPr>
        <w:t>推</w:t>
      </w:r>
      <w:r>
        <w:rPr>
          <w:rFonts w:hint="default" w:ascii="Times New Roman" w:hAnsi="Times New Roman" w:cs="Times New Roman"/>
          <w:color w:val="auto"/>
        </w:rPr>
        <w:t>进农村生活垃圾源头减量和垃圾分类，科学规划与乡镇生活垃圾转运站相匹配的农村生活垃圾集中投放点，构建统一完整、运转顺畅、闭环高效的农村生活垃圾收集、转运和处置体系。引导和鼓励在村庄设置再生资源利用回收点，建立以乡镇为基础的再生资源回收利用体系。</w:t>
      </w:r>
      <w:r>
        <w:rPr>
          <w:rFonts w:hint="default" w:ascii="Times New Roman" w:hAnsi="Times New Roman" w:cs="Times New Roman"/>
          <w:color w:val="auto"/>
          <w:lang w:eastAsia="zh-CN"/>
        </w:rPr>
        <w:t>完成</w:t>
      </w:r>
      <w:r>
        <w:rPr>
          <w:rFonts w:hint="default" w:ascii="Times New Roman" w:hAnsi="Times New Roman" w:cs="Times New Roman"/>
          <w:color w:val="auto"/>
        </w:rPr>
        <w:t>村级垃圾中转站及配套设施设备</w:t>
      </w:r>
      <w:r>
        <w:rPr>
          <w:rFonts w:hint="default" w:ascii="Times New Roman" w:hAnsi="Times New Roman" w:cs="Times New Roman"/>
          <w:color w:val="auto"/>
          <w:lang w:eastAsia="zh-CN"/>
        </w:rPr>
        <w:t>建设。</w:t>
      </w:r>
    </w:p>
    <w:p w14:paraId="559C48F9">
      <w:pPr>
        <w:keepNext w:val="0"/>
        <w:keepLines w:val="0"/>
        <w:widowControl/>
        <w:suppressLineNumbers w:val="0"/>
        <w:jc w:val="both"/>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强化养殖业污染防治。</w:t>
      </w:r>
      <w:r>
        <w:rPr>
          <w:rFonts w:hint="default" w:ascii="Times New Roman" w:hAnsi="Times New Roman" w:eastAsia="仿宋" w:cs="Times New Roman"/>
          <w:color w:val="auto"/>
          <w:kern w:val="0"/>
          <w:sz w:val="30"/>
          <w:szCs w:val="30"/>
          <w:lang w:val="en-US" w:eastAsia="zh-CN" w:bidi="ar"/>
        </w:rPr>
        <w:t>开展畜禽养殖污染治理专项整治，持续推动畜禽资源化综合利用，</w:t>
      </w:r>
      <w:r>
        <w:rPr>
          <w:rFonts w:hint="default" w:ascii="Times New Roman" w:hAnsi="Times New Roman" w:cs="Times New Roman"/>
          <w:color w:val="auto"/>
          <w:lang w:val="en-US" w:eastAsia="zh-CN"/>
        </w:rPr>
        <w:t>积极推进种养结合循环农业发展，建设种养循环示范区。遵照“畜禽良种化、养殖设施化、生产规范化、防疫制度化、粪污处理无害化”要求，严格标准化建设，完善粪污处理设施，重点推进粪污处理配套设施改造、粪污处理利用设施设备建设、消纳地配套设施建设，大力推广新设施、新工艺、新技术，建设畜禽粪肥利用示范区。推进水产养殖业绿色发展，优化水产养殖空间布局，大力发展池塘和工厂化循环水养殖、稻渔综合种养、大水面生态增养殖等生态健康养殖模式。</w:t>
      </w:r>
    </w:p>
    <w:p w14:paraId="67A3A02B">
      <w:pPr>
        <w:pStyle w:val="4"/>
        <w:numPr>
          <w:ilvl w:val="0"/>
          <w:numId w:val="0"/>
        </w:numPr>
        <w:bidi w:val="0"/>
        <w:ind w:leftChars="0"/>
        <w:jc w:val="center"/>
        <w:rPr>
          <w:rFonts w:hint="default" w:ascii="Times New Roman" w:hAnsi="Times New Roman" w:cs="Times New Roman"/>
          <w:color w:val="auto"/>
          <w:lang w:val="en-US" w:eastAsia="zh-CN"/>
        </w:rPr>
      </w:pPr>
      <w:bookmarkStart w:id="45" w:name="_Toc7045"/>
      <w:r>
        <w:rPr>
          <w:rFonts w:hint="default" w:ascii="Times New Roman" w:hAnsi="Times New Roman" w:cs="Times New Roman"/>
          <w:color w:val="auto"/>
          <w:lang w:eastAsia="zh-CN"/>
        </w:rPr>
        <w:t>第二节</w:t>
      </w:r>
      <w:r>
        <w:rPr>
          <w:rFonts w:hint="default" w:ascii="Times New Roman" w:hAnsi="Times New Roman" w:cs="Times New Roman"/>
          <w:color w:val="auto"/>
          <w:lang w:val="en-US" w:eastAsia="zh-CN"/>
        </w:rPr>
        <w:t xml:space="preserve"> 推进农业绿色发展行动</w:t>
      </w:r>
      <w:bookmarkEnd w:id="45"/>
    </w:p>
    <w:p w14:paraId="63C925D8">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持续加强农药化肥减量化行动。</w:t>
      </w:r>
      <w:r>
        <w:rPr>
          <w:rFonts w:hint="default" w:ascii="Times New Roman" w:hAnsi="Times New Roman" w:cs="Times New Roman"/>
          <w:color w:val="auto"/>
          <w:lang w:val="en-US" w:eastAsia="zh-CN"/>
        </w:rPr>
        <w:t>推进化肥减量增效，推广高效缓控释肥料、高效低毒低残留农药、生物农药等新型产品和先进施肥施药机械，深入推广测土配方施肥，实施有机肥替代化肥行动，支持蓬溪农业优势产区、核心产区、知名品牌生产基地开展有机肥替代化肥试点示范，引导农民和新型农业经营主体采取多种方式积造施用有机肥，集成推广化肥减量增效技术模式，实现全县化肥、农药使用量零增长。</w:t>
      </w:r>
    </w:p>
    <w:p w14:paraId="6858A397">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提升农业废物资源化利用水平。</w:t>
      </w:r>
      <w:r>
        <w:rPr>
          <w:rFonts w:hint="default" w:ascii="Times New Roman" w:hAnsi="Times New Roman" w:cs="Times New Roman"/>
          <w:color w:val="auto"/>
          <w:lang w:val="en-US" w:eastAsia="zh-CN"/>
        </w:rPr>
        <w:t>持续提升秸秆综合利用水平，建设秸秆综合收储暂存场所，购买秸秆粉碎、机械还田、秸秆青储等设备。开展肥料化、饲料化、燃料化、基料化和原料化利用。加快推进加厚地膜应用，研究制定农膜管理办法，健全回收加工体系，构建加厚地膜推广应用与地膜回收激励挂钩机制，开展地膜生产者责任延伸制度试点。到2020年，秸秆综合利用率达到92%，农膜回收率达到91.5%。</w:t>
      </w:r>
    </w:p>
    <w:p w14:paraId="5EB4789F">
      <w:pPr>
        <w:pStyle w:val="4"/>
        <w:bidi w:val="0"/>
        <w:ind w:left="0" w:leftChars="0" w:firstLine="0" w:firstLineChars="0"/>
        <w:jc w:val="center"/>
        <w:rPr>
          <w:rFonts w:hint="default" w:ascii="Times New Roman" w:hAnsi="Times New Roman" w:cs="Times New Roman"/>
          <w:color w:val="auto"/>
          <w:lang w:val="en-US" w:eastAsia="zh-CN"/>
        </w:rPr>
      </w:pPr>
      <w:bookmarkStart w:id="46" w:name="_Toc22973"/>
      <w:r>
        <w:rPr>
          <w:rFonts w:hint="default" w:ascii="Times New Roman" w:hAnsi="Times New Roman" w:cs="Times New Roman"/>
          <w:color w:val="auto"/>
          <w:lang w:eastAsia="zh-CN"/>
        </w:rPr>
        <w:t>第三节</w:t>
      </w:r>
      <w:r>
        <w:rPr>
          <w:rFonts w:hint="default" w:ascii="Times New Roman" w:hAnsi="Times New Roman" w:cs="Times New Roman"/>
          <w:color w:val="auto"/>
          <w:lang w:val="en-US" w:eastAsia="zh-CN"/>
        </w:rPr>
        <w:t xml:space="preserve"> 加快建设美丽宜居乡村</w:t>
      </w:r>
      <w:bookmarkEnd w:id="46"/>
    </w:p>
    <w:p w14:paraId="25B32C30">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提升改造村容村貌。</w:t>
      </w:r>
      <w:r>
        <w:rPr>
          <w:rFonts w:hint="default" w:ascii="Times New Roman" w:hAnsi="Times New Roman" w:cs="Times New Roman"/>
          <w:color w:val="auto"/>
          <w:lang w:eastAsia="zh-CN"/>
        </w:rPr>
        <w:t>在实施《农村人居环境整治三年行动方案》的基础上，坚决按照四川省农业农村厅《关于深入开展村庄清洁行动的通知》要求，继续以农村垃圾、污水治理和村容村貌提升为主攻方向，加快补齐农村人居环境突出短板。继续推进农村生活垃圾、污水治理，推进“厕所革命”，整治提升村容村貌，结合乡村振兴，加速农业农村现代化，加快推动功能清晰、布局合理、生态宜居的美丽乡村建设。</w:t>
      </w:r>
    </w:p>
    <w:p w14:paraId="6EF48A19">
      <w:pPr>
        <w:bidi w:val="0"/>
        <w:rPr>
          <w:rFonts w:hint="default" w:ascii="Times New Roman" w:hAnsi="Times New Roman" w:cs="Times New Roman"/>
          <w:color w:val="auto"/>
          <w:lang w:eastAsia="zh-CN"/>
        </w:rPr>
      </w:pPr>
      <w:r>
        <w:rPr>
          <w:rFonts w:hint="default" w:ascii="Times New Roman" w:hAnsi="Times New Roman" w:cs="Times New Roman"/>
          <w:b/>
          <w:bCs/>
          <w:color w:val="auto"/>
          <w:lang w:eastAsia="zh-CN"/>
        </w:rPr>
        <w:t>推进村庄集聚提升发展。</w:t>
      </w:r>
      <w:r>
        <w:rPr>
          <w:rFonts w:hint="default" w:ascii="Times New Roman" w:hAnsi="Times New Roman" w:cs="Times New Roman"/>
          <w:color w:val="auto"/>
          <w:lang w:eastAsia="zh-CN"/>
        </w:rPr>
        <w:t>科学确定村庄发展方向，在原有规模基础上有序推进改造提升，激活产业、优化环境、提振人气、增添活力，鼓励发挥自身比较优势，强化主导产业支撑，支持农业、工贸、休闲服务等专业化村庄发展，融入城镇发展。综合考虑工业化、城镇化和村庄自身发展需要，加快城乡产业融合发展、基础设施互联互通、公共服务共建共享，推进村庄集聚提升，在治理上体现城市水平，逐步强化服务城市发展、承接城市功能外溢、满足城市消费需求能力，实现城乡融合发展。</w:t>
      </w:r>
    </w:p>
    <w:p w14:paraId="25EA98D9">
      <w:pPr>
        <w:bidi w:val="0"/>
        <w:rPr>
          <w:rFonts w:hint="default" w:ascii="Times New Roman" w:hAnsi="Times New Roman" w:cs="Times New Roman"/>
          <w:color w:val="auto"/>
          <w:lang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b/>
          <w:bCs/>
          <w:color w:val="auto"/>
          <w:lang w:eastAsia="zh-CN"/>
        </w:rPr>
        <w:t>强化农村环境监督执法。</w:t>
      </w:r>
      <w:r>
        <w:rPr>
          <w:rFonts w:hint="default" w:ascii="Times New Roman" w:hAnsi="Times New Roman" w:cs="Times New Roman"/>
          <w:color w:val="auto"/>
          <w:lang w:eastAsia="zh-CN"/>
        </w:rPr>
        <w:t>加强重点地区重点行业执法监测，规范排污单位自行监测，推进农村生态环境网格化监管。实行“散乱污”企业动态管理，坚决打击遏制“散乱污”企业在农村死灰复燃、异地转移。加强农村生态环境监管队伍建设，完善农村生态环境监测执法机构、人员和装备，重点推进秸秆禁烧监管能力建设项目。鼓励具备条件的地区设立基础设施管护员、乡村保洁员等公益性岗位，引导群众积极参与农村生态环境监督。</w:t>
      </w:r>
    </w:p>
    <w:p w14:paraId="1BE501E4">
      <w:pPr>
        <w:pStyle w:val="3"/>
        <w:bidi w:val="0"/>
        <w:jc w:val="center"/>
        <w:rPr>
          <w:rFonts w:hint="default" w:ascii="Times New Roman" w:hAnsi="Times New Roman" w:cs="Times New Roman"/>
          <w:color w:val="auto"/>
          <w:lang w:eastAsia="zh-CN"/>
        </w:rPr>
      </w:pPr>
      <w:bookmarkStart w:id="47" w:name="_Toc137"/>
      <w:r>
        <w:rPr>
          <w:rFonts w:hint="default" w:ascii="Times New Roman" w:hAnsi="Times New Roman" w:cs="Times New Roman"/>
          <w:color w:val="auto"/>
          <w:lang w:eastAsia="zh-CN"/>
        </w:rPr>
        <w:t>第九章</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推动绿色可持续发展，打造高品质公园城市</w:t>
      </w:r>
      <w:bookmarkEnd w:id="47"/>
    </w:p>
    <w:p w14:paraId="2C339D82">
      <w:pPr>
        <w:pStyle w:val="4"/>
        <w:bidi w:val="0"/>
        <w:jc w:val="center"/>
        <w:rPr>
          <w:rFonts w:hint="default" w:ascii="Times New Roman" w:hAnsi="Times New Roman" w:cs="Times New Roman"/>
          <w:color w:val="auto"/>
          <w:lang w:val="en-US" w:eastAsia="zh-CN"/>
        </w:rPr>
      </w:pPr>
      <w:bookmarkStart w:id="48" w:name="_Toc890"/>
      <w:r>
        <w:rPr>
          <w:rFonts w:hint="default" w:ascii="Times New Roman" w:hAnsi="Times New Roman" w:cs="Times New Roman"/>
          <w:color w:val="auto"/>
          <w:lang w:eastAsia="zh-CN"/>
        </w:rPr>
        <w:t>第一节</w:t>
      </w:r>
      <w:r>
        <w:rPr>
          <w:rFonts w:hint="default" w:ascii="Times New Roman" w:hAnsi="Times New Roman" w:cs="Times New Roman"/>
          <w:color w:val="auto"/>
          <w:lang w:val="en-US" w:eastAsia="zh-CN"/>
        </w:rPr>
        <w:t xml:space="preserve"> 加快打造公园城市形态</w:t>
      </w:r>
      <w:bookmarkEnd w:id="48"/>
    </w:p>
    <w:p w14:paraId="275A421B">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融入公园城市理念，构建生态宜居城区。</w:t>
      </w:r>
      <w:r>
        <w:rPr>
          <w:rFonts w:hint="default" w:ascii="Times New Roman" w:hAnsi="Times New Roman" w:cs="Times New Roman"/>
          <w:color w:val="auto"/>
          <w:lang w:val="en-US" w:eastAsia="zh-CN"/>
        </w:rPr>
        <w:t>加快芝溪河城区段综合治理和景观优化提升，以芝溪河、赤城湖、墨砚湖等滨水绿地为引领，塑造蓝绿交织的城市开敞空间，高品质打造芭茅垭湿地公园、墨砚湖城市公园，做好蓬山溪水两篇文章，营造成渝地区山水田园康养空间，打造生态宜居城市新风尚。重点加强上游川江公园片区及下游堰闸桥至万和大酒店段的引水工程、景观改造和沿线开发建设，打造县城沿河主体水景观带。实施引水入城，沿芝溪河城区段建成杨家沟、芝溪河川江公园等6个生态公园，不断提升公园城市品质。</w:t>
      </w:r>
    </w:p>
    <w:p w14:paraId="06DC7F76">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提升城市公园绿地建设水平</w:t>
      </w:r>
      <w:r>
        <w:rPr>
          <w:rFonts w:hint="default" w:ascii="Times New Roman" w:hAnsi="Times New Roman" w:cs="Times New Roman"/>
          <w:color w:val="auto"/>
          <w:lang w:val="en-US" w:eastAsia="zh-CN"/>
        </w:rPr>
        <w:t>。依托城市生态基础，结合农业产业结构调整，规划集中城市区域以“赤城公园、旷继勋公园、芭茅垭湿地公园、奎阁公园、墨砚湖城市湿地公园、茶子店生态湿地公园、白塔公园、门博园、城东体育公园、杨家沟生态公园”10大绿地公园为核心，郊区以大型生态林地为主体，以沿“江、河、湖、路、城”地区的绿化为网络和连接，形成“主体”通过“网络”与“核心”相互作用的县域绿化大循环，使城在林中，人在绿中，到2025年，人均公园绿地面积达15平方米以上。</w:t>
      </w:r>
    </w:p>
    <w:p w14:paraId="174493B1">
      <w:pPr>
        <w:pStyle w:val="4"/>
        <w:bidi w:val="0"/>
        <w:jc w:val="center"/>
        <w:rPr>
          <w:rFonts w:hint="default" w:ascii="Times New Roman" w:hAnsi="Times New Roman" w:cs="Times New Roman"/>
          <w:color w:val="auto"/>
          <w:lang w:val="en-US" w:eastAsia="zh-CN"/>
        </w:rPr>
      </w:pPr>
      <w:bookmarkStart w:id="49" w:name="_Toc404"/>
      <w:r>
        <w:rPr>
          <w:rFonts w:hint="default" w:ascii="Times New Roman" w:hAnsi="Times New Roman" w:cs="Times New Roman"/>
          <w:color w:val="auto"/>
          <w:lang w:val="en-US" w:eastAsia="zh-CN"/>
        </w:rPr>
        <w:t>第二节 推进“海绵城市”建设</w:t>
      </w:r>
      <w:bookmarkEnd w:id="49"/>
    </w:p>
    <w:p w14:paraId="06310D09">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推进海绵型建筑和相关基础设施建设。</w:t>
      </w:r>
      <w:r>
        <w:rPr>
          <w:rFonts w:hint="default" w:ascii="Times New Roman" w:hAnsi="Times New Roman" w:cs="Times New Roman"/>
          <w:color w:val="auto"/>
          <w:lang w:val="en-US" w:eastAsia="zh-CN"/>
        </w:rPr>
        <w:t>按照《国务院办公厅关于推进海绵城市建设的指导意见》要求，综合采取“渗、滞、蓄、净、用、排”等措施，最大限度地减少城市开发建设对生态环境的影响，将70%的降雨就地消纳和利用。落实海绵城市“自然积存、自然渗透、自然净化”的要求，改变雨水快排、直排的传统做法，增强道路绿化带对雨水的消纳功能，在非机动车道、人行道、停车场、广场等扩大使用透水铺装，推行道路与广场雨水的收集、净化和利用，科学布局建设雨水调蓄设施。保护中心城区内的湿地与大型绿地等天然大海绵体，推动主要水系及绿带等重要海绵通道技术城市公园等建成区海绵节点。推进海绵型道路与广场建设，重点推动城市道路广场海绵改造建设、印盒山海绵生态改造。加快改造和消除城市易涝点；实施雨污分流，控制初期雨水污染，排入自然水体的雨水须经过岸线净化。</w:t>
      </w:r>
    </w:p>
    <w:p w14:paraId="5999121F">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推进城市自然生态修复。</w:t>
      </w:r>
      <w:r>
        <w:rPr>
          <w:rFonts w:hint="default" w:ascii="Times New Roman" w:hAnsi="Times New Roman" w:cs="Times New Roman"/>
          <w:color w:val="auto"/>
          <w:lang w:val="en-US" w:eastAsia="zh-CN"/>
        </w:rPr>
        <w:t>推广海绵型公园和绿地，通过建设雨水花园、下凹式绿地、人工湿地等措施，增强公园和绿地系统的城市海绵体功能，消纳自身雨水，并为蓄滞周边区域雨水提供空间。加强对城市坑塘、河湖、湿地等水体自然形态的保护和恢复，禁止填湖造地、截弯取直、河道硬化等破坏水生态环境的建设行为。恢复和保持河湖水系的自然连通，构建城市良性水循环系统，逐步改善水环境质量。加强河道系统整治，因势利导改造渠化河道，重塑健康自然的弯曲河岸线，恢复自然深潭浅滩和泛洪漫滩，实施生态修复，营造多样性生物生存环境。</w:t>
      </w:r>
    </w:p>
    <w:p w14:paraId="4E938A21">
      <w:pPr>
        <w:rPr>
          <w:rFonts w:hint="default" w:ascii="Times New Roman" w:hAnsi="Times New Roman" w:cs="Times New Roman"/>
          <w:color w:val="auto"/>
          <w:lang w:val="en-US" w:eastAsia="zh-CN"/>
        </w:rPr>
      </w:pPr>
    </w:p>
    <w:p w14:paraId="0AF1D81B">
      <w:pPr>
        <w:pStyle w:val="10"/>
        <w:rPr>
          <w:rFonts w:hint="default" w:ascii="Times New Roman" w:hAnsi="Times New Roman" w:cs="Times New Roman"/>
          <w:color w:val="auto"/>
          <w:lang w:val="en-US" w:eastAsia="zh-CN"/>
        </w:rPr>
        <w:sectPr>
          <w:pgSz w:w="11906" w:h="16838"/>
          <w:pgMar w:top="1440" w:right="1800" w:bottom="1440" w:left="1800" w:header="851" w:footer="992" w:gutter="0"/>
          <w:pgNumType w:fmt="decimal"/>
          <w:cols w:space="425" w:num="1"/>
          <w:docGrid w:type="lines" w:linePitch="312" w:charSpace="0"/>
        </w:sectPr>
      </w:pPr>
    </w:p>
    <w:p w14:paraId="16D9E056">
      <w:pPr>
        <w:pStyle w:val="3"/>
        <w:bidi w:val="0"/>
        <w:jc w:val="center"/>
        <w:rPr>
          <w:rFonts w:hint="default" w:ascii="Times New Roman" w:hAnsi="Times New Roman" w:cs="Times New Roman"/>
          <w:color w:val="auto"/>
          <w:lang w:val="en-US" w:eastAsia="zh-CN"/>
        </w:rPr>
      </w:pPr>
      <w:bookmarkStart w:id="50" w:name="_Toc27569"/>
      <w:r>
        <w:rPr>
          <w:rFonts w:hint="default" w:ascii="Times New Roman" w:hAnsi="Times New Roman" w:cs="Times New Roman"/>
          <w:color w:val="auto"/>
          <w:lang w:eastAsia="zh-CN"/>
        </w:rPr>
        <w:t>第十</w:t>
      </w:r>
      <w:r>
        <w:rPr>
          <w:rFonts w:hint="default" w:ascii="Times New Roman" w:hAnsi="Times New Roman" w:cs="Times New Roman"/>
          <w:color w:val="auto"/>
          <w:lang w:val="en-US" w:eastAsia="zh-CN"/>
        </w:rPr>
        <w:t>章 坚持底线思维，统筹防范生态环境风险</w:t>
      </w:r>
      <w:bookmarkEnd w:id="50"/>
    </w:p>
    <w:p w14:paraId="2E1A2B27">
      <w:pPr>
        <w:pStyle w:val="4"/>
        <w:bidi w:val="0"/>
        <w:jc w:val="center"/>
        <w:rPr>
          <w:rFonts w:hint="default" w:ascii="Times New Roman" w:hAnsi="Times New Roman" w:cs="Times New Roman"/>
          <w:color w:val="auto"/>
          <w:lang w:val="en-US" w:eastAsia="zh-CN"/>
        </w:rPr>
      </w:pPr>
      <w:bookmarkStart w:id="51" w:name="_Toc21644"/>
      <w:r>
        <w:rPr>
          <w:rFonts w:hint="default" w:ascii="Times New Roman" w:hAnsi="Times New Roman" w:cs="Times New Roman"/>
          <w:color w:val="auto"/>
          <w:lang w:val="en-US" w:eastAsia="zh-CN"/>
        </w:rPr>
        <w:t>第一节 健全环境风险防范体系</w:t>
      </w:r>
      <w:bookmarkEnd w:id="51"/>
    </w:p>
    <w:p w14:paraId="4A05D234">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加强危险化学品环境风险管控。</w:t>
      </w:r>
      <w:r>
        <w:rPr>
          <w:rFonts w:hint="default" w:ascii="Times New Roman" w:hAnsi="Times New Roman" w:cs="Times New Roman"/>
          <w:color w:val="auto"/>
          <w:lang w:val="en-US" w:eastAsia="zh-CN"/>
        </w:rPr>
        <w:t>对危险化学品生产装置或者储存数量构成重大危险源的危险化学品储存设施，严格执行与居民区安全距离等有关规定。做好危险化学品运输、储存、使用环节的风险评估，完善风险防控体系。严格废弃危险化学品安全处置，加强废弃危险化学品收运、贮存、处置规范化管理。</w:t>
      </w:r>
      <w:r>
        <w:rPr>
          <w:rFonts w:hint="default" w:ascii="Times New Roman" w:hAnsi="Times New Roman" w:cs="Times New Roman"/>
          <w:b w:val="0"/>
          <w:bCs w:val="0"/>
          <w:color w:val="auto"/>
          <w:lang w:val="en-US" w:eastAsia="zh-CN"/>
        </w:rPr>
        <w:t>严格涉重金属污染管控。</w:t>
      </w:r>
      <w:r>
        <w:rPr>
          <w:rFonts w:hint="default" w:ascii="Times New Roman" w:hAnsi="Times New Roman" w:cs="Times New Roman"/>
          <w:color w:val="auto"/>
          <w:lang w:val="en-US" w:eastAsia="zh-CN"/>
        </w:rPr>
        <w:t>推进涉重金属行业企业重金属减排，动态更新涉重金属重点行业企业全口径清单。加快推动涉重金属企业入园集中治理，支持电镀、线路板等企业入园发展。严控重点重金属环境准入，对新、改、扩建涉重金属行业建设项目实施重点重金属污染物排放“减量置换”或“等量替换”。</w:t>
      </w:r>
    </w:p>
    <w:p w14:paraId="64F11D9B">
      <w:pPr>
        <w:ind w:firstLine="64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强化环境风险应急管理。</w:t>
      </w:r>
      <w:r>
        <w:rPr>
          <w:rFonts w:hint="default" w:ascii="Times New Roman" w:hAnsi="Times New Roman" w:cs="Times New Roman"/>
          <w:color w:val="auto"/>
          <w:highlight w:val="none"/>
        </w:rPr>
        <w:t>建立重点环境风险企业清单，以沿江化工企业和园区为重点，强化流域、区域环境风险防控。摸清环境风险底数，开展涪江流域环境风险评估及应急预案编制。对沿江石油化工、制浆造纸等重点企业开展突发环境事件风险企业信息登记和信息公开，督促企业完善环境安全管理制度和环境应急设施。</w:t>
      </w:r>
      <w:r>
        <w:rPr>
          <w:rFonts w:hint="default" w:ascii="Times New Roman" w:hAnsi="Times New Roman" w:cs="Times New Roman"/>
          <w:color w:val="auto"/>
          <w:lang w:val="en-US" w:eastAsia="zh-CN"/>
        </w:rPr>
        <w:t>完善突发环境事件应急管理多层次预案体系，健全生态环境风险动态评价和管理机制。强化生态环境、卫生、公安以及水务等多部门的监控预警、信息通报、处置措施、应急资源等衔接与联动。定期开展企事业环境风险隐患排查专项整治。强化政府、企业预案管理，规范落实环境应急演练和培训。</w:t>
      </w:r>
    </w:p>
    <w:p w14:paraId="01001118">
      <w:pPr>
        <w:bidi w:val="0"/>
        <w:rPr>
          <w:rFonts w:hint="default" w:ascii="Times New Roman" w:hAnsi="Times New Roman" w:eastAsia="仿宋_GB2312" w:cs="Times New Roman"/>
          <w:color w:val="auto"/>
          <w:lang w:val="en-US" w:eastAsia="zh-CN"/>
        </w:rPr>
      </w:pPr>
      <w:r>
        <w:rPr>
          <w:rFonts w:hint="default" w:ascii="Times New Roman" w:hAnsi="Times New Roman" w:cs="Times New Roman"/>
          <w:b/>
          <w:bCs/>
          <w:color w:val="auto"/>
        </w:rPr>
        <w:t>全面加强环境应急能力建设</w:t>
      </w:r>
      <w:r>
        <w:rPr>
          <w:rFonts w:hint="default" w:ascii="Times New Roman" w:hAnsi="Times New Roman" w:cs="Times New Roman"/>
          <w:b/>
          <w:bCs/>
          <w:color w:val="auto"/>
          <w:lang w:eastAsia="zh-CN"/>
        </w:rPr>
        <w:t>。</w:t>
      </w:r>
      <w:r>
        <w:rPr>
          <w:rFonts w:hint="default" w:ascii="Times New Roman" w:hAnsi="Times New Roman" w:cs="Times New Roman"/>
          <w:color w:val="auto"/>
        </w:rPr>
        <w:t>推动建设环境应急和</w:t>
      </w:r>
      <w:r>
        <w:rPr>
          <w:rFonts w:hint="eastAsia" w:cs="Times New Roman"/>
          <w:color w:val="auto"/>
          <w:lang w:val="en-US" w:eastAsia="zh-CN"/>
        </w:rPr>
        <w:t>物资</w:t>
      </w:r>
      <w:r>
        <w:rPr>
          <w:rFonts w:hint="default" w:ascii="Times New Roman" w:hAnsi="Times New Roman" w:cs="Times New Roman"/>
          <w:color w:val="auto"/>
        </w:rPr>
        <w:t>储备库，全面提高环境风险防控能力和环境应急处置能力。建立应急处置资源清单，推进先进设备或技术在环境应急事件中的使用。开展辖区内重点河流和饮用水水源地环境应急“一河一策一图”工作，</w:t>
      </w:r>
      <w:r>
        <w:rPr>
          <w:rFonts w:hint="default" w:ascii="Times New Roman" w:hAnsi="Times New Roman" w:eastAsia="仿宋_GB2312" w:cs="Times New Roman"/>
          <w:color w:val="auto"/>
          <w:szCs w:val="22"/>
        </w:rPr>
        <w:t>开展赤城湖水库</w:t>
      </w:r>
      <w:r>
        <w:rPr>
          <w:rFonts w:hint="default" w:ascii="Times New Roman" w:hAnsi="Times New Roman" w:cs="Times New Roman"/>
          <w:color w:val="auto"/>
          <w:szCs w:val="22"/>
          <w:lang w:eastAsia="zh-CN"/>
        </w:rPr>
        <w:t>、</w:t>
      </w:r>
      <w:r>
        <w:rPr>
          <w:rFonts w:hint="default" w:ascii="Times New Roman" w:hAnsi="Times New Roman" w:eastAsia="仿宋_GB2312" w:cs="Times New Roman"/>
          <w:color w:val="auto"/>
          <w:szCs w:val="22"/>
        </w:rPr>
        <w:t>黑龙凼水库等</w:t>
      </w:r>
      <w:r>
        <w:rPr>
          <w:rFonts w:hint="default" w:ascii="Times New Roman" w:hAnsi="Times New Roman" w:cs="Times New Roman"/>
          <w:color w:val="auto"/>
          <w:szCs w:val="22"/>
          <w:lang w:val="en-US" w:eastAsia="zh-CN"/>
        </w:rPr>
        <w:t>6</w:t>
      </w:r>
      <w:r>
        <w:rPr>
          <w:rFonts w:hint="default" w:ascii="Times New Roman" w:hAnsi="Times New Roman" w:eastAsia="仿宋_GB2312" w:cs="Times New Roman"/>
          <w:color w:val="auto"/>
          <w:szCs w:val="22"/>
        </w:rPr>
        <w:t>个集中式饮用水源地突发水环境事件风险评估，</w:t>
      </w:r>
      <w:r>
        <w:rPr>
          <w:rFonts w:hint="default" w:ascii="Times New Roman" w:hAnsi="Times New Roman" w:cs="Times New Roman"/>
          <w:color w:val="auto"/>
        </w:rPr>
        <w:t>编制流域</w:t>
      </w:r>
      <w:r>
        <w:rPr>
          <w:rFonts w:hint="default" w:ascii="Times New Roman" w:hAnsi="Times New Roman" w:cs="Times New Roman"/>
          <w:color w:val="auto"/>
          <w:lang w:eastAsia="zh-CN"/>
        </w:rPr>
        <w:t>、船舶码头</w:t>
      </w:r>
      <w:r>
        <w:rPr>
          <w:rFonts w:hint="default" w:ascii="Times New Roman" w:hAnsi="Times New Roman" w:cs="Times New Roman"/>
          <w:color w:val="auto"/>
        </w:rPr>
        <w:t>突发环境事件应急预案，强化实战演练，有效提升应急处置能力，科学防范流域突发环境事件。加强对山洪、泥石流、滑坡、崩塌等山地灾害、公共卫生、环境污染事故等的预报预警和快速反应。完善森林安全应急响应体系。加强重点火险林区森林防火预防、扑救、保障三大体系建设。</w:t>
      </w:r>
    </w:p>
    <w:p w14:paraId="05D72F47">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加强核与辐射监管及应急管控。</w:t>
      </w:r>
      <w:r>
        <w:rPr>
          <w:rFonts w:hint="default" w:ascii="Times New Roman" w:hAnsi="Times New Roman" w:cs="Times New Roman"/>
          <w:color w:val="auto"/>
          <w:lang w:val="en-US" w:eastAsia="zh-CN"/>
        </w:rPr>
        <w:t>强化核与辐射源头监管，实施放射源、射线装置及电磁辐射设备的申报登记和许可管理，加强废旧、闲置放射源的收贮监督，从源头控制和防范安全隐患。</w:t>
      </w:r>
    </w:p>
    <w:p w14:paraId="6F80AF03">
      <w:pPr>
        <w:pStyle w:val="4"/>
        <w:bidi w:val="0"/>
        <w:jc w:val="center"/>
        <w:rPr>
          <w:rFonts w:hint="default" w:ascii="Times New Roman" w:hAnsi="Times New Roman" w:cs="Times New Roman"/>
          <w:color w:val="auto"/>
          <w:lang w:val="en-US" w:eastAsia="zh-CN"/>
        </w:rPr>
      </w:pPr>
      <w:bookmarkStart w:id="52" w:name="_Toc26390"/>
      <w:r>
        <w:rPr>
          <w:rFonts w:hint="default" w:ascii="Times New Roman" w:hAnsi="Times New Roman" w:cs="Times New Roman"/>
          <w:color w:val="auto"/>
          <w:lang w:val="en-US" w:eastAsia="zh-CN"/>
        </w:rPr>
        <w:t>第二节 推进“无废城市”建设</w:t>
      </w:r>
      <w:bookmarkEnd w:id="52"/>
    </w:p>
    <w:p w14:paraId="790F25AD">
      <w:pPr>
        <w:bidi w:val="0"/>
        <w:rPr>
          <w:rFonts w:hint="default" w:ascii="Times New Roman" w:hAnsi="Times New Roman" w:cs="Times New Roman"/>
          <w:color w:val="auto"/>
          <w:highlight w:val="none"/>
        </w:rPr>
      </w:pPr>
      <w:r>
        <w:rPr>
          <w:rFonts w:hint="default" w:ascii="Times New Roman" w:hAnsi="Times New Roman" w:cs="Times New Roman"/>
          <w:b/>
          <w:bCs/>
          <w:color w:val="auto"/>
        </w:rPr>
        <w:t>提高生活垃圾处理处置能力。</w:t>
      </w:r>
      <w:r>
        <w:rPr>
          <w:rFonts w:hint="default" w:ascii="Times New Roman" w:hAnsi="Times New Roman" w:cs="Times New Roman"/>
          <w:b w:val="0"/>
          <w:bCs w:val="0"/>
          <w:color w:val="auto"/>
          <w:highlight w:val="none"/>
          <w:lang w:eastAsia="zh-CN"/>
        </w:rPr>
        <w:t>严格落实</w:t>
      </w:r>
      <w:r>
        <w:rPr>
          <w:rFonts w:hint="default" w:ascii="Times New Roman" w:hAnsi="Times New Roman" w:cs="Times New Roman"/>
          <w:b w:val="0"/>
          <w:bCs w:val="0"/>
          <w:color w:val="auto"/>
        </w:rPr>
        <w:t>《</w:t>
      </w:r>
      <w:r>
        <w:rPr>
          <w:rFonts w:hint="default" w:ascii="Times New Roman" w:hAnsi="Times New Roman" w:cs="Times New Roman"/>
          <w:color w:val="auto"/>
        </w:rPr>
        <w:t>四川省生活垃圾分类和处置工作方案》</w:t>
      </w:r>
      <w:r>
        <w:rPr>
          <w:rFonts w:hint="default" w:ascii="Times New Roman" w:hAnsi="Times New Roman" w:cs="Times New Roman"/>
          <w:color w:val="auto"/>
          <w:lang w:eastAsia="zh-CN"/>
        </w:rPr>
        <w:t>、《遂宁市城市生活垃圾分类和处置工作实施方案》《遂宁市生活垃圾分类管理条例》要求，以生活垃圾“减量化、资源化、无害化处理”为目标，围绕“推动形成生活垃圾分类习惯、推进源头减量、加强生活垃圾分类投放管理、分类收集管理、分类运输管理、分类处理设施建设”工作内容，</w:t>
      </w:r>
      <w:r>
        <w:rPr>
          <w:rFonts w:hint="default" w:ascii="Times New Roman" w:hAnsi="Times New Roman" w:cs="Times New Roman"/>
          <w:color w:val="auto"/>
        </w:rPr>
        <w:t>全面推进生活垃圾强制分类，完善分类体系建设，高标准推进厨余垃圾及其他各类别垃圾处理设施建设。完善玻金塑纸、废旧织物等再生资源回收利用机制及监管体系，构建新能源汽车动力电池等废弃产品逆向回收利用体系。推进生活垃圾处置项目及飞灰无害化处置设施配套建设，实现原生垃圾零填埋。到2025年，城镇生活垃圾无害化处理率达到</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eastAsia="zh-CN"/>
        </w:rPr>
        <w:t>，农村生活垃圾无害化处理率达到</w:t>
      </w:r>
      <w:r>
        <w:rPr>
          <w:rFonts w:hint="default" w:ascii="Times New Roman" w:hAnsi="Times New Roman" w:cs="Times New Roman"/>
          <w:color w:val="auto"/>
          <w:highlight w:val="none"/>
          <w:lang w:val="en-US" w:eastAsia="zh-CN"/>
        </w:rPr>
        <w:t>95%</w:t>
      </w:r>
      <w:r>
        <w:rPr>
          <w:rFonts w:hint="default" w:ascii="Times New Roman" w:hAnsi="Times New Roman" w:cs="Times New Roman"/>
          <w:color w:val="auto"/>
          <w:highlight w:val="none"/>
        </w:rPr>
        <w:t>。</w:t>
      </w:r>
    </w:p>
    <w:p w14:paraId="61CAEC1B">
      <w:pPr>
        <w:bidi w:val="0"/>
        <w:rPr>
          <w:rFonts w:hint="default" w:ascii="Times New Roman" w:hAnsi="Times New Roman" w:cs="Times New Roman"/>
          <w:color w:val="auto"/>
        </w:rPr>
      </w:pPr>
      <w:r>
        <w:rPr>
          <w:rFonts w:hint="default" w:ascii="Times New Roman" w:hAnsi="Times New Roman" w:cs="Times New Roman"/>
          <w:b/>
          <w:bCs/>
          <w:color w:val="auto"/>
        </w:rPr>
        <w:t>提升建筑废弃物利用处置能力。</w:t>
      </w:r>
      <w:r>
        <w:rPr>
          <w:rFonts w:hint="default" w:ascii="Times New Roman" w:hAnsi="Times New Roman" w:cs="Times New Roman"/>
          <w:color w:val="auto"/>
        </w:rPr>
        <w:t>编制</w:t>
      </w:r>
      <w:r>
        <w:rPr>
          <w:rFonts w:hint="default" w:ascii="Times New Roman" w:hAnsi="Times New Roman" w:cs="Times New Roman"/>
          <w:color w:val="auto"/>
          <w:lang w:eastAsia="zh-CN"/>
        </w:rPr>
        <w:t>蓬溪县</w:t>
      </w:r>
      <w:r>
        <w:rPr>
          <w:rFonts w:hint="default" w:ascii="Times New Roman" w:hAnsi="Times New Roman" w:cs="Times New Roman"/>
          <w:color w:val="auto"/>
        </w:rPr>
        <w:t>建筑废弃物治理专项</w:t>
      </w:r>
      <w:r>
        <w:rPr>
          <w:rFonts w:hint="default" w:ascii="Times New Roman" w:hAnsi="Times New Roman" w:cs="Times New Roman"/>
          <w:color w:val="auto"/>
          <w:lang w:eastAsia="zh-CN"/>
        </w:rPr>
        <w:t>方案</w:t>
      </w:r>
      <w:r>
        <w:rPr>
          <w:rFonts w:hint="default" w:ascii="Times New Roman" w:hAnsi="Times New Roman" w:cs="Times New Roman"/>
          <w:color w:val="auto"/>
        </w:rPr>
        <w:t>，统筹落实</w:t>
      </w:r>
      <w:r>
        <w:rPr>
          <w:rFonts w:hint="default" w:ascii="Times New Roman" w:hAnsi="Times New Roman" w:cs="Times New Roman"/>
          <w:color w:val="auto"/>
          <w:lang w:eastAsia="zh-CN"/>
        </w:rPr>
        <w:t>遂宁</w:t>
      </w:r>
      <w:r>
        <w:rPr>
          <w:rFonts w:hint="default" w:ascii="Times New Roman" w:hAnsi="Times New Roman" w:cs="Times New Roman"/>
          <w:color w:val="auto"/>
        </w:rPr>
        <w:t>市建筑废弃物综合利用设施规划建设实施方案。推进建筑废弃物综合利用设施建设，推动工程渣土综合利用试点建设，鼓励拆除工程实施建筑废弃物资源化综合利用。完善建筑废弃物限额排放制度，推行排放核准、电子联单、信用管理等制度，推广绿色建筑、绿色施工。</w:t>
      </w:r>
    </w:p>
    <w:p w14:paraId="1F47C94B">
      <w:pPr>
        <w:ind w:firstLine="562"/>
        <w:rPr>
          <w:rFonts w:hint="default" w:ascii="Times New Roman" w:hAnsi="Times New Roman" w:cs="Times New Roman"/>
          <w:b/>
          <w:bCs/>
          <w:color w:val="auto"/>
        </w:rPr>
      </w:pPr>
      <w:r>
        <w:rPr>
          <w:rFonts w:hint="default" w:ascii="Times New Roman" w:hAnsi="Times New Roman" w:cs="Times New Roman"/>
          <w:b/>
          <w:bCs/>
          <w:color w:val="auto"/>
        </w:rPr>
        <w:t>健全工业固废处置体系</w:t>
      </w:r>
      <w:r>
        <w:rPr>
          <w:rFonts w:hint="default" w:ascii="Times New Roman" w:hAnsi="Times New Roman" w:cs="Times New Roman"/>
          <w:color w:val="auto"/>
        </w:rPr>
        <w:t>。以</w:t>
      </w:r>
      <w:r>
        <w:rPr>
          <w:rFonts w:hint="default" w:ascii="Times New Roman" w:hAnsi="Times New Roman" w:cs="Times New Roman"/>
          <w:color w:val="auto"/>
          <w:lang w:eastAsia="zh-CN"/>
        </w:rPr>
        <w:t>经开区工业</w:t>
      </w:r>
      <w:r>
        <w:rPr>
          <w:rFonts w:hint="default" w:ascii="Times New Roman" w:hAnsi="Times New Roman" w:cs="Times New Roman"/>
          <w:color w:val="auto"/>
        </w:rPr>
        <w:t>基地为重点，加快建成与全县经济发展相适应的</w:t>
      </w:r>
      <w:r>
        <w:rPr>
          <w:rFonts w:hint="default" w:ascii="Times New Roman" w:hAnsi="Times New Roman" w:cs="Times New Roman"/>
          <w:color w:val="auto"/>
          <w:lang w:eastAsia="zh-CN"/>
        </w:rPr>
        <w:t>工业</w:t>
      </w:r>
      <w:r>
        <w:rPr>
          <w:rFonts w:hint="default" w:ascii="Times New Roman" w:hAnsi="Times New Roman" w:cs="Times New Roman"/>
          <w:color w:val="auto"/>
        </w:rPr>
        <w:t>固体废物处收集置体系建设。全面整治矿山尾矿、</w:t>
      </w:r>
      <w:r>
        <w:rPr>
          <w:rFonts w:hint="default" w:ascii="Times New Roman" w:hAnsi="Times New Roman" w:cs="Times New Roman"/>
          <w:color w:val="auto"/>
          <w:lang w:eastAsia="zh-CN"/>
        </w:rPr>
        <w:t>电缆</w:t>
      </w:r>
      <w:r>
        <w:rPr>
          <w:rFonts w:hint="default" w:ascii="Times New Roman" w:hAnsi="Times New Roman" w:cs="Times New Roman"/>
          <w:color w:val="auto"/>
        </w:rPr>
        <w:t>、除尘产生固体废物的堆存场所，完善防扬散、防流失、防渗漏等设施，实施复耕、复垦、复绿工程。提升建筑废弃物利用处置能力。推进建筑废弃物综合利用设施建设，推动工程渣土综合利用试点建设，鼓励拆除工程实施建筑废弃物资源化综合利用。</w:t>
      </w:r>
    </w:p>
    <w:p w14:paraId="75E18844">
      <w:pPr>
        <w:pStyle w:val="1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rPr>
        <w:t>提升危险废物处置与管理水平</w:t>
      </w:r>
      <w:r>
        <w:rPr>
          <w:rFonts w:hint="default" w:ascii="Times New Roman" w:hAnsi="Times New Roman" w:cs="Times New Roman"/>
          <w:b/>
          <w:bCs/>
          <w:color w:val="auto"/>
          <w:lang w:eastAsia="zh-CN"/>
        </w:rPr>
        <w:t>。</w:t>
      </w:r>
      <w:r>
        <w:rPr>
          <w:rFonts w:hint="default" w:ascii="Times New Roman" w:hAnsi="Times New Roman" w:cs="Times New Roman"/>
          <w:color w:val="auto"/>
          <w:lang w:eastAsia="zh-CN"/>
        </w:rPr>
        <w:t>推动建设高水平的危险废物综合利用设施，推进危险废物焚烧灰渣、生活垃圾焚烧飞灰、重金属污泥等无机类危险废物多途径的合理利用提升危废处</w:t>
      </w:r>
      <w:r>
        <w:rPr>
          <w:rFonts w:hint="default" w:ascii="Times New Roman" w:hAnsi="Times New Roman" w:cs="Times New Roman"/>
          <w:b w:val="0"/>
          <w:bCs w:val="0"/>
          <w:color w:val="auto"/>
          <w:lang w:eastAsia="zh-CN"/>
        </w:rPr>
        <w:t>置能力，重点推动</w:t>
      </w:r>
      <w:r>
        <w:rPr>
          <w:rFonts w:hint="default" w:ascii="Times New Roman" w:hAnsi="Times New Roman" w:cs="Times New Roman"/>
          <w:b w:val="0"/>
          <w:bCs w:val="0"/>
          <w:color w:val="auto"/>
          <w:lang w:val="en-US" w:eastAsia="zh-CN"/>
        </w:rPr>
        <w:t>蓬溪县医疗废物集中处置设施建设项目。</w:t>
      </w:r>
    </w:p>
    <w:p w14:paraId="5AA56340">
      <w:pPr>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加强固废危废污染联防联治。</w:t>
      </w:r>
      <w:r>
        <w:rPr>
          <w:rFonts w:hint="default" w:ascii="Times New Roman" w:hAnsi="Times New Roman" w:cs="Times New Roman"/>
          <w:b w:val="0"/>
          <w:bCs w:val="0"/>
          <w:color w:val="auto"/>
          <w:lang w:val="en-US" w:eastAsia="zh-CN"/>
        </w:rPr>
        <w:t>合理利用市内固废资源回收基地和固废循环经济产业园，推动固废区域转移合作，统筹区域危险废物处置能力，完善危险废物产生申报、安全储存、转移处置的一体化标准和管理制度，实现医疗等废物全收集、全处理。全面运行危险废物转移电子联单，联合打击危险废物非法跨界转移、倾倒等违法犯罪活动。鼓励垃圾环保发电厂共建共用，提升固体废物减量化、无害化、资源化水平。以工业固体废弃物和建筑废弃物综合利用为重点，共同支持粉煤灰、煤矸石、一般化工废渣等大宗固体废弃物以及制药、食品饮料原材料废渣等废弃物的综合利用，</w:t>
      </w:r>
    </w:p>
    <w:p w14:paraId="6D519061">
      <w:pPr>
        <w:pStyle w:val="4"/>
        <w:bidi w:val="0"/>
        <w:jc w:val="center"/>
        <w:rPr>
          <w:rFonts w:hint="default" w:ascii="Times New Roman" w:hAnsi="Times New Roman" w:cs="Times New Roman"/>
          <w:color w:val="auto"/>
          <w:lang w:val="en-US" w:eastAsia="zh-CN"/>
        </w:rPr>
      </w:pPr>
      <w:bookmarkStart w:id="53" w:name="_Toc16401"/>
      <w:r>
        <w:rPr>
          <w:rFonts w:hint="default" w:ascii="Times New Roman" w:hAnsi="Times New Roman" w:cs="Times New Roman"/>
          <w:color w:val="auto"/>
          <w:lang w:val="en-US" w:eastAsia="zh-CN"/>
        </w:rPr>
        <w:t>第三节 加强核与辐射安全管理</w:t>
      </w:r>
      <w:bookmarkEnd w:id="53"/>
    </w:p>
    <w:p w14:paraId="4C051FED">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完善核与辐射安全监管体系建设。</w:t>
      </w:r>
      <w:r>
        <w:rPr>
          <w:rFonts w:hint="default" w:ascii="Times New Roman" w:hAnsi="Times New Roman" w:cs="Times New Roman"/>
          <w:color w:val="auto"/>
          <w:lang w:val="en-US" w:eastAsia="zh-CN"/>
        </w:rPr>
        <w:t>强化强化核与辐射环境执法，加强监督性监测力度，及时消除核与辐射安全隐患。建立社会化辐射环境监测机构管理制度，规范社会化辐射环境监测机构管理。加强核与辐射高风险源管理，确保不发生重特大辐射事故、废旧放射源收贮率达100%。加大辐射从业人员管理力度，规范辐射从业人员持证上岗行为。</w:t>
      </w:r>
    </w:p>
    <w:p w14:paraId="25AA11BD">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强化核与辐射监管能力。</w:t>
      </w:r>
      <w:r>
        <w:rPr>
          <w:rFonts w:hint="default" w:ascii="Times New Roman" w:hAnsi="Times New Roman" w:cs="Times New Roman"/>
          <w:color w:val="auto"/>
        </w:rPr>
        <w:t>从严开展核与辐射安全监管，持续落实高风险移动放射源在线监控全覆盖，确保放射性同位素与射线装置安全可控，加强重点电磁设施、设备的辐射安全监督管理。提升核与辐射信息化管理水平，建设核与辐射环境监管监测大数据中心平台</w:t>
      </w:r>
      <w:r>
        <w:rPr>
          <w:rFonts w:hint="default" w:ascii="Times New Roman" w:hAnsi="Times New Roman" w:cs="Times New Roman"/>
          <w:color w:val="auto"/>
          <w:lang w:eastAsia="zh-CN"/>
        </w:rPr>
        <w:t>，</w:t>
      </w:r>
      <w:r>
        <w:rPr>
          <w:rFonts w:hint="default" w:ascii="Times New Roman" w:hAnsi="Times New Roman" w:cs="Times New Roman"/>
          <w:color w:val="auto"/>
        </w:rPr>
        <w:t>建设核与辐射可视化数据平台</w:t>
      </w:r>
      <w:r>
        <w:rPr>
          <w:rFonts w:hint="default" w:ascii="Times New Roman" w:hAnsi="Times New Roman" w:cs="Times New Roman"/>
          <w:color w:val="auto"/>
          <w:lang w:eastAsia="zh-CN"/>
        </w:rPr>
        <w:t>，</w:t>
      </w:r>
      <w:r>
        <w:rPr>
          <w:rFonts w:hint="default" w:ascii="Times New Roman" w:hAnsi="Times New Roman" w:cs="Times New Roman"/>
          <w:color w:val="auto"/>
        </w:rPr>
        <w:t>推动辐射环境监管监测自动化。</w:t>
      </w:r>
      <w:r>
        <w:rPr>
          <w:rFonts w:hint="default" w:ascii="Times New Roman" w:hAnsi="Times New Roman" w:cs="Times New Roman"/>
          <w:color w:val="auto"/>
          <w:lang w:val="en-US" w:eastAsia="zh-CN"/>
        </w:rPr>
        <w:t>建立重点流域水体辐射自动系统，健全辐射环境监督性监测能力，使之与核与辐射产业发展和监管需求相匹配。</w:t>
      </w:r>
      <w:r>
        <w:rPr>
          <w:rFonts w:hint="default" w:ascii="Times New Roman" w:hAnsi="Times New Roman" w:cs="Times New Roman"/>
          <w:color w:val="auto"/>
        </w:rPr>
        <w:t>规范废旧放射源安全管理，推动废旧放射源回收再利用。</w:t>
      </w:r>
    </w:p>
    <w:p w14:paraId="00EFA33A">
      <w:pPr>
        <w:pStyle w:val="4"/>
        <w:bidi w:val="0"/>
        <w:jc w:val="center"/>
        <w:rPr>
          <w:rFonts w:hint="default" w:ascii="Times New Roman" w:hAnsi="Times New Roman" w:cs="Times New Roman"/>
          <w:color w:val="auto"/>
          <w:lang w:val="en-US" w:eastAsia="zh-CN"/>
        </w:rPr>
      </w:pPr>
      <w:bookmarkStart w:id="54" w:name="_Toc23432"/>
      <w:r>
        <w:rPr>
          <w:rFonts w:hint="default" w:ascii="Times New Roman" w:hAnsi="Times New Roman" w:cs="Times New Roman"/>
          <w:color w:val="auto"/>
          <w:lang w:val="en-US" w:eastAsia="zh-CN"/>
        </w:rPr>
        <w:t>第四节 积极应对气候变化</w:t>
      </w:r>
      <w:bookmarkEnd w:id="54"/>
    </w:p>
    <w:p w14:paraId="13FF775F">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严格落实碳排放达峰行动方案。</w:t>
      </w:r>
      <w:r>
        <w:rPr>
          <w:rFonts w:hint="default" w:ascii="Times New Roman" w:hAnsi="Times New Roman" w:cs="Times New Roman"/>
          <w:color w:val="auto"/>
          <w:lang w:val="en-US" w:eastAsia="zh-CN"/>
        </w:rPr>
        <w:t>根据国家和省的分阶段、梯次有序达峰要求，严格按照遂宁市2030年前碳排放达峰行动方案要求，优化碳排放预算配置，积极探索符合战略定位、发展阶段、产业特征、能源结构和资源禀赋的绿色低碳转型路径。优先推动大型国有企业制定碳达峰、碳中和行动方案，强化降碳行动，降低碳排放强度。鼓励已经或提前实现碳达峰的重点领域及行业制定控制二氧化碳排放或降碳行动方案，推动碳排放稳中有降。鼓励具备条件的领域及行业企业率先达峰，支持有条件的企业实现碳中和。</w:t>
      </w:r>
    </w:p>
    <w:p w14:paraId="2F6954CF">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有效控制温室气体排放。</w:t>
      </w:r>
      <w:r>
        <w:rPr>
          <w:rFonts w:hint="default" w:ascii="Times New Roman" w:hAnsi="Times New Roman" w:cs="Times New Roman"/>
          <w:color w:val="auto"/>
          <w:lang w:val="en-US" w:eastAsia="zh-CN"/>
        </w:rPr>
        <w:t>加强对重点企业温室气体排放信息披露的监督，积极推进重点企业碳排放核查工作。强化工业过程温室气体排放控制，可在水泥、火电行业试点开展二氧化碳捕集、利用与封存（CCUS）示范；选取电力设备制造等典型行业，积极推进含氟温室气体减量化工作。加强垃圾填埋场、污水处理厂甲烷收集利用，控制秸秆还田中甲烷的排放，积极拓宽秸秆、畜禽粪便等资源化利用途径。</w:t>
      </w:r>
    </w:p>
    <w:p w14:paraId="5F1B6D21">
      <w:pPr>
        <w:pStyle w:val="10"/>
        <w:rPr>
          <w:rFonts w:hint="default" w:ascii="Times New Roman" w:hAnsi="Times New Roman" w:cs="Times New Roman"/>
          <w:b/>
          <w:bCs/>
          <w:color w:val="auto"/>
        </w:rPr>
      </w:pPr>
      <w:r>
        <w:rPr>
          <w:rFonts w:hint="default" w:ascii="Times New Roman" w:hAnsi="Times New Roman" w:cs="Times New Roman"/>
          <w:b/>
          <w:bCs/>
          <w:color w:val="auto"/>
          <w:lang w:val="en-US" w:eastAsia="zh-CN"/>
        </w:rPr>
        <w:t>提升生态系统碳汇能力。</w:t>
      </w:r>
      <w:r>
        <w:rPr>
          <w:rFonts w:hint="default" w:ascii="Times New Roman" w:hAnsi="Times New Roman" w:cs="Times New Roman"/>
          <w:color w:val="auto"/>
          <w:lang w:val="en-US" w:eastAsia="zh-CN"/>
        </w:rPr>
        <w:t>实施生态保护和修复等生态工程，严格落实《关于大力推进林草碳汇高质量发展的意见》要求，有效发挥森林、湿地、土壤的固碳作用，重点加强竹林碳汇工程建设，适度发展森林经营碳汇。深入开展国土绿化行动，实施天然林保护等重点生态建设工程，科学推进水土流失综合治理，有效保护修复自然生态系统。</w:t>
      </w:r>
    </w:p>
    <w:p w14:paraId="743BBFF6">
      <w:pPr>
        <w:rPr>
          <w:rFonts w:hint="default" w:ascii="Times New Roman" w:hAnsi="Times New Roman" w:cs="Times New Roman"/>
          <w:color w:val="auto"/>
        </w:rPr>
      </w:pPr>
      <w:r>
        <w:rPr>
          <w:rFonts w:hint="default" w:ascii="Times New Roman" w:hAnsi="Times New Roman" w:cs="Times New Roman"/>
          <w:b/>
          <w:bCs/>
          <w:color w:val="auto"/>
        </w:rPr>
        <w:t>有序适应气候变化影响</w:t>
      </w:r>
      <w:r>
        <w:rPr>
          <w:rFonts w:hint="default" w:ascii="Times New Roman" w:hAnsi="Times New Roman" w:cs="Times New Roman"/>
          <w:b/>
          <w:bCs/>
          <w:color w:val="auto"/>
          <w:lang w:eastAsia="zh-CN"/>
        </w:rPr>
        <w:t>。</w:t>
      </w:r>
      <w:r>
        <w:rPr>
          <w:rFonts w:hint="default" w:ascii="Times New Roman" w:hAnsi="Times New Roman" w:cs="Times New Roman"/>
          <w:b w:val="0"/>
          <w:bCs w:val="0"/>
          <w:color w:val="auto"/>
        </w:rPr>
        <w:t>积极应对极端天气和气候事件</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加</w:t>
      </w:r>
      <w:r>
        <w:rPr>
          <w:rFonts w:hint="default" w:ascii="Times New Roman" w:hAnsi="Times New Roman" w:cs="Times New Roman"/>
          <w:color w:val="auto"/>
        </w:rPr>
        <w:t>强高温热浪、持续干旱、极端暴雨等极端天气和气候事件及其诱发灾害的监测预警。完善输变电设施抗风、抗压应急预案，增强夏、冬季用电高峰电力供应保障及调峰能力。积极应对热岛效应和城市内涝，建设海绵城市，加强雨洪资源化利用。加强</w:t>
      </w:r>
      <w:r>
        <w:rPr>
          <w:rFonts w:hint="default" w:ascii="Times New Roman" w:hAnsi="Times New Roman" w:cs="Times New Roman"/>
          <w:color w:val="auto"/>
          <w:lang w:eastAsia="zh-CN"/>
        </w:rPr>
        <w:t>极端</w:t>
      </w:r>
      <w:r>
        <w:rPr>
          <w:rFonts w:hint="default" w:ascii="Times New Roman" w:hAnsi="Times New Roman" w:cs="Times New Roman"/>
          <w:color w:val="auto"/>
        </w:rPr>
        <w:t>天气气候健康风险和流行性疾病监测预警，完善极端天气气候事件的卫生应急预案，提高脆弱人群防护能力。</w:t>
      </w:r>
    </w:p>
    <w:p w14:paraId="6DED5097">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深化应对气</w:t>
      </w:r>
      <w:r>
        <w:rPr>
          <w:rFonts w:hint="eastAsia" w:cs="Times New Roman"/>
          <w:b/>
          <w:bCs/>
          <w:color w:val="auto"/>
          <w:lang w:val="en-US" w:eastAsia="zh-CN"/>
        </w:rPr>
        <w:t>候</w:t>
      </w:r>
      <w:r>
        <w:rPr>
          <w:rFonts w:hint="default" w:ascii="Times New Roman" w:hAnsi="Times New Roman" w:cs="Times New Roman"/>
          <w:b/>
          <w:bCs/>
          <w:color w:val="auto"/>
          <w:lang w:val="en-US" w:eastAsia="zh-CN"/>
        </w:rPr>
        <w:t>变化试点示范。</w:t>
      </w:r>
      <w:r>
        <w:rPr>
          <w:rFonts w:hint="default" w:ascii="Times New Roman" w:hAnsi="Times New Roman" w:cs="Times New Roman"/>
          <w:color w:val="auto"/>
          <w:lang w:val="en-US" w:eastAsia="zh-CN"/>
        </w:rPr>
        <w:t>完善重污染天气应急体系。完善PM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和O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污染天气预警应急启动、响应、解除机制，加强重污染天气联合会商预报，重点企业严格按照“一厂一策”应急实施方案，细化各项应急减排措施，采取工业企业停产或限产、公共交通免费对公众开放等方式实现应急减排。</w:t>
      </w:r>
    </w:p>
    <w:p w14:paraId="2E8B26AF">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7FC3A05F">
      <w:pPr>
        <w:pStyle w:val="3"/>
        <w:bidi w:val="0"/>
        <w:jc w:val="center"/>
        <w:rPr>
          <w:rFonts w:hint="default" w:ascii="Times New Roman" w:hAnsi="Times New Roman" w:cs="Times New Roman"/>
          <w:color w:val="auto"/>
          <w:lang w:val="en-US" w:eastAsia="zh-CN"/>
        </w:rPr>
      </w:pPr>
      <w:bookmarkStart w:id="55" w:name="_Toc19807"/>
      <w:r>
        <w:rPr>
          <w:rFonts w:hint="default" w:ascii="Times New Roman" w:hAnsi="Times New Roman" w:cs="Times New Roman"/>
          <w:color w:val="auto"/>
          <w:lang w:eastAsia="zh-CN"/>
        </w:rPr>
        <w:t>第十一章</w:t>
      </w:r>
      <w:r>
        <w:rPr>
          <w:rFonts w:hint="default" w:ascii="Times New Roman" w:hAnsi="Times New Roman" w:cs="Times New Roman"/>
          <w:color w:val="auto"/>
          <w:lang w:val="en-US" w:eastAsia="zh-CN"/>
        </w:rPr>
        <w:t xml:space="preserve"> 深化改革创新，构建现代环境治理体系</w:t>
      </w:r>
      <w:bookmarkEnd w:id="55"/>
    </w:p>
    <w:p w14:paraId="661709F2">
      <w:pPr>
        <w:pStyle w:val="4"/>
        <w:bidi w:val="0"/>
        <w:jc w:val="center"/>
        <w:rPr>
          <w:rFonts w:hint="default" w:ascii="Times New Roman" w:hAnsi="Times New Roman" w:cs="Times New Roman"/>
          <w:color w:val="auto"/>
          <w:lang w:val="en-US" w:eastAsia="zh-CN"/>
        </w:rPr>
      </w:pPr>
      <w:bookmarkStart w:id="56" w:name="_Toc17626"/>
      <w:r>
        <w:rPr>
          <w:rFonts w:hint="default" w:ascii="Times New Roman" w:hAnsi="Times New Roman" w:cs="Times New Roman"/>
          <w:color w:val="auto"/>
          <w:lang w:val="en-US" w:eastAsia="zh-CN"/>
        </w:rPr>
        <w:t>第一节 构建更严明的环境责任体系</w:t>
      </w:r>
      <w:bookmarkEnd w:id="56"/>
    </w:p>
    <w:p w14:paraId="157B3E8A">
      <w:pP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健全政府主导的责任体系。</w:t>
      </w:r>
      <w:r>
        <w:rPr>
          <w:rFonts w:hint="default" w:ascii="Times New Roman" w:hAnsi="Times New Roman" w:cs="Times New Roman"/>
          <w:color w:val="auto"/>
          <w:lang w:val="en-US" w:eastAsia="zh-CN"/>
        </w:rPr>
        <w:t>健全领导责任体系。建立健全生态文明建设领导机制，将生态文明建设目标评价考核结果作为评价领导干部政绩、年度考核和选拔任用的重要依据。市县党委和政府对行政区环境治理承担具体责任，统筹做好监管执法、市场规范、资金安排、宣传教育等工作。实施生态环境保护责任清单，相关部门严格落实“一岗双责”。深入落实生态环境保护督察。严格执行中央和省两级生态环境保护督察制度，推进例行督察，加强专项督察，严格督察整改。进一步完善排查、交办、核查、约谈、专项督察“五步法”工作模式，加强对各县（区）技术指导，强化监督帮扶。</w:t>
      </w:r>
    </w:p>
    <w:p w14:paraId="56A307FF">
      <w:pPr>
        <w:pStyle w:val="1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夯实企业主责的责任体系。</w:t>
      </w:r>
      <w:r>
        <w:rPr>
          <w:rFonts w:hint="default" w:ascii="Times New Roman" w:hAnsi="Times New Roman" w:cs="Times New Roman"/>
          <w:color w:val="auto"/>
          <w:lang w:val="en-US" w:eastAsia="zh-CN"/>
        </w:rPr>
        <w:t>全面实行排污许可管理制度。加强对企业排污行为的监督检查，强化企业持证排污和按证排污。推进生产服务绿色化。优化原料投入，依法依规淘汰落后生产工艺技术。积极践行绿色生产方式，大力开展技术创新，加大清洁生产推行力度，加强全过程管理，减少污染物排放。提供资源节约、环境友好的产品和服务。落实生产者责任延伸制度。提高治污能力和水平。加强企业履行环境污染治理和损害修复的主体责任。督促企业严格执行法律法规，接受社会监督。重点排污企业要安装使用监测设备并确保正常运行，坚决杜绝治理效果和监测数据造假。公开环境治理信息。排污企业应通过企业网站等途径依法公开主要污染物名称、排放方式、执行标准以及污染防治设施建设和运行情况，并对信息真实性负责。</w:t>
      </w:r>
    </w:p>
    <w:p w14:paraId="543E503E">
      <w:pPr>
        <w:pStyle w:val="4"/>
        <w:bidi w:val="0"/>
        <w:jc w:val="center"/>
        <w:rPr>
          <w:rFonts w:hint="default" w:ascii="Times New Roman" w:hAnsi="Times New Roman" w:cs="Times New Roman"/>
          <w:color w:val="auto"/>
          <w:lang w:val="en-US" w:eastAsia="zh-CN"/>
        </w:rPr>
      </w:pPr>
      <w:bookmarkStart w:id="57" w:name="_Toc27224"/>
      <w:r>
        <w:rPr>
          <w:rFonts w:hint="default" w:ascii="Times New Roman" w:hAnsi="Times New Roman" w:cs="Times New Roman"/>
          <w:color w:val="auto"/>
          <w:lang w:val="en-US" w:eastAsia="zh-CN"/>
        </w:rPr>
        <w:t>第二节 塑造更高效的市场治理体系</w:t>
      </w:r>
      <w:bookmarkEnd w:id="57"/>
    </w:p>
    <w:p w14:paraId="4D32796E">
      <w:pPr>
        <w:widowControl w:val="0"/>
        <w:numPr>
          <w:ilvl w:val="0"/>
          <w:numId w:val="0"/>
        </w:numPr>
        <w:adjustRightInd w:val="0"/>
        <w:snapToGrid w:val="0"/>
        <w:spacing w:line="560" w:lineRule="exact"/>
        <w:ind w:firstLine="602" w:firstLineChars="200"/>
        <w:jc w:val="both"/>
        <w:rPr>
          <w:rFonts w:hint="default" w:ascii="Times New Roman" w:hAnsi="Times New Roman" w:cs="Times New Roman"/>
          <w:color w:val="auto"/>
          <w:lang w:eastAsia="zh-CN"/>
        </w:rPr>
      </w:pPr>
      <w:r>
        <w:rPr>
          <w:rFonts w:hint="default" w:ascii="Times New Roman" w:hAnsi="Times New Roman" w:cs="Times New Roman"/>
          <w:b/>
          <w:bCs/>
          <w:color w:val="auto"/>
          <w:lang w:eastAsia="zh-CN"/>
        </w:rPr>
        <w:t>规范环境治理市场秩序。</w:t>
      </w:r>
      <w:r>
        <w:rPr>
          <w:rFonts w:hint="default" w:ascii="Times New Roman" w:hAnsi="Times New Roman" w:cs="Times New Roman"/>
          <w:color w:val="auto"/>
          <w:lang w:eastAsia="zh-CN"/>
        </w:rPr>
        <w:t>规范生态环境领域政府投资项目社会资本生产准入条件，平等对待各类市场主体，引导各类资本参与环境治理与服务投资、建设、运行。规范市场秩序，强化企业环境信用评价结果应用，建立健全管理制度和失信惩戒机制，减少恶意竞争，防止恶意低价中标，加快形成公开透明、规范有序的环境治理市场环境。</w:t>
      </w:r>
    </w:p>
    <w:p w14:paraId="3A4A678D">
      <w:pPr>
        <w:widowControl w:val="0"/>
        <w:numPr>
          <w:ilvl w:val="0"/>
          <w:numId w:val="0"/>
        </w:numPr>
        <w:adjustRightInd w:val="0"/>
        <w:snapToGrid w:val="0"/>
        <w:spacing w:line="560" w:lineRule="exact"/>
        <w:ind w:firstLine="602" w:firstLineChars="200"/>
        <w:jc w:val="both"/>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创新污染治理模式。</w:t>
      </w:r>
      <w:r>
        <w:rPr>
          <w:rFonts w:hint="default" w:ascii="Times New Roman" w:hAnsi="Times New Roman" w:cs="Times New Roman"/>
          <w:color w:val="auto"/>
          <w:lang w:eastAsia="zh-CN"/>
        </w:rPr>
        <w:t>鼓励在工业园区和重点行业推行统一规划、统一监测、统一治理的模式，鼓励工业污染地块采用“环境修复+开发建设”模式。推广“环保管家”等环境治理综合服务模式，推动“谁污染、谁治理”向“污染者付费、第三方治理”模式转变。健全环境污染第三方治理服务标准规范及治理效果评估机制，合理划分排污单位与第三方治理企业责任。</w:t>
      </w:r>
    </w:p>
    <w:p w14:paraId="0CE94DBA">
      <w:pPr>
        <w:widowControl w:val="0"/>
        <w:numPr>
          <w:ilvl w:val="0"/>
          <w:numId w:val="0"/>
        </w:numPr>
        <w:adjustRightInd w:val="0"/>
        <w:snapToGrid w:val="0"/>
        <w:spacing w:line="560" w:lineRule="exact"/>
        <w:ind w:firstLine="602" w:firstLineChars="200"/>
        <w:jc w:val="both"/>
        <w:rPr>
          <w:rFonts w:hint="default" w:ascii="Times New Roman" w:hAnsi="Times New Roman" w:cs="Times New Roman"/>
          <w:color w:val="auto"/>
          <w:lang w:eastAsia="zh-CN"/>
        </w:rPr>
      </w:pPr>
      <w:r>
        <w:rPr>
          <w:rFonts w:hint="default" w:ascii="Times New Roman" w:hAnsi="Times New Roman" w:cs="Times New Roman"/>
          <w:b/>
          <w:bCs/>
          <w:color w:val="auto"/>
          <w:lang w:eastAsia="zh-CN"/>
        </w:rPr>
        <w:t>完善环境治理价格机制。</w:t>
      </w:r>
      <w:r>
        <w:rPr>
          <w:rFonts w:hint="default" w:ascii="Times New Roman" w:hAnsi="Times New Roman" w:cs="Times New Roman"/>
          <w:color w:val="auto"/>
          <w:lang w:eastAsia="zh-CN"/>
        </w:rPr>
        <w:t>建立及完善绿色价格机制，健全污染减排激励约束机制，促进企业降低大气、水污染物排放浓度，减少温室气体排放，提高固体废物综合利用率。落实第三方防治企业所得税、污水垃圾与污泥处理及再生水产品增值税等相关税收优惠政策。健全固体废弃物处理收费机制，逐步建立计量收费、分类计价的生活垃圾处理收费机制。落实节能环保电价政策，严格执行差别化电价政策。</w:t>
      </w:r>
    </w:p>
    <w:p w14:paraId="3645D998">
      <w:pPr>
        <w:pStyle w:val="4"/>
        <w:numPr>
          <w:ilvl w:val="0"/>
          <w:numId w:val="0"/>
        </w:numPr>
        <w:bidi w:val="0"/>
        <w:ind w:leftChars="200"/>
        <w:jc w:val="center"/>
        <w:rPr>
          <w:rFonts w:hint="default" w:ascii="Times New Roman" w:hAnsi="Times New Roman" w:cs="Times New Roman"/>
          <w:color w:val="auto"/>
          <w:lang w:val="en-US" w:eastAsia="zh-CN"/>
        </w:rPr>
      </w:pPr>
      <w:bookmarkStart w:id="58" w:name="_Toc15677"/>
      <w:r>
        <w:rPr>
          <w:rFonts w:hint="default" w:ascii="Times New Roman" w:hAnsi="Times New Roman" w:cs="Times New Roman"/>
          <w:color w:val="auto"/>
          <w:lang w:val="en-US" w:eastAsia="zh-CN"/>
        </w:rPr>
        <w:t>第三节 建立更完善的监管制度体系</w:t>
      </w:r>
      <w:bookmarkEnd w:id="58"/>
    </w:p>
    <w:p w14:paraId="2827C0C3">
      <w:pPr>
        <w:ind w:firstLine="562"/>
        <w:rPr>
          <w:rFonts w:hint="default" w:ascii="Times New Roman" w:hAnsi="Times New Roman" w:cs="Times New Roman"/>
          <w:color w:val="auto"/>
        </w:rPr>
      </w:pPr>
      <w:r>
        <w:rPr>
          <w:rFonts w:hint="default" w:ascii="Times New Roman" w:hAnsi="Times New Roman" w:cs="Times New Roman"/>
          <w:b/>
          <w:bCs/>
          <w:color w:val="auto"/>
          <w:lang w:eastAsia="zh-CN"/>
        </w:rPr>
        <w:t>推进</w:t>
      </w:r>
      <w:r>
        <w:rPr>
          <w:rFonts w:hint="default" w:ascii="Times New Roman" w:hAnsi="Times New Roman" w:cs="Times New Roman"/>
          <w:b/>
          <w:bCs/>
          <w:color w:val="auto"/>
        </w:rPr>
        <w:t>网格化环境监管体系</w:t>
      </w:r>
      <w:r>
        <w:rPr>
          <w:rFonts w:hint="default" w:ascii="Times New Roman" w:hAnsi="Times New Roman" w:cs="Times New Roman"/>
          <w:b/>
          <w:bCs/>
          <w:color w:val="auto"/>
          <w:lang w:eastAsia="zh-CN"/>
        </w:rPr>
        <w:t>建设</w:t>
      </w:r>
      <w:r>
        <w:rPr>
          <w:rFonts w:hint="default" w:ascii="Times New Roman" w:hAnsi="Times New Roman" w:cs="Times New Roman"/>
          <w:b/>
          <w:bCs/>
          <w:color w:val="auto"/>
        </w:rPr>
        <w:t>。</w:t>
      </w:r>
      <w:r>
        <w:rPr>
          <w:rFonts w:hint="default" w:ascii="Times New Roman" w:hAnsi="Times New Roman" w:cs="Times New Roman"/>
          <w:color w:val="auto"/>
        </w:rPr>
        <w:t>以改善环境质量、确保环境安全、服务科学发展、倒逼产业绿色转型为主线，以整合管理资源、提升监管效能、消除环境监管盲区为重点，科学建立网格化环境监管体系，形成全社会广泛参与的环境监管大格局。按照“属地管理、分级负责、无缝对接、全面覆盖、责任到人”的原则，以</w:t>
      </w:r>
      <w:r>
        <w:rPr>
          <w:rFonts w:hint="default" w:ascii="Times New Roman" w:hAnsi="Times New Roman" w:cs="Times New Roman"/>
          <w:color w:val="auto"/>
          <w:lang w:eastAsia="zh-CN"/>
        </w:rPr>
        <w:t>蓬溪</w:t>
      </w:r>
      <w:r>
        <w:rPr>
          <w:rFonts w:hint="default" w:ascii="Times New Roman" w:hAnsi="Times New Roman" w:cs="Times New Roman"/>
          <w:color w:val="auto"/>
        </w:rPr>
        <w:t>县县政府为责任主体，明确相关部门环境监管职能，构建县、镇、村（居）委会、重点企业四级网格，县政府负责统一组织、指导、监督网格化环境监管体系的建立和运行。</w:t>
      </w:r>
    </w:p>
    <w:p w14:paraId="3D257E91">
      <w:pPr>
        <w:ind w:firstLine="562"/>
        <w:rPr>
          <w:rFonts w:hint="default" w:ascii="Times New Roman" w:hAnsi="Times New Roman" w:cs="Times New Roman"/>
          <w:color w:val="auto"/>
        </w:rPr>
      </w:pPr>
      <w:r>
        <w:rPr>
          <w:rFonts w:hint="default" w:ascii="Times New Roman" w:hAnsi="Times New Roman" w:cs="Times New Roman"/>
          <w:b/>
          <w:bCs/>
          <w:color w:val="auto"/>
        </w:rPr>
        <w:t>建设测管协同的污染源监测体系</w:t>
      </w:r>
      <w:r>
        <w:rPr>
          <w:rFonts w:hint="default" w:ascii="Times New Roman" w:hAnsi="Times New Roman" w:cs="Times New Roman"/>
          <w:color w:val="auto"/>
        </w:rPr>
        <w:t>。加强对工业污染源、农业污染源、生活污染源和移动源等监督性监测，</w:t>
      </w:r>
      <w:r>
        <w:rPr>
          <w:rFonts w:hint="default" w:ascii="Times New Roman" w:hAnsi="Times New Roman" w:cs="Times New Roman"/>
          <w:color w:val="auto"/>
          <w:lang w:eastAsia="zh-CN"/>
        </w:rPr>
        <w:t>推进</w:t>
      </w:r>
      <w:r>
        <w:rPr>
          <w:rFonts w:hint="default" w:ascii="Times New Roman" w:hAnsi="Times New Roman" w:cs="Times New Roman"/>
          <w:color w:val="auto"/>
        </w:rPr>
        <w:t>秸秆禁烧监管能力建设</w:t>
      </w:r>
      <w:r>
        <w:rPr>
          <w:rFonts w:hint="default" w:ascii="Times New Roman" w:hAnsi="Times New Roman" w:cs="Times New Roman"/>
          <w:color w:val="auto"/>
          <w:lang w:eastAsia="zh-CN"/>
        </w:rPr>
        <w:t>、挥发性有机物监管能力建设</w:t>
      </w:r>
      <w:r>
        <w:rPr>
          <w:rFonts w:hint="default" w:ascii="Times New Roman" w:hAnsi="Times New Roman" w:cs="Times New Roman"/>
          <w:color w:val="auto"/>
        </w:rPr>
        <w:t>，并依托重点污染源监控平台，规范污染源监测数据传输、联网、发布及应用管理系统，及时分析排污单位监测数据，增加污染源监测综合管理与超标、超总量报警功能，重点行业重点企业建设视频和电力监控设施，实现环境监测与监督执法联动。各类重点排污单位严格落实《排污许可管理条例》和《国家重点监控企业污染源监督性监测及信息公开办法》污染物排放自行监测制度，依法公开监测数据。</w:t>
      </w:r>
    </w:p>
    <w:p w14:paraId="00CD8221">
      <w:pPr>
        <w:bidi w:val="0"/>
        <w:rPr>
          <w:rFonts w:hint="default" w:ascii="Times New Roman" w:hAnsi="Times New Roman" w:cs="Times New Roman"/>
          <w:color w:val="auto"/>
        </w:rPr>
      </w:pPr>
      <w:r>
        <w:rPr>
          <w:rFonts w:hint="default" w:ascii="Times New Roman" w:hAnsi="Times New Roman" w:cs="Times New Roman"/>
          <w:b/>
          <w:bCs/>
          <w:color w:val="auto"/>
        </w:rPr>
        <w:t>深化环境体制机制改革，加大生态环境执法力度</w:t>
      </w:r>
      <w:r>
        <w:rPr>
          <w:rFonts w:hint="default" w:ascii="Times New Roman" w:hAnsi="Times New Roman" w:cs="Times New Roman"/>
          <w:color w:val="auto"/>
        </w:rPr>
        <w:t>。持续深化“放管服”改革，推进环评审批、排污许可、环保竣工验收、环保督察、“回头看”、政务办理等管理机制优化。深化落实环评改革，完善环评审批与排污许可衔接整合新机制。严格落实生态环境行政执法公示制度、执法全过程记录制度和重大执法决定法治审核制度。推进“双随机、一公开”环境监管模式。加强司法保障，完善生态环境损害赔偿磋商制度，强化对生态环境违法犯罪行为的查处侦办。加强环境执法联动，形成执法合力，推进环境监督执法能力现代化。</w:t>
      </w:r>
    </w:p>
    <w:p w14:paraId="18F904A8">
      <w:pPr>
        <w:pStyle w:val="4"/>
        <w:bidi w:val="0"/>
        <w:jc w:val="center"/>
        <w:rPr>
          <w:rFonts w:hint="default" w:ascii="Times New Roman" w:hAnsi="Times New Roman" w:cs="Times New Roman"/>
          <w:color w:val="auto"/>
          <w:lang w:val="en-US" w:eastAsia="zh-CN"/>
        </w:rPr>
      </w:pPr>
      <w:bookmarkStart w:id="59" w:name="_Toc1246"/>
      <w:r>
        <w:rPr>
          <w:rFonts w:hint="default" w:ascii="Times New Roman" w:hAnsi="Times New Roman" w:cs="Times New Roman"/>
          <w:color w:val="auto"/>
          <w:lang w:val="en-US" w:eastAsia="zh-CN"/>
        </w:rPr>
        <w:t>第四节 健全环境治理全民行动体系</w:t>
      </w:r>
      <w:bookmarkEnd w:id="59"/>
    </w:p>
    <w:p w14:paraId="301EA5FC">
      <w:pPr>
        <w:ind w:firstLine="562"/>
        <w:rPr>
          <w:rFonts w:hint="default" w:ascii="Times New Roman" w:hAnsi="Times New Roman" w:eastAsia="仿宋_GB2312" w:cs="Times New Roman"/>
          <w:b w:val="0"/>
          <w:bCs/>
          <w:color w:val="auto"/>
          <w:szCs w:val="28"/>
          <w:lang w:eastAsia="zh-CN"/>
        </w:rPr>
      </w:pPr>
      <w:r>
        <w:rPr>
          <w:rFonts w:hint="default" w:ascii="Times New Roman" w:hAnsi="Times New Roman" w:eastAsia="仿宋_GB2312" w:cs="Times New Roman"/>
          <w:b/>
          <w:color w:val="auto"/>
          <w:szCs w:val="28"/>
        </w:rPr>
        <w:t>增强全社会生态环保意识</w:t>
      </w:r>
      <w:r>
        <w:rPr>
          <w:rFonts w:hint="default" w:ascii="Times New Roman" w:hAnsi="Times New Roman" w:eastAsia="仿宋_GB2312" w:cs="Times New Roman"/>
          <w:b/>
          <w:color w:val="auto"/>
          <w:szCs w:val="28"/>
          <w:lang w:eastAsia="zh-CN"/>
        </w:rPr>
        <w:t>。</w:t>
      </w:r>
      <w:r>
        <w:rPr>
          <w:rFonts w:hint="default" w:ascii="Times New Roman" w:hAnsi="Times New Roman" w:eastAsia="仿宋_GB2312" w:cs="Times New Roman"/>
          <w:b w:val="0"/>
          <w:bCs/>
          <w:color w:val="auto"/>
          <w:szCs w:val="28"/>
          <w:lang w:eastAsia="zh-CN"/>
        </w:rPr>
        <w:t>加强生态环保宣传教育。将生态文明纳入党政领导干部培训和国民教育体系，推进县、街道、社区等各级党政领导干部定期开展生态文明培训。大力推广生态环境文化产品，挖掘特色生态元素，打响“蓬溪文化”品牌；加大生态环境公益广告宣传力度，创新生态环保宣教模式，营造浓厚的绿色文化氛围，增强城乡居民生态环境保护意识。</w:t>
      </w:r>
    </w:p>
    <w:p w14:paraId="39DE570B">
      <w:pPr>
        <w:ind w:firstLine="562"/>
        <w:rPr>
          <w:rFonts w:hint="default" w:ascii="Times New Roman" w:hAnsi="Times New Roman" w:eastAsia="仿宋_GB2312" w:cs="Times New Roman"/>
          <w:b w:val="0"/>
          <w:bCs/>
          <w:color w:val="auto"/>
          <w:szCs w:val="28"/>
          <w:lang w:val="en-US" w:eastAsia="zh-CN"/>
        </w:rPr>
      </w:pPr>
      <w:r>
        <w:rPr>
          <w:rFonts w:hint="default" w:ascii="Times New Roman" w:hAnsi="Times New Roman" w:eastAsia="仿宋_GB2312" w:cs="Times New Roman"/>
          <w:b/>
          <w:bCs w:val="0"/>
          <w:color w:val="auto"/>
          <w:szCs w:val="28"/>
          <w:lang w:eastAsia="zh-CN"/>
        </w:rPr>
        <w:t>做好生态文明特色宣教。</w:t>
      </w:r>
      <w:r>
        <w:rPr>
          <w:rFonts w:hint="default" w:ascii="Times New Roman" w:hAnsi="Times New Roman" w:eastAsia="仿宋_GB2312" w:cs="Times New Roman"/>
          <w:b w:val="0"/>
          <w:bCs/>
          <w:color w:val="auto"/>
          <w:szCs w:val="28"/>
          <w:lang w:eastAsia="zh-CN"/>
        </w:rPr>
        <w:t>加快环境教育基地和自然学校创建，为各级学校和广大市民提供生态环境保护教育服务。</w:t>
      </w:r>
      <w:r>
        <w:rPr>
          <w:rFonts w:hint="default" w:ascii="Times New Roman" w:hAnsi="Times New Roman" w:eastAsia="仿宋_GB2312" w:cs="Times New Roman"/>
          <w:color w:val="auto"/>
        </w:rPr>
        <w:t>以环保教育进学校、进社区、进工厂、进机关等方式，引导全社会形成尊重自然、顺应自然、保护自然的社会主义生态文明观。</w:t>
      </w:r>
      <w:r>
        <w:rPr>
          <w:rFonts w:hint="default" w:ascii="Times New Roman" w:hAnsi="Times New Roman" w:eastAsia="仿宋_GB2312" w:cs="Times New Roman"/>
          <w:color w:val="auto"/>
          <w:lang w:eastAsia="zh-CN"/>
        </w:rPr>
        <w:t>到</w:t>
      </w:r>
      <w:r>
        <w:rPr>
          <w:rFonts w:hint="default" w:ascii="Times New Roman" w:hAnsi="Times New Roman" w:eastAsia="仿宋_GB2312" w:cs="Times New Roman"/>
          <w:color w:val="auto"/>
          <w:lang w:val="en-US" w:eastAsia="zh-CN"/>
        </w:rPr>
        <w:t>2025年，公众对生态文明建设的参与度达到95%以上。</w:t>
      </w:r>
    </w:p>
    <w:p w14:paraId="67C49156">
      <w:pPr>
        <w:ind w:firstLine="562"/>
        <w:rPr>
          <w:rFonts w:hint="default" w:ascii="Times New Roman" w:hAnsi="Times New Roman" w:eastAsia="仿宋_GB2312" w:cs="Times New Roman"/>
          <w:color w:val="auto"/>
        </w:rPr>
      </w:pPr>
      <w:r>
        <w:rPr>
          <w:rFonts w:hint="default" w:ascii="Times New Roman" w:hAnsi="Times New Roman" w:eastAsia="仿宋_GB2312" w:cs="Times New Roman"/>
          <w:b/>
          <w:color w:val="auto"/>
          <w:szCs w:val="28"/>
        </w:rPr>
        <w:t>推进生态环保全民行动</w:t>
      </w:r>
      <w:r>
        <w:rPr>
          <w:rFonts w:hint="default" w:ascii="Times New Roman" w:hAnsi="Times New Roman" w:eastAsia="仿宋_GB2312" w:cs="Times New Roman"/>
          <w:b/>
          <w:color w:val="auto"/>
          <w:szCs w:val="28"/>
          <w:lang w:eastAsia="zh-CN"/>
        </w:rPr>
        <w:t>。</w:t>
      </w:r>
      <w:r>
        <w:rPr>
          <w:rFonts w:hint="default" w:ascii="Times New Roman" w:hAnsi="Times New Roman" w:eastAsia="仿宋_GB2312" w:cs="Times New Roman"/>
          <w:color w:val="auto"/>
        </w:rPr>
        <w:t>严格执行政府对节能、节水、绿色建材等环保产品的优先采购和强制采购制度，扩大政府绿色采购范围。推动企业增强环保自律意识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深入推进企业标准“领跑者”制度，引导企业自觉做好源头污染防治，积极践行绿色生产方式。依托生态环保公益组织和环保志愿者，带动公众主动参与生态环保公益活动。强化公众监督与参与</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加大政府网站及新媒体环境信息服务功能建设，畅通和拓展公众参与环保监督途径。</w:t>
      </w:r>
      <w:r>
        <w:rPr>
          <w:rFonts w:hint="default" w:ascii="Times New Roman" w:hAnsi="Times New Roman" w:eastAsia="仿宋_GB2312" w:cs="Times New Roman"/>
          <w:color w:val="auto"/>
          <w:lang w:eastAsia="zh-CN"/>
        </w:rPr>
        <w:t>到</w:t>
      </w:r>
      <w:r>
        <w:rPr>
          <w:rFonts w:hint="default" w:ascii="Times New Roman" w:hAnsi="Times New Roman" w:eastAsia="仿宋_GB2312" w:cs="Times New Roman"/>
          <w:color w:val="auto"/>
          <w:lang w:val="en-US" w:eastAsia="zh-CN"/>
        </w:rPr>
        <w:t>2025年，公众对生态文明建设的满意度达到90%以上。</w:t>
      </w:r>
    </w:p>
    <w:p w14:paraId="6B024475">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549D018F">
      <w:pPr>
        <w:pStyle w:val="3"/>
        <w:bidi w:val="0"/>
        <w:jc w:val="center"/>
        <w:rPr>
          <w:rFonts w:hint="default" w:ascii="Times New Roman" w:hAnsi="Times New Roman" w:cs="Times New Roman"/>
          <w:color w:val="auto"/>
          <w:lang w:val="en-US" w:eastAsia="zh-CN"/>
        </w:rPr>
      </w:pPr>
      <w:bookmarkStart w:id="60" w:name="_Toc3514"/>
      <w:r>
        <w:rPr>
          <w:rFonts w:hint="default" w:ascii="Times New Roman" w:hAnsi="Times New Roman" w:cs="Times New Roman"/>
          <w:color w:val="auto"/>
          <w:lang w:val="en-US" w:eastAsia="zh-CN"/>
        </w:rPr>
        <w:t>第十二章 规划实施保障措施</w:t>
      </w:r>
      <w:bookmarkEnd w:id="60"/>
    </w:p>
    <w:p w14:paraId="56ECF54C">
      <w:pPr>
        <w:pStyle w:val="4"/>
        <w:bidi w:val="0"/>
        <w:jc w:val="center"/>
        <w:rPr>
          <w:rFonts w:hint="default" w:ascii="Times New Roman" w:hAnsi="Times New Roman" w:cs="Times New Roman"/>
          <w:color w:val="auto"/>
          <w:lang w:val="en-US" w:eastAsia="zh-CN"/>
        </w:rPr>
      </w:pPr>
      <w:bookmarkStart w:id="61" w:name="_Toc12763"/>
      <w:r>
        <w:rPr>
          <w:rFonts w:hint="default" w:ascii="Times New Roman" w:hAnsi="Times New Roman" w:cs="Times New Roman"/>
          <w:color w:val="auto"/>
          <w:lang w:eastAsia="zh-CN"/>
        </w:rPr>
        <w:t>第一节</w:t>
      </w:r>
      <w:r>
        <w:rPr>
          <w:rFonts w:hint="default" w:ascii="Times New Roman" w:hAnsi="Times New Roman" w:cs="Times New Roman"/>
          <w:color w:val="auto"/>
          <w:lang w:val="en-US" w:eastAsia="zh-CN"/>
        </w:rPr>
        <w:t xml:space="preserve"> 加强组织领导</w:t>
      </w:r>
      <w:bookmarkEnd w:id="61"/>
    </w:p>
    <w:p w14:paraId="56C362F0">
      <w:pPr>
        <w:spacing w:line="360" w:lineRule="auto"/>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sz w:val="28"/>
          <w:szCs w:val="28"/>
        </w:rPr>
        <w:t>明确县委县政府是规划实施的责任主体，坚持经济社会发展与生态环境保护一同谋划、一起部署、一体推进。推进部门协调联动，环保部门负责规划协调、环境监管与规范，其他部门按照职能分工落实相关环境保护工作。严格落实生态环境保护党政同责、一岗双责，健全环境治理领导责任体系，完善全县工作落实的工作机制，统筹做好监管执法、市场规范、资金安排、宣传教育等工作。全面承担</w:t>
      </w:r>
      <w:r>
        <w:rPr>
          <w:rFonts w:hint="default" w:ascii="Times New Roman" w:hAnsi="Times New Roman" w:eastAsia="仿宋_GB2312" w:cs="Times New Roman"/>
          <w:color w:val="auto"/>
          <w:sz w:val="28"/>
          <w:szCs w:val="28"/>
          <w:lang w:eastAsia="zh-CN"/>
        </w:rPr>
        <w:t>蓬溪</w:t>
      </w:r>
      <w:r>
        <w:rPr>
          <w:rFonts w:hint="default" w:ascii="Times New Roman" w:hAnsi="Times New Roman" w:eastAsia="仿宋_GB2312" w:cs="Times New Roman"/>
          <w:color w:val="auto"/>
          <w:sz w:val="28"/>
          <w:szCs w:val="28"/>
        </w:rPr>
        <w:t>县主要环境治理支出责任，优化完善各级党政领导班子环境治理考核评价内容和体系，规划确定的约束性指标纳入各乡镇、各部门经济社会发展综合评价和生态文明建设绩效考核。加强人大、政协对环境保护工作的监督。</w:t>
      </w:r>
    </w:p>
    <w:p w14:paraId="14CDA482">
      <w:pPr>
        <w:pStyle w:val="4"/>
        <w:bidi w:val="0"/>
        <w:jc w:val="center"/>
        <w:rPr>
          <w:rFonts w:hint="default" w:ascii="Times New Roman" w:hAnsi="Times New Roman" w:cs="Times New Roman"/>
          <w:color w:val="auto"/>
          <w:lang w:eastAsia="zh-CN"/>
        </w:rPr>
      </w:pPr>
      <w:bookmarkStart w:id="62" w:name="_Toc12173"/>
      <w:r>
        <w:rPr>
          <w:rFonts w:hint="default" w:ascii="Times New Roman" w:hAnsi="Times New Roman" w:cs="Times New Roman"/>
          <w:color w:val="auto"/>
          <w:lang w:eastAsia="zh-CN"/>
        </w:rPr>
        <w:t>第二节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强化资金投入</w:t>
      </w:r>
      <w:bookmarkEnd w:id="62"/>
    </w:p>
    <w:p w14:paraId="1CDBF6F1">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进一步完善政府财政环境治理资金投入，建立健全常态化、稳定的环境治理财政资金投入机制。加大对环境基础设施建设的投入力度，加强对企业节能减排和污染治理的必要支持。充分发挥税收支持作用，加强环境保护税与排污许可证、环境执法等其他制度的衔接。完善绿色金融机制，发展绿色金融，鼓励保险机构创新绿色保险产品和服务，鼓励符合条件的企业和金融机构发行绿色债券。发挥市场的资源配置作用，完善税费、排污权交易、环境污染第三方治理、绿色制造、绿色金融、环保管家等的政策机制，促进资源节约和生态环境保护，探索实践基于排污权、碳排放权等各类环境权益的融资工具。</w:t>
      </w:r>
    </w:p>
    <w:p w14:paraId="4844B47B">
      <w:pPr>
        <w:pStyle w:val="4"/>
        <w:numPr>
          <w:ilvl w:val="0"/>
          <w:numId w:val="0"/>
        </w:numPr>
        <w:bidi w:val="0"/>
        <w:jc w:val="center"/>
        <w:rPr>
          <w:rFonts w:hint="default" w:ascii="Times New Roman" w:hAnsi="Times New Roman" w:cs="Times New Roman"/>
          <w:color w:val="auto"/>
          <w:lang w:eastAsia="zh-CN"/>
        </w:rPr>
      </w:pPr>
      <w:bookmarkStart w:id="63" w:name="_Toc17833"/>
      <w:r>
        <w:rPr>
          <w:rFonts w:hint="default" w:ascii="Times New Roman" w:hAnsi="Times New Roman" w:cs="Times New Roman"/>
          <w:color w:val="auto"/>
          <w:lang w:eastAsia="zh-CN"/>
        </w:rPr>
        <w:t>第三节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加强科技支撑</w:t>
      </w:r>
      <w:bookmarkEnd w:id="63"/>
    </w:p>
    <w:p w14:paraId="0523EC3E">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完善环保科技体制机制，以市场为导向，发挥企业技术创新主体作用，鼓励民间资本和小微企业参与环境技术研发，提升中小微企业环保科技创新能力。探索生态挥发基础上的可持续发展经济新模式，增强生态保护与建设的动力活力。健全科技成果储备、更新和比选机制，建立种类丰富，来源广泛和层次多样的生态建设科技成果库。深化环保科技合作，支持高水平环保科研人才与我县开展合作研究，提升合作层次和水平。推动高层次专家和团队联合承担科研项目。加强人才交流、培训，通过技术引进、革新和集成创新进一步提升县</w:t>
      </w:r>
      <w:r>
        <w:rPr>
          <w:rFonts w:hint="default" w:ascii="Times New Roman" w:hAnsi="Times New Roman" w:cs="Times New Roman"/>
          <w:color w:val="auto"/>
          <w:lang w:eastAsia="zh-CN"/>
        </w:rPr>
        <w:t>域</w:t>
      </w:r>
      <w:r>
        <w:rPr>
          <w:rFonts w:hint="default" w:ascii="Times New Roman" w:hAnsi="Times New Roman" w:eastAsia="仿宋_GB2312" w:cs="Times New Roman"/>
          <w:color w:val="auto"/>
          <w:lang w:eastAsia="zh-CN"/>
        </w:rPr>
        <w:t>环保科技的整体水平。</w:t>
      </w:r>
    </w:p>
    <w:p w14:paraId="68031A12">
      <w:pPr>
        <w:pStyle w:val="4"/>
        <w:bidi w:val="0"/>
        <w:jc w:val="center"/>
        <w:rPr>
          <w:rFonts w:hint="default" w:ascii="Times New Roman" w:hAnsi="Times New Roman" w:cs="Times New Roman"/>
          <w:color w:val="auto"/>
          <w:lang w:eastAsia="zh-CN"/>
        </w:rPr>
      </w:pPr>
      <w:bookmarkStart w:id="64" w:name="_Toc11630"/>
      <w:r>
        <w:rPr>
          <w:rFonts w:hint="default" w:ascii="Times New Roman" w:hAnsi="Times New Roman" w:cs="Times New Roman"/>
          <w:color w:val="auto"/>
          <w:lang w:eastAsia="zh-CN"/>
        </w:rPr>
        <w:t>第四节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加强区域合作</w:t>
      </w:r>
      <w:bookmarkEnd w:id="64"/>
    </w:p>
    <w:p w14:paraId="63108C87">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扩大开放合作，积极融入成渝地区双城经济圈建设和遂潼川渝毗邻地区一体化发展，与先进城市加强绿色发展交流合作</w:t>
      </w:r>
      <w:r>
        <w:rPr>
          <w:rFonts w:hint="default" w:ascii="Times New Roman" w:hAnsi="Times New Roman" w:cs="Times New Roman"/>
          <w:color w:val="auto"/>
          <w:lang w:eastAsia="zh-CN"/>
        </w:rPr>
        <w:t>，</w:t>
      </w:r>
      <w:r>
        <w:rPr>
          <w:rFonts w:hint="default" w:ascii="Times New Roman" w:hAnsi="Times New Roman" w:eastAsia="仿宋_GB2312" w:cs="Times New Roman"/>
          <w:color w:val="auto"/>
          <w:lang w:eastAsia="zh-CN"/>
        </w:rPr>
        <w:t>不断深化合作领域，引进资金、先进技术装备、专业人才和管理经验。深化与成渝城市群各市的环境保护协作，强化生态环境联防联治，推进解决区域大气复合污染，联合开展流域水污染防治，配合建立长江经济带流域污染治理、风险预警、信息通报机制，共同构筑长江上游生态屏障。配合建立“市级统筹协调、县市区联动推进”机制，推进环保科技合作和科技资源开发共享，共同解决跨行政区域的流域治理、污染防治、生态保护等问题。</w:t>
      </w:r>
    </w:p>
    <w:p w14:paraId="4D24CA01">
      <w:pPr>
        <w:pStyle w:val="4"/>
        <w:bidi w:val="0"/>
        <w:jc w:val="center"/>
        <w:rPr>
          <w:rFonts w:hint="default" w:ascii="Times New Roman" w:hAnsi="Times New Roman" w:cs="Times New Roman"/>
          <w:color w:val="auto"/>
          <w:lang w:eastAsia="zh-CN"/>
        </w:rPr>
      </w:pPr>
      <w:bookmarkStart w:id="65" w:name="_Toc12484"/>
      <w:r>
        <w:rPr>
          <w:rFonts w:hint="default" w:ascii="Times New Roman" w:hAnsi="Times New Roman" w:cs="Times New Roman"/>
          <w:color w:val="auto"/>
          <w:lang w:eastAsia="zh-CN"/>
        </w:rPr>
        <w:t>第五节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严格评估考核</w:t>
      </w:r>
      <w:bookmarkEnd w:id="65"/>
    </w:p>
    <w:p w14:paraId="056D3A56">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将规划实施作为县党政主要领导干部实绩考核的重要内容，县人民政府每年要向同级人大、政协报告或通报规划目标任务完成情况，自觉接受法律监督和民主监督，建立统筹有力、协调得当、运转高效的生态环境保护建设工作机制。加强对规划实施情况的监督检查、跟踪分析和评估考核，在2023年底和2025年底，分别对本规划执行情况开展中期评估及终期考核。保障规划工作和项目的落实落地。调动各方面的积极性、主动性和创造性，引导全社会共同参与，确保规划目标和任务顺利完成。</w:t>
      </w:r>
    </w:p>
    <w:p w14:paraId="3D839456">
      <w:pPr>
        <w:rPr>
          <w:rFonts w:hint="default" w:ascii="Times New Roman" w:hAnsi="Times New Roman" w:cs="Times New Roman"/>
          <w:color w:val="auto"/>
        </w:rPr>
      </w:pPr>
      <w:r>
        <w:rPr>
          <w:rFonts w:hint="default" w:ascii="Times New Roman" w:hAnsi="Times New Roman" w:cs="Times New Roman"/>
          <w:color w:val="auto"/>
        </w:rPr>
        <w:br w:type="page"/>
      </w:r>
    </w:p>
    <w:p w14:paraId="484B01BE">
      <w:pPr>
        <w:pStyle w:val="3"/>
        <w:keepNext w:val="0"/>
        <w:keepLines w:val="0"/>
        <w:overflowPunct w:val="0"/>
        <w:topLinePunct/>
        <w:adjustRightInd w:val="0"/>
        <w:snapToGrid w:val="0"/>
        <w:spacing w:before="0" w:after="0" w:line="360" w:lineRule="auto"/>
        <w:jc w:val="center"/>
        <w:rPr>
          <w:rFonts w:hint="default" w:ascii="Times New Roman" w:hAnsi="Times New Roman" w:eastAsia="仿宋_GB2312" w:cs="Times New Roman"/>
          <w:b/>
          <w:bCs/>
          <w:color w:val="auto"/>
          <w:sz w:val="28"/>
          <w:szCs w:val="28"/>
          <w:highlight w:val="none"/>
        </w:rPr>
      </w:pPr>
      <w:bookmarkStart w:id="66" w:name="_Toc26155"/>
      <w:bookmarkStart w:id="67" w:name="_Toc7685_WPSOffice_Level1"/>
      <w:bookmarkStart w:id="68" w:name="_Toc10101"/>
      <w:bookmarkStart w:id="69" w:name="_Toc22713_WPSOffice_Level1"/>
      <w:bookmarkStart w:id="70" w:name="_Toc3078"/>
      <w:r>
        <w:rPr>
          <w:rFonts w:hint="default" w:ascii="Times New Roman" w:hAnsi="Times New Roman" w:eastAsia="仿宋_GB2312" w:cs="Times New Roman"/>
          <w:b/>
          <w:bCs/>
          <w:color w:val="auto"/>
          <w:sz w:val="28"/>
          <w:szCs w:val="28"/>
          <w:highlight w:val="none"/>
        </w:rPr>
        <w:t>附表1 规划项目</w:t>
      </w:r>
      <w:bookmarkEnd w:id="66"/>
      <w:bookmarkEnd w:id="67"/>
      <w:r>
        <w:rPr>
          <w:rFonts w:hint="default" w:ascii="Times New Roman" w:hAnsi="Times New Roman" w:eastAsia="仿宋_GB2312" w:cs="Times New Roman"/>
          <w:b/>
          <w:bCs/>
          <w:color w:val="auto"/>
          <w:sz w:val="28"/>
          <w:szCs w:val="28"/>
          <w:highlight w:val="none"/>
        </w:rPr>
        <w:t>投资汇总表</w:t>
      </w:r>
      <w:bookmarkEnd w:id="68"/>
      <w:bookmarkEnd w:id="69"/>
      <w:bookmarkEnd w:id="70"/>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2574"/>
        <w:gridCol w:w="2050"/>
        <w:gridCol w:w="2241"/>
      </w:tblGrid>
      <w:tr w14:paraId="3D1A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noWrap w:val="0"/>
            <w:vAlign w:val="center"/>
          </w:tcPr>
          <w:p w14:paraId="71318BDD">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类型</w:t>
            </w:r>
          </w:p>
        </w:tc>
        <w:tc>
          <w:tcPr>
            <w:tcW w:w="2574" w:type="dxa"/>
            <w:noWrap w:val="0"/>
            <w:vAlign w:val="center"/>
          </w:tcPr>
          <w:p w14:paraId="5ABABD1C">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工程领域</w:t>
            </w:r>
          </w:p>
        </w:tc>
        <w:tc>
          <w:tcPr>
            <w:tcW w:w="2050" w:type="dxa"/>
            <w:noWrap w:val="0"/>
            <w:vAlign w:val="center"/>
          </w:tcPr>
          <w:p w14:paraId="47EFF634">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项目数量（个）</w:t>
            </w:r>
          </w:p>
        </w:tc>
        <w:tc>
          <w:tcPr>
            <w:tcW w:w="2241" w:type="dxa"/>
            <w:noWrap w:val="0"/>
            <w:vAlign w:val="center"/>
          </w:tcPr>
          <w:p w14:paraId="3D0EF7F5">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投资金额（万元）</w:t>
            </w:r>
          </w:p>
        </w:tc>
      </w:tr>
      <w:tr w14:paraId="498F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noWrap w:val="0"/>
            <w:vAlign w:val="center"/>
          </w:tcPr>
          <w:p w14:paraId="2419E124">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eastAsia="zh-CN"/>
              </w:rPr>
            </w:pPr>
            <w:r>
              <w:rPr>
                <w:rFonts w:hint="default" w:ascii="Times New Roman" w:hAnsi="Times New Roman" w:eastAsia="仿宋_GB2312" w:cs="Times New Roman"/>
                <w:b w:val="0"/>
                <w:bCs w:val="0"/>
                <w:color w:val="auto"/>
                <w:sz w:val="28"/>
                <w:szCs w:val="28"/>
                <w:highlight w:val="none"/>
                <w:lang w:eastAsia="zh-CN"/>
              </w:rPr>
              <w:t>生态文明建设</w:t>
            </w:r>
          </w:p>
        </w:tc>
        <w:tc>
          <w:tcPr>
            <w:tcW w:w="2574" w:type="dxa"/>
            <w:noWrap w:val="0"/>
            <w:vAlign w:val="center"/>
          </w:tcPr>
          <w:p w14:paraId="5E94DDAE">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eastAsia="zh-CN"/>
              </w:rPr>
            </w:pPr>
            <w:r>
              <w:rPr>
                <w:rFonts w:hint="default" w:ascii="Times New Roman" w:hAnsi="Times New Roman" w:eastAsia="仿宋_GB2312" w:cs="Times New Roman"/>
                <w:b w:val="0"/>
                <w:bCs w:val="0"/>
                <w:color w:val="auto"/>
                <w:sz w:val="28"/>
                <w:szCs w:val="28"/>
                <w:highlight w:val="none"/>
                <w:lang w:eastAsia="zh-CN"/>
              </w:rPr>
              <w:t>农业产业园区建设</w:t>
            </w:r>
          </w:p>
        </w:tc>
        <w:tc>
          <w:tcPr>
            <w:tcW w:w="2050" w:type="dxa"/>
            <w:noWrap w:val="0"/>
            <w:vAlign w:val="center"/>
          </w:tcPr>
          <w:p w14:paraId="379C3573">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w:t>
            </w:r>
            <w:r>
              <w:rPr>
                <w:rFonts w:hint="default" w:ascii="Times New Roman" w:hAnsi="Times New Roman" w:cs="Times New Roman"/>
                <w:b/>
                <w:bCs/>
                <w:color w:val="auto"/>
                <w:sz w:val="28"/>
                <w:szCs w:val="28"/>
                <w:highlight w:val="none"/>
                <w:lang w:val="en-US" w:eastAsia="zh-CN"/>
              </w:rPr>
              <w:t>2</w:t>
            </w:r>
          </w:p>
        </w:tc>
        <w:tc>
          <w:tcPr>
            <w:tcW w:w="2241" w:type="dxa"/>
            <w:noWrap w:val="0"/>
            <w:vAlign w:val="center"/>
          </w:tcPr>
          <w:p w14:paraId="761E83F7">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41</w:t>
            </w:r>
            <w:r>
              <w:rPr>
                <w:rFonts w:hint="default" w:ascii="Times New Roman" w:hAnsi="Times New Roman" w:cs="Times New Roman"/>
                <w:b/>
                <w:bCs/>
                <w:color w:val="auto"/>
                <w:sz w:val="28"/>
                <w:szCs w:val="28"/>
                <w:highlight w:val="none"/>
                <w:lang w:val="en-US" w:eastAsia="zh-CN"/>
              </w:rPr>
              <w:t>7075</w:t>
            </w:r>
          </w:p>
        </w:tc>
      </w:tr>
      <w:tr w14:paraId="2499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vMerge w:val="restart"/>
            <w:noWrap w:val="0"/>
            <w:vAlign w:val="center"/>
          </w:tcPr>
          <w:p w14:paraId="4341EF8B">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sz w:val="28"/>
                <w:szCs w:val="28"/>
                <w:highlight w:val="none"/>
              </w:rPr>
              <w:t>筑牢生态安全屏障</w:t>
            </w:r>
          </w:p>
        </w:tc>
        <w:tc>
          <w:tcPr>
            <w:tcW w:w="2574" w:type="dxa"/>
            <w:noWrap w:val="0"/>
            <w:vAlign w:val="center"/>
          </w:tcPr>
          <w:p w14:paraId="449F6058">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sz w:val="28"/>
                <w:szCs w:val="28"/>
                <w:highlight w:val="none"/>
              </w:rPr>
              <w:t>林草生态系统</w:t>
            </w:r>
          </w:p>
        </w:tc>
        <w:tc>
          <w:tcPr>
            <w:tcW w:w="2050" w:type="dxa"/>
            <w:noWrap w:val="0"/>
            <w:vAlign w:val="center"/>
          </w:tcPr>
          <w:p w14:paraId="7EAA6E9B">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2</w:t>
            </w:r>
          </w:p>
        </w:tc>
        <w:tc>
          <w:tcPr>
            <w:tcW w:w="2241" w:type="dxa"/>
            <w:noWrap w:val="0"/>
            <w:vAlign w:val="center"/>
          </w:tcPr>
          <w:p w14:paraId="77484EE3">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65500</w:t>
            </w:r>
          </w:p>
        </w:tc>
      </w:tr>
      <w:tr w14:paraId="606D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vMerge w:val="continue"/>
            <w:noWrap w:val="0"/>
            <w:vAlign w:val="center"/>
          </w:tcPr>
          <w:p w14:paraId="55437E76">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p>
        </w:tc>
        <w:tc>
          <w:tcPr>
            <w:tcW w:w="2574" w:type="dxa"/>
            <w:noWrap w:val="0"/>
            <w:vAlign w:val="center"/>
          </w:tcPr>
          <w:p w14:paraId="1679E6C4">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eastAsia="zh-CN"/>
              </w:rPr>
            </w:pPr>
            <w:r>
              <w:rPr>
                <w:rFonts w:hint="default" w:ascii="Times New Roman" w:hAnsi="Times New Roman" w:eastAsia="仿宋_GB2312" w:cs="Times New Roman"/>
                <w:b w:val="0"/>
                <w:bCs w:val="0"/>
                <w:color w:val="auto"/>
                <w:sz w:val="28"/>
                <w:szCs w:val="28"/>
                <w:highlight w:val="none"/>
                <w:lang w:eastAsia="zh-CN"/>
              </w:rPr>
              <w:t>湿地保护与修复</w:t>
            </w:r>
          </w:p>
        </w:tc>
        <w:tc>
          <w:tcPr>
            <w:tcW w:w="2050" w:type="dxa"/>
            <w:noWrap w:val="0"/>
            <w:vAlign w:val="center"/>
          </w:tcPr>
          <w:p w14:paraId="2BF6BBE0">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1</w:t>
            </w:r>
          </w:p>
        </w:tc>
        <w:tc>
          <w:tcPr>
            <w:tcW w:w="2241" w:type="dxa"/>
            <w:noWrap w:val="0"/>
            <w:vAlign w:val="center"/>
          </w:tcPr>
          <w:p w14:paraId="5556DB06">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sz w:val="28"/>
                <w:szCs w:val="28"/>
                <w:highlight w:val="none"/>
              </w:rPr>
              <w:t>97000</w:t>
            </w:r>
          </w:p>
        </w:tc>
      </w:tr>
      <w:tr w14:paraId="6904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vMerge w:val="continue"/>
            <w:noWrap w:val="0"/>
            <w:vAlign w:val="center"/>
          </w:tcPr>
          <w:p w14:paraId="1E9D9274">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p>
        </w:tc>
        <w:tc>
          <w:tcPr>
            <w:tcW w:w="2574" w:type="dxa"/>
            <w:noWrap w:val="0"/>
            <w:vAlign w:val="center"/>
          </w:tcPr>
          <w:p w14:paraId="347F9737">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eastAsia="zh-CN"/>
              </w:rPr>
            </w:pPr>
            <w:r>
              <w:rPr>
                <w:rFonts w:hint="default" w:ascii="Times New Roman" w:hAnsi="Times New Roman" w:eastAsia="仿宋_GB2312" w:cs="Times New Roman"/>
                <w:b w:val="0"/>
                <w:bCs w:val="0"/>
                <w:color w:val="auto"/>
                <w:sz w:val="28"/>
                <w:szCs w:val="28"/>
                <w:highlight w:val="none"/>
                <w:lang w:eastAsia="zh-CN"/>
              </w:rPr>
              <w:t>地质灾害隐患治理</w:t>
            </w:r>
          </w:p>
        </w:tc>
        <w:tc>
          <w:tcPr>
            <w:tcW w:w="2050" w:type="dxa"/>
            <w:noWrap w:val="0"/>
            <w:vAlign w:val="center"/>
          </w:tcPr>
          <w:p w14:paraId="5A8BDEDD">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1</w:t>
            </w:r>
          </w:p>
        </w:tc>
        <w:tc>
          <w:tcPr>
            <w:tcW w:w="2241" w:type="dxa"/>
            <w:noWrap w:val="0"/>
            <w:vAlign w:val="center"/>
          </w:tcPr>
          <w:p w14:paraId="08306F81">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sz w:val="28"/>
                <w:szCs w:val="28"/>
                <w:highlight w:val="none"/>
              </w:rPr>
              <w:t>2500</w:t>
            </w:r>
          </w:p>
        </w:tc>
      </w:tr>
      <w:tr w14:paraId="40C9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vMerge w:val="continue"/>
            <w:noWrap w:val="0"/>
            <w:vAlign w:val="center"/>
          </w:tcPr>
          <w:p w14:paraId="77521F1B">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p>
        </w:tc>
        <w:tc>
          <w:tcPr>
            <w:tcW w:w="2574" w:type="dxa"/>
            <w:noWrap w:val="0"/>
            <w:vAlign w:val="center"/>
          </w:tcPr>
          <w:p w14:paraId="6CA9048C">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lang w:eastAsia="zh-CN"/>
              </w:rPr>
            </w:pPr>
            <w:r>
              <w:rPr>
                <w:rFonts w:hint="default" w:ascii="Times New Roman" w:hAnsi="Times New Roman" w:eastAsia="仿宋_GB2312" w:cs="Times New Roman"/>
                <w:b/>
                <w:bCs/>
                <w:color w:val="auto"/>
                <w:sz w:val="28"/>
                <w:szCs w:val="28"/>
                <w:highlight w:val="none"/>
                <w:lang w:eastAsia="zh-CN"/>
              </w:rPr>
              <w:t>小计</w:t>
            </w:r>
          </w:p>
        </w:tc>
        <w:tc>
          <w:tcPr>
            <w:tcW w:w="2050" w:type="dxa"/>
            <w:noWrap w:val="0"/>
            <w:vAlign w:val="center"/>
          </w:tcPr>
          <w:p w14:paraId="3B632638">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4</w:t>
            </w:r>
          </w:p>
        </w:tc>
        <w:tc>
          <w:tcPr>
            <w:tcW w:w="2241" w:type="dxa"/>
            <w:noWrap w:val="0"/>
            <w:vAlign w:val="center"/>
          </w:tcPr>
          <w:p w14:paraId="5BA7C498">
            <w:pPr>
              <w:pStyle w:val="8"/>
              <w:spacing w:line="240" w:lineRule="auto"/>
              <w:ind w:firstLine="0" w:firstLineChars="0"/>
              <w:jc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165000</w:t>
            </w:r>
          </w:p>
        </w:tc>
      </w:tr>
      <w:tr w14:paraId="6FF9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restart"/>
            <w:noWrap w:val="0"/>
            <w:vAlign w:val="center"/>
          </w:tcPr>
          <w:p w14:paraId="537FBF38">
            <w:pPr>
              <w:pStyle w:val="8"/>
              <w:spacing w:line="240" w:lineRule="auto"/>
              <w:ind w:firstLine="0" w:firstLineChars="0"/>
              <w:jc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sz w:val="28"/>
                <w:szCs w:val="28"/>
                <w:highlight w:val="none"/>
              </w:rPr>
              <w:t>环境污染防治</w:t>
            </w:r>
          </w:p>
        </w:tc>
        <w:tc>
          <w:tcPr>
            <w:tcW w:w="2574" w:type="dxa"/>
            <w:noWrap w:val="0"/>
            <w:vAlign w:val="center"/>
          </w:tcPr>
          <w:p w14:paraId="689314FF">
            <w:pPr>
              <w:widowControl/>
              <w:spacing w:line="240" w:lineRule="auto"/>
              <w:ind w:firstLine="0" w:firstLineChars="0"/>
              <w:jc w:val="center"/>
              <w:textAlignment w:val="center"/>
              <w:rPr>
                <w:rFonts w:hint="default" w:ascii="Times New Roman" w:hAnsi="Times New Roman" w:eastAsia="仿宋_GB2312" w:cs="Times New Roman"/>
                <w:b w:val="0"/>
                <w:bCs w:val="0"/>
                <w:color w:val="auto"/>
                <w:sz w:val="28"/>
                <w:szCs w:val="28"/>
                <w:highlight w:val="none"/>
              </w:rPr>
            </w:pPr>
            <w:r>
              <w:rPr>
                <w:rFonts w:hint="default" w:ascii="Times New Roman" w:hAnsi="Times New Roman" w:eastAsia="仿宋_GB2312" w:cs="Times New Roman"/>
                <w:b w:val="0"/>
                <w:bCs w:val="0"/>
                <w:color w:val="auto"/>
                <w:kern w:val="0"/>
                <w:sz w:val="28"/>
                <w:szCs w:val="28"/>
                <w:highlight w:val="none"/>
                <w:lang w:bidi="ar"/>
              </w:rPr>
              <w:t>大气环境保护</w:t>
            </w:r>
          </w:p>
        </w:tc>
        <w:tc>
          <w:tcPr>
            <w:tcW w:w="2050" w:type="dxa"/>
            <w:noWrap w:val="0"/>
            <w:vAlign w:val="center"/>
          </w:tcPr>
          <w:p w14:paraId="1913AF79">
            <w:pPr>
              <w:widowControl/>
              <w:spacing w:line="240" w:lineRule="auto"/>
              <w:ind w:firstLine="0" w:firstLineChars="0"/>
              <w:jc w:val="center"/>
              <w:textAlignment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1</w:t>
            </w:r>
          </w:p>
        </w:tc>
        <w:tc>
          <w:tcPr>
            <w:tcW w:w="2241" w:type="dxa"/>
            <w:noWrap w:val="0"/>
            <w:vAlign w:val="center"/>
          </w:tcPr>
          <w:p w14:paraId="776B2EC7">
            <w:pPr>
              <w:widowControl/>
              <w:spacing w:line="240" w:lineRule="auto"/>
              <w:ind w:firstLine="0" w:firstLineChars="0"/>
              <w:jc w:val="center"/>
              <w:textAlignment w:val="center"/>
              <w:rPr>
                <w:rFonts w:hint="default" w:ascii="Times New Roman" w:hAnsi="Times New Roman" w:eastAsia="仿宋_GB2312" w:cs="Times New Roman"/>
                <w:b w:val="0"/>
                <w:bCs w:val="0"/>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rPr>
              <w:t>800</w:t>
            </w:r>
          </w:p>
        </w:tc>
      </w:tr>
      <w:tr w14:paraId="3B5E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31C9FDA9">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4EF1A2A5">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0"/>
                <w:sz w:val="28"/>
                <w:szCs w:val="28"/>
                <w:highlight w:val="none"/>
                <w:lang w:bidi="ar"/>
              </w:rPr>
              <w:t>水环境保护</w:t>
            </w:r>
          </w:p>
        </w:tc>
        <w:tc>
          <w:tcPr>
            <w:tcW w:w="2050" w:type="dxa"/>
            <w:noWrap w:val="0"/>
            <w:vAlign w:val="center"/>
          </w:tcPr>
          <w:p w14:paraId="2FDFFFAD">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6</w:t>
            </w:r>
          </w:p>
        </w:tc>
        <w:tc>
          <w:tcPr>
            <w:tcW w:w="2241" w:type="dxa"/>
            <w:noWrap w:val="0"/>
            <w:vAlign w:val="center"/>
          </w:tcPr>
          <w:p w14:paraId="5F6D22C3">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163500</w:t>
            </w:r>
          </w:p>
        </w:tc>
      </w:tr>
      <w:tr w14:paraId="7F78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4AEDC899">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66F7BAC8">
            <w:pPr>
              <w:widowControl/>
              <w:spacing w:line="240" w:lineRule="auto"/>
              <w:ind w:firstLine="0" w:firstLineChars="0"/>
              <w:jc w:val="center"/>
              <w:textAlignment w:val="center"/>
              <w:rPr>
                <w:rFonts w:hint="default" w:ascii="Times New Roman" w:hAnsi="Times New Roman" w:eastAsia="仿宋_GB2312" w:cs="Times New Roman"/>
                <w:color w:val="auto"/>
                <w:kern w:val="0"/>
                <w:sz w:val="28"/>
                <w:szCs w:val="28"/>
                <w:highlight w:val="none"/>
                <w:lang w:bidi="ar"/>
              </w:rPr>
            </w:pPr>
            <w:r>
              <w:rPr>
                <w:rFonts w:hint="default" w:ascii="Times New Roman" w:hAnsi="Times New Roman" w:eastAsia="仿宋_GB2312" w:cs="Times New Roman"/>
                <w:b/>
                <w:bCs/>
                <w:color w:val="auto"/>
                <w:sz w:val="28"/>
                <w:szCs w:val="28"/>
                <w:highlight w:val="none"/>
                <w:lang w:eastAsia="zh-CN"/>
              </w:rPr>
              <w:t>小计</w:t>
            </w:r>
          </w:p>
        </w:tc>
        <w:tc>
          <w:tcPr>
            <w:tcW w:w="2050" w:type="dxa"/>
            <w:noWrap w:val="0"/>
            <w:vAlign w:val="center"/>
          </w:tcPr>
          <w:p w14:paraId="5443DB71">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7</w:t>
            </w:r>
          </w:p>
        </w:tc>
        <w:tc>
          <w:tcPr>
            <w:tcW w:w="2241" w:type="dxa"/>
            <w:noWrap w:val="0"/>
            <w:vAlign w:val="center"/>
          </w:tcPr>
          <w:p w14:paraId="25D11978">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164300</w:t>
            </w:r>
          </w:p>
        </w:tc>
      </w:tr>
      <w:tr w14:paraId="240D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noWrap w:val="0"/>
            <w:vAlign w:val="center"/>
          </w:tcPr>
          <w:p w14:paraId="24D4E3D7">
            <w:pPr>
              <w:pStyle w:val="8"/>
              <w:spacing w:line="240" w:lineRule="auto"/>
              <w:ind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生态宜居水平</w:t>
            </w:r>
          </w:p>
        </w:tc>
        <w:tc>
          <w:tcPr>
            <w:tcW w:w="2574" w:type="dxa"/>
            <w:noWrap w:val="0"/>
            <w:vAlign w:val="center"/>
          </w:tcPr>
          <w:p w14:paraId="3ABA9C64">
            <w:pPr>
              <w:widowControl/>
              <w:spacing w:line="240" w:lineRule="auto"/>
              <w:ind w:firstLine="0" w:firstLineChars="0"/>
              <w:jc w:val="center"/>
              <w:textAlignment w:val="center"/>
              <w:rPr>
                <w:rFonts w:hint="default" w:ascii="Times New Roman" w:hAnsi="Times New Roman" w:eastAsia="仿宋_GB2312" w:cs="Times New Roman"/>
                <w:color w:val="auto"/>
                <w:kern w:val="0"/>
                <w:sz w:val="28"/>
                <w:szCs w:val="28"/>
                <w:highlight w:val="none"/>
                <w:lang w:bidi="ar"/>
              </w:rPr>
            </w:pPr>
            <w:r>
              <w:rPr>
                <w:rFonts w:hint="default" w:ascii="Times New Roman" w:hAnsi="Times New Roman" w:eastAsia="仿宋_GB2312" w:cs="Times New Roman"/>
                <w:color w:val="auto"/>
                <w:sz w:val="28"/>
                <w:szCs w:val="28"/>
                <w:highlight w:val="none"/>
                <w:lang w:eastAsia="zh-CN"/>
              </w:rPr>
              <w:t>农村环境整治</w:t>
            </w:r>
          </w:p>
        </w:tc>
        <w:tc>
          <w:tcPr>
            <w:tcW w:w="2050" w:type="dxa"/>
            <w:noWrap w:val="0"/>
            <w:vAlign w:val="center"/>
          </w:tcPr>
          <w:p w14:paraId="44101523">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6</w:t>
            </w:r>
          </w:p>
        </w:tc>
        <w:tc>
          <w:tcPr>
            <w:tcW w:w="2241" w:type="dxa"/>
            <w:noWrap w:val="0"/>
            <w:vAlign w:val="center"/>
          </w:tcPr>
          <w:p w14:paraId="64DB8EEF">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85379.9</w:t>
            </w:r>
          </w:p>
        </w:tc>
      </w:tr>
      <w:tr w14:paraId="4BFF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restart"/>
            <w:noWrap w:val="0"/>
            <w:vAlign w:val="center"/>
          </w:tcPr>
          <w:p w14:paraId="3E795C94">
            <w:pPr>
              <w:pStyle w:val="8"/>
              <w:spacing w:line="240" w:lineRule="auto"/>
              <w:ind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高品质公园城市</w:t>
            </w:r>
          </w:p>
        </w:tc>
        <w:tc>
          <w:tcPr>
            <w:tcW w:w="2574" w:type="dxa"/>
            <w:noWrap w:val="0"/>
            <w:vAlign w:val="center"/>
          </w:tcPr>
          <w:p w14:paraId="0EE66BFA">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kern w:val="0"/>
                <w:sz w:val="28"/>
                <w:szCs w:val="28"/>
                <w:highlight w:val="none"/>
                <w:lang w:eastAsia="zh-CN" w:bidi="ar"/>
              </w:rPr>
              <w:t>污水处理设施</w:t>
            </w:r>
          </w:p>
        </w:tc>
        <w:tc>
          <w:tcPr>
            <w:tcW w:w="2050" w:type="dxa"/>
            <w:noWrap w:val="0"/>
            <w:vAlign w:val="center"/>
          </w:tcPr>
          <w:p w14:paraId="46AE0E62">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4</w:t>
            </w:r>
          </w:p>
        </w:tc>
        <w:tc>
          <w:tcPr>
            <w:tcW w:w="2241" w:type="dxa"/>
            <w:noWrap w:val="0"/>
            <w:vAlign w:val="center"/>
          </w:tcPr>
          <w:p w14:paraId="5E8A643C">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92768</w:t>
            </w:r>
          </w:p>
        </w:tc>
      </w:tr>
      <w:tr w14:paraId="228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1E3986B9">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7F8BEFA8">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0"/>
                <w:sz w:val="28"/>
                <w:szCs w:val="28"/>
                <w:highlight w:val="none"/>
                <w:lang w:bidi="ar"/>
              </w:rPr>
              <w:t>海绵城市建设</w:t>
            </w:r>
          </w:p>
        </w:tc>
        <w:tc>
          <w:tcPr>
            <w:tcW w:w="2050" w:type="dxa"/>
            <w:noWrap w:val="0"/>
            <w:vAlign w:val="center"/>
          </w:tcPr>
          <w:p w14:paraId="513CC226">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5</w:t>
            </w:r>
          </w:p>
        </w:tc>
        <w:tc>
          <w:tcPr>
            <w:tcW w:w="2241" w:type="dxa"/>
            <w:noWrap w:val="0"/>
            <w:vAlign w:val="center"/>
          </w:tcPr>
          <w:p w14:paraId="598F9333">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82500</w:t>
            </w:r>
          </w:p>
        </w:tc>
      </w:tr>
      <w:tr w14:paraId="4293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7C5CCB8A">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070E16D4">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kern w:val="0"/>
                <w:sz w:val="28"/>
                <w:szCs w:val="28"/>
                <w:highlight w:val="none"/>
                <w:lang w:eastAsia="zh-CN" w:bidi="ar"/>
              </w:rPr>
              <w:t>排水防涝</w:t>
            </w:r>
          </w:p>
        </w:tc>
        <w:tc>
          <w:tcPr>
            <w:tcW w:w="2050" w:type="dxa"/>
            <w:noWrap w:val="0"/>
            <w:vAlign w:val="center"/>
          </w:tcPr>
          <w:p w14:paraId="66176FB5">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4</w:t>
            </w:r>
          </w:p>
        </w:tc>
        <w:tc>
          <w:tcPr>
            <w:tcW w:w="2241" w:type="dxa"/>
            <w:noWrap w:val="0"/>
            <w:vAlign w:val="center"/>
          </w:tcPr>
          <w:p w14:paraId="78A39B4A">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53605</w:t>
            </w:r>
          </w:p>
        </w:tc>
      </w:tr>
      <w:tr w14:paraId="2F7F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657" w:type="dxa"/>
            <w:vMerge w:val="continue"/>
            <w:noWrap w:val="0"/>
            <w:vAlign w:val="center"/>
          </w:tcPr>
          <w:p w14:paraId="6DD5E68E">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0535881D">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kern w:val="0"/>
                <w:sz w:val="28"/>
                <w:szCs w:val="28"/>
                <w:highlight w:val="none"/>
                <w:lang w:eastAsia="zh-CN" w:bidi="ar"/>
              </w:rPr>
              <w:t>老旧小区改造</w:t>
            </w:r>
          </w:p>
        </w:tc>
        <w:tc>
          <w:tcPr>
            <w:tcW w:w="2050" w:type="dxa"/>
            <w:noWrap w:val="0"/>
            <w:vAlign w:val="center"/>
          </w:tcPr>
          <w:p w14:paraId="131B256C">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7</w:t>
            </w:r>
          </w:p>
        </w:tc>
        <w:tc>
          <w:tcPr>
            <w:tcW w:w="2241" w:type="dxa"/>
            <w:noWrap w:val="0"/>
            <w:vAlign w:val="center"/>
          </w:tcPr>
          <w:p w14:paraId="188056AC">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117628</w:t>
            </w:r>
          </w:p>
        </w:tc>
      </w:tr>
      <w:tr w14:paraId="2FDA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0196F72F">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30399626">
            <w:pPr>
              <w:widowControl/>
              <w:spacing w:line="240" w:lineRule="auto"/>
              <w:ind w:firstLine="0" w:firstLineChars="0"/>
              <w:jc w:val="center"/>
              <w:textAlignment w:val="center"/>
              <w:rPr>
                <w:rFonts w:hint="default" w:ascii="Times New Roman" w:hAnsi="Times New Roman" w:eastAsia="仿宋_GB2312" w:cs="Times New Roman"/>
                <w:color w:val="auto"/>
                <w:kern w:val="0"/>
                <w:sz w:val="28"/>
                <w:szCs w:val="28"/>
                <w:highlight w:val="none"/>
                <w:lang w:eastAsia="zh-CN" w:bidi="ar"/>
              </w:rPr>
            </w:pPr>
            <w:r>
              <w:rPr>
                <w:rFonts w:hint="default" w:ascii="Times New Roman" w:hAnsi="Times New Roman" w:eastAsia="仿宋_GB2312" w:cs="Times New Roman"/>
                <w:color w:val="auto"/>
                <w:kern w:val="0"/>
                <w:sz w:val="28"/>
                <w:szCs w:val="28"/>
                <w:highlight w:val="none"/>
                <w:lang w:eastAsia="zh-CN" w:bidi="ar"/>
              </w:rPr>
              <w:t>生态公园及城市绿道</w:t>
            </w:r>
          </w:p>
        </w:tc>
        <w:tc>
          <w:tcPr>
            <w:tcW w:w="2050" w:type="dxa"/>
            <w:noWrap w:val="0"/>
            <w:vAlign w:val="center"/>
          </w:tcPr>
          <w:p w14:paraId="205FCD61">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9</w:t>
            </w:r>
          </w:p>
        </w:tc>
        <w:tc>
          <w:tcPr>
            <w:tcW w:w="2241" w:type="dxa"/>
            <w:noWrap w:val="0"/>
            <w:vAlign w:val="center"/>
          </w:tcPr>
          <w:p w14:paraId="3B418A09">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61000</w:t>
            </w:r>
          </w:p>
        </w:tc>
      </w:tr>
      <w:tr w14:paraId="1307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4FF84D31">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192CF3AF">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color w:val="auto"/>
                <w:kern w:val="0"/>
                <w:sz w:val="28"/>
                <w:szCs w:val="28"/>
                <w:highlight w:val="none"/>
                <w:lang w:bidi="ar"/>
              </w:rPr>
              <w:t>小计</w:t>
            </w:r>
          </w:p>
        </w:tc>
        <w:tc>
          <w:tcPr>
            <w:tcW w:w="2050" w:type="dxa"/>
            <w:noWrap w:val="0"/>
            <w:vAlign w:val="center"/>
          </w:tcPr>
          <w:p w14:paraId="3EE40966">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29</w:t>
            </w:r>
          </w:p>
        </w:tc>
        <w:tc>
          <w:tcPr>
            <w:tcW w:w="2241" w:type="dxa"/>
            <w:noWrap w:val="0"/>
            <w:vAlign w:val="center"/>
          </w:tcPr>
          <w:p w14:paraId="329A3679">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407501</w:t>
            </w:r>
          </w:p>
        </w:tc>
      </w:tr>
      <w:tr w14:paraId="0F61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restart"/>
            <w:noWrap w:val="0"/>
            <w:vAlign w:val="center"/>
          </w:tcPr>
          <w:p w14:paraId="47C1268F">
            <w:pPr>
              <w:pStyle w:val="8"/>
              <w:spacing w:line="240" w:lineRule="auto"/>
              <w:ind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防范生态环境风险</w:t>
            </w:r>
          </w:p>
        </w:tc>
        <w:tc>
          <w:tcPr>
            <w:tcW w:w="2574" w:type="dxa"/>
            <w:noWrap w:val="0"/>
            <w:vAlign w:val="center"/>
          </w:tcPr>
          <w:p w14:paraId="68B6655E">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kern w:val="0"/>
                <w:sz w:val="28"/>
                <w:szCs w:val="28"/>
                <w:highlight w:val="none"/>
                <w:lang w:eastAsia="zh-CN" w:bidi="ar"/>
              </w:rPr>
              <w:t>应急能力建设</w:t>
            </w:r>
          </w:p>
        </w:tc>
        <w:tc>
          <w:tcPr>
            <w:tcW w:w="2050" w:type="dxa"/>
            <w:noWrap w:val="0"/>
            <w:vAlign w:val="center"/>
          </w:tcPr>
          <w:p w14:paraId="4826BF76">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w:t>
            </w:r>
          </w:p>
        </w:tc>
        <w:tc>
          <w:tcPr>
            <w:tcW w:w="2241" w:type="dxa"/>
            <w:noWrap w:val="0"/>
            <w:vAlign w:val="center"/>
          </w:tcPr>
          <w:p w14:paraId="7F846404">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2000</w:t>
            </w:r>
          </w:p>
        </w:tc>
      </w:tr>
      <w:tr w14:paraId="2F88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7F3D356B">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60B01BF3">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kern w:val="0"/>
                <w:sz w:val="28"/>
                <w:szCs w:val="28"/>
                <w:highlight w:val="none"/>
                <w:lang w:eastAsia="zh-CN" w:bidi="ar"/>
              </w:rPr>
              <w:t>无废城市建设</w:t>
            </w:r>
          </w:p>
        </w:tc>
        <w:tc>
          <w:tcPr>
            <w:tcW w:w="2050" w:type="dxa"/>
            <w:noWrap w:val="0"/>
            <w:vAlign w:val="center"/>
          </w:tcPr>
          <w:p w14:paraId="17412B02">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6</w:t>
            </w:r>
          </w:p>
        </w:tc>
        <w:tc>
          <w:tcPr>
            <w:tcW w:w="2241" w:type="dxa"/>
            <w:noWrap w:val="0"/>
            <w:vAlign w:val="center"/>
          </w:tcPr>
          <w:p w14:paraId="12ABCC76">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36500</w:t>
            </w:r>
          </w:p>
        </w:tc>
      </w:tr>
      <w:tr w14:paraId="2D4D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center"/>
          </w:tcPr>
          <w:p w14:paraId="5ADE4ACB">
            <w:pPr>
              <w:pStyle w:val="8"/>
              <w:spacing w:line="240" w:lineRule="auto"/>
              <w:ind w:firstLine="0" w:firstLineChars="0"/>
              <w:jc w:val="center"/>
              <w:rPr>
                <w:rFonts w:hint="default" w:ascii="Times New Roman" w:hAnsi="Times New Roman" w:eastAsia="仿宋_GB2312" w:cs="Times New Roman"/>
                <w:color w:val="auto"/>
                <w:sz w:val="28"/>
                <w:szCs w:val="28"/>
                <w:highlight w:val="none"/>
              </w:rPr>
            </w:pPr>
          </w:p>
        </w:tc>
        <w:tc>
          <w:tcPr>
            <w:tcW w:w="2574" w:type="dxa"/>
            <w:noWrap w:val="0"/>
            <w:vAlign w:val="center"/>
          </w:tcPr>
          <w:p w14:paraId="1CCD490F">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color w:val="auto"/>
                <w:kern w:val="0"/>
                <w:sz w:val="28"/>
                <w:szCs w:val="28"/>
                <w:highlight w:val="none"/>
                <w:lang w:bidi="ar"/>
              </w:rPr>
              <w:t>小计</w:t>
            </w:r>
          </w:p>
        </w:tc>
        <w:tc>
          <w:tcPr>
            <w:tcW w:w="2050" w:type="dxa"/>
            <w:noWrap w:val="0"/>
            <w:vAlign w:val="center"/>
          </w:tcPr>
          <w:p w14:paraId="67A959BD">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7</w:t>
            </w:r>
          </w:p>
        </w:tc>
        <w:tc>
          <w:tcPr>
            <w:tcW w:w="2241" w:type="dxa"/>
            <w:noWrap w:val="0"/>
            <w:vAlign w:val="center"/>
          </w:tcPr>
          <w:p w14:paraId="7BBFBE72">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42500</w:t>
            </w:r>
          </w:p>
        </w:tc>
      </w:tr>
      <w:tr w14:paraId="0D21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restart"/>
            <w:noWrap w:val="0"/>
            <w:vAlign w:val="center"/>
          </w:tcPr>
          <w:p w14:paraId="0E5EAE20">
            <w:pPr>
              <w:pStyle w:val="8"/>
              <w:spacing w:line="240" w:lineRule="auto"/>
              <w:ind w:firstLine="0" w:firstLineChars="0"/>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现代环境治理体系</w:t>
            </w:r>
          </w:p>
        </w:tc>
        <w:tc>
          <w:tcPr>
            <w:tcW w:w="2574" w:type="dxa"/>
            <w:noWrap w:val="0"/>
            <w:vAlign w:val="center"/>
          </w:tcPr>
          <w:p w14:paraId="271EC68D">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0"/>
                <w:sz w:val="28"/>
                <w:szCs w:val="28"/>
                <w:highlight w:val="none"/>
                <w:lang w:bidi="ar"/>
              </w:rPr>
              <w:t>环境监测能力</w:t>
            </w:r>
          </w:p>
        </w:tc>
        <w:tc>
          <w:tcPr>
            <w:tcW w:w="2050" w:type="dxa"/>
            <w:noWrap w:val="0"/>
            <w:vAlign w:val="center"/>
          </w:tcPr>
          <w:p w14:paraId="2717F7A4">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0</w:t>
            </w:r>
          </w:p>
        </w:tc>
        <w:tc>
          <w:tcPr>
            <w:tcW w:w="2241" w:type="dxa"/>
            <w:noWrap w:val="0"/>
            <w:vAlign w:val="center"/>
          </w:tcPr>
          <w:p w14:paraId="7D5EBE2F">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0</w:t>
            </w:r>
          </w:p>
        </w:tc>
      </w:tr>
      <w:tr w14:paraId="030D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top"/>
          </w:tcPr>
          <w:p w14:paraId="23B5CC38">
            <w:pPr>
              <w:pStyle w:val="8"/>
              <w:spacing w:line="240" w:lineRule="auto"/>
              <w:ind w:firstLine="0" w:firstLineChars="0"/>
              <w:rPr>
                <w:rFonts w:hint="default" w:ascii="Times New Roman" w:hAnsi="Times New Roman" w:eastAsia="仿宋_GB2312" w:cs="Times New Roman"/>
                <w:color w:val="auto"/>
                <w:sz w:val="28"/>
                <w:szCs w:val="28"/>
                <w:highlight w:val="none"/>
              </w:rPr>
            </w:pPr>
          </w:p>
        </w:tc>
        <w:tc>
          <w:tcPr>
            <w:tcW w:w="2574" w:type="dxa"/>
            <w:noWrap w:val="0"/>
            <w:vAlign w:val="center"/>
          </w:tcPr>
          <w:p w14:paraId="6240BE03">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kern w:val="0"/>
                <w:sz w:val="28"/>
                <w:szCs w:val="28"/>
                <w:highlight w:val="none"/>
                <w:lang w:bidi="ar"/>
              </w:rPr>
              <w:t>污染源监控能力</w:t>
            </w:r>
          </w:p>
        </w:tc>
        <w:tc>
          <w:tcPr>
            <w:tcW w:w="2050" w:type="dxa"/>
            <w:noWrap w:val="0"/>
            <w:vAlign w:val="center"/>
          </w:tcPr>
          <w:p w14:paraId="5F19E77C">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w:t>
            </w:r>
          </w:p>
        </w:tc>
        <w:tc>
          <w:tcPr>
            <w:tcW w:w="2241" w:type="dxa"/>
            <w:noWrap w:val="0"/>
            <w:vAlign w:val="center"/>
          </w:tcPr>
          <w:p w14:paraId="4AD3CC19">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1600</w:t>
            </w:r>
          </w:p>
        </w:tc>
      </w:tr>
      <w:tr w14:paraId="24DE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7" w:type="dxa"/>
            <w:vMerge w:val="continue"/>
            <w:noWrap w:val="0"/>
            <w:vAlign w:val="top"/>
          </w:tcPr>
          <w:p w14:paraId="326679D0">
            <w:pPr>
              <w:pStyle w:val="8"/>
              <w:spacing w:line="240" w:lineRule="auto"/>
              <w:ind w:firstLine="0" w:firstLineChars="0"/>
              <w:rPr>
                <w:rFonts w:hint="default" w:ascii="Times New Roman" w:hAnsi="Times New Roman" w:eastAsia="仿宋_GB2312" w:cs="Times New Roman"/>
                <w:color w:val="auto"/>
                <w:sz w:val="28"/>
                <w:szCs w:val="28"/>
                <w:highlight w:val="none"/>
              </w:rPr>
            </w:pPr>
          </w:p>
        </w:tc>
        <w:tc>
          <w:tcPr>
            <w:tcW w:w="2574" w:type="dxa"/>
            <w:noWrap w:val="0"/>
            <w:vAlign w:val="center"/>
          </w:tcPr>
          <w:p w14:paraId="5D0D11A2">
            <w:pPr>
              <w:widowControl/>
              <w:spacing w:line="240" w:lineRule="auto"/>
              <w:ind w:firstLine="0" w:firstLineChars="0"/>
              <w:jc w:val="center"/>
              <w:textAlignment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color w:val="auto"/>
                <w:kern w:val="0"/>
                <w:sz w:val="28"/>
                <w:szCs w:val="28"/>
                <w:highlight w:val="none"/>
                <w:lang w:bidi="ar"/>
              </w:rPr>
              <w:t>小计</w:t>
            </w:r>
          </w:p>
        </w:tc>
        <w:tc>
          <w:tcPr>
            <w:tcW w:w="2050" w:type="dxa"/>
            <w:noWrap w:val="0"/>
            <w:vAlign w:val="center"/>
          </w:tcPr>
          <w:p w14:paraId="54BBE3D2">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2</w:t>
            </w:r>
          </w:p>
        </w:tc>
        <w:tc>
          <w:tcPr>
            <w:tcW w:w="2241" w:type="dxa"/>
            <w:noWrap w:val="0"/>
            <w:vAlign w:val="center"/>
          </w:tcPr>
          <w:p w14:paraId="2CE7B959">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1600</w:t>
            </w:r>
          </w:p>
        </w:tc>
      </w:tr>
      <w:tr w14:paraId="53FC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1" w:type="dxa"/>
            <w:gridSpan w:val="2"/>
            <w:noWrap w:val="0"/>
            <w:vAlign w:val="top"/>
          </w:tcPr>
          <w:p w14:paraId="219BA9B1">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rPr>
            </w:pPr>
            <w:r>
              <w:rPr>
                <w:rFonts w:hint="default" w:ascii="Times New Roman" w:hAnsi="Times New Roman" w:eastAsia="仿宋_GB2312" w:cs="Times New Roman"/>
                <w:b/>
                <w:bCs/>
                <w:color w:val="auto"/>
                <w:sz w:val="28"/>
                <w:szCs w:val="28"/>
                <w:highlight w:val="none"/>
              </w:rPr>
              <w:t>合计</w:t>
            </w:r>
          </w:p>
        </w:tc>
        <w:tc>
          <w:tcPr>
            <w:tcW w:w="2050" w:type="dxa"/>
            <w:noWrap w:val="0"/>
            <w:vAlign w:val="center"/>
          </w:tcPr>
          <w:p w14:paraId="0A08FC82">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65</w:t>
            </w:r>
          </w:p>
        </w:tc>
        <w:tc>
          <w:tcPr>
            <w:tcW w:w="2241" w:type="dxa"/>
            <w:noWrap w:val="0"/>
            <w:vAlign w:val="center"/>
          </w:tcPr>
          <w:p w14:paraId="471450A0">
            <w:pPr>
              <w:widowControl/>
              <w:spacing w:line="240" w:lineRule="auto"/>
              <w:ind w:firstLine="0" w:firstLineChars="0"/>
              <w:jc w:val="center"/>
              <w:textAlignment w:val="center"/>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12</w:t>
            </w:r>
            <w:r>
              <w:rPr>
                <w:rFonts w:hint="default" w:ascii="Times New Roman" w:hAnsi="Times New Roman" w:cs="Times New Roman"/>
                <w:b/>
                <w:bCs/>
                <w:color w:val="auto"/>
                <w:sz w:val="28"/>
                <w:szCs w:val="28"/>
                <w:highlight w:val="none"/>
                <w:lang w:val="en-US" w:eastAsia="zh-CN"/>
              </w:rPr>
              <w:t>79355.9</w:t>
            </w:r>
          </w:p>
        </w:tc>
      </w:tr>
    </w:tbl>
    <w:p w14:paraId="103A8933">
      <w:pPr>
        <w:rPr>
          <w:rFonts w:hint="default" w:ascii="Times New Roman" w:hAnsi="Times New Roman" w:cs="Times New Roman"/>
          <w:color w:val="auto"/>
        </w:rPr>
      </w:pPr>
    </w:p>
    <w:p w14:paraId="0E2DF372">
      <w:pPr>
        <w:pStyle w:val="8"/>
        <w:rPr>
          <w:rFonts w:hint="default" w:ascii="Times New Roman" w:hAnsi="Times New Roman" w:cs="Times New Roman"/>
          <w:color w:val="auto"/>
        </w:rPr>
        <w:sectPr>
          <w:pgSz w:w="11906" w:h="16838"/>
          <w:pgMar w:top="1440" w:right="1800" w:bottom="1440" w:left="1800" w:header="851" w:footer="992" w:gutter="0"/>
          <w:pgNumType w:fmt="decimal"/>
          <w:cols w:space="425" w:num="1"/>
          <w:docGrid w:type="lines" w:linePitch="312" w:charSpace="0"/>
        </w:sectPr>
      </w:pPr>
    </w:p>
    <w:p w14:paraId="343A691C">
      <w:pPr>
        <w:rPr>
          <w:rFonts w:hint="default" w:ascii="Times New Roman" w:hAnsi="Times New Roman" w:cs="Times New Roman"/>
          <w:color w:val="auto"/>
        </w:rPr>
      </w:pPr>
    </w:p>
    <w:p w14:paraId="040F59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rPr>
      </w:pPr>
      <w:bookmarkStart w:id="71" w:name="_Toc23083"/>
      <w:bookmarkStart w:id="72" w:name="_Toc19168"/>
      <w:r>
        <w:rPr>
          <w:rFonts w:hint="default"/>
          <w:b/>
          <w:bCs/>
        </w:rPr>
        <w:t>附表</w:t>
      </w:r>
      <w:r>
        <w:rPr>
          <w:rFonts w:hint="default"/>
          <w:b/>
          <w:bCs/>
          <w:lang w:val="en-US" w:eastAsia="zh-CN"/>
        </w:rPr>
        <w:t>2</w:t>
      </w:r>
      <w:r>
        <w:rPr>
          <w:rFonts w:hint="eastAsia"/>
          <w:b/>
          <w:bCs/>
          <w:lang w:val="en-US" w:eastAsia="zh-CN"/>
        </w:rPr>
        <w:t xml:space="preserve"> </w:t>
      </w:r>
      <w:r>
        <w:rPr>
          <w:rFonts w:hint="default"/>
          <w:b/>
          <w:bCs/>
        </w:rPr>
        <w:t xml:space="preserve"> </w:t>
      </w:r>
      <w:r>
        <w:rPr>
          <w:rFonts w:hint="default"/>
          <w:b/>
          <w:bCs/>
          <w:lang w:eastAsia="zh-CN"/>
        </w:rPr>
        <w:t>蓬溪</w:t>
      </w:r>
      <w:r>
        <w:rPr>
          <w:rFonts w:hint="default"/>
          <w:b/>
          <w:bCs/>
        </w:rPr>
        <w:t>县十四五时期生态环境保护重大项目表</w:t>
      </w:r>
      <w:bookmarkEnd w:id="71"/>
      <w:bookmarkEnd w:id="72"/>
    </w:p>
    <w:tbl>
      <w:tblPr>
        <w:tblStyle w:val="16"/>
        <w:tblpPr w:leftFromText="180" w:rightFromText="180" w:vertAnchor="text" w:horzAnchor="page" w:tblpXSpec="center" w:tblpY="551"/>
        <w:tblOverlap w:val="never"/>
        <w:tblW w:w="13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63"/>
        <w:gridCol w:w="2745"/>
        <w:gridCol w:w="1113"/>
        <w:gridCol w:w="1275"/>
        <w:gridCol w:w="1400"/>
        <w:gridCol w:w="4225"/>
        <w:gridCol w:w="1190"/>
      </w:tblGrid>
      <w:tr w14:paraId="3F35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565" w:type="dxa"/>
            <w:noWrap w:val="0"/>
            <w:vAlign w:val="center"/>
          </w:tcPr>
          <w:p w14:paraId="5E1C763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sz w:val="28"/>
                <w:szCs w:val="28"/>
              </w:rPr>
            </w:pPr>
            <w:r>
              <w:rPr>
                <w:rFonts w:hint="default" w:ascii="Times New Roman" w:hAnsi="Times New Roman" w:eastAsia="仿宋_GB2312" w:cs="Times New Roman"/>
                <w:b/>
                <w:bCs w:val="0"/>
                <w:color w:val="auto"/>
                <w:sz w:val="28"/>
                <w:szCs w:val="28"/>
              </w:rPr>
              <w:t>序号</w:t>
            </w:r>
          </w:p>
        </w:tc>
        <w:tc>
          <w:tcPr>
            <w:tcW w:w="863" w:type="dxa"/>
            <w:noWrap w:val="0"/>
            <w:vAlign w:val="center"/>
          </w:tcPr>
          <w:p w14:paraId="34A904D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sz w:val="28"/>
                <w:szCs w:val="28"/>
                <w:lang w:eastAsia="zh-CN"/>
              </w:rPr>
            </w:pPr>
            <w:r>
              <w:rPr>
                <w:rFonts w:hint="default" w:ascii="Times New Roman" w:hAnsi="Times New Roman" w:eastAsia="仿宋_GB2312" w:cs="Times New Roman"/>
                <w:b/>
                <w:bCs w:val="0"/>
                <w:color w:val="auto"/>
                <w:sz w:val="28"/>
                <w:szCs w:val="28"/>
                <w:lang w:eastAsia="zh-CN"/>
              </w:rPr>
              <w:t>项目类型</w:t>
            </w:r>
          </w:p>
        </w:tc>
        <w:tc>
          <w:tcPr>
            <w:tcW w:w="2745" w:type="dxa"/>
            <w:noWrap w:val="0"/>
            <w:vAlign w:val="center"/>
          </w:tcPr>
          <w:p w14:paraId="53B1C1A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sz w:val="28"/>
                <w:szCs w:val="28"/>
              </w:rPr>
            </w:pPr>
            <w:r>
              <w:rPr>
                <w:rFonts w:hint="default" w:ascii="Times New Roman" w:hAnsi="Times New Roman" w:eastAsia="仿宋_GB2312" w:cs="Times New Roman"/>
                <w:b/>
                <w:bCs w:val="0"/>
                <w:color w:val="auto"/>
                <w:sz w:val="28"/>
                <w:szCs w:val="28"/>
              </w:rPr>
              <w:t>项目名称</w:t>
            </w:r>
          </w:p>
        </w:tc>
        <w:tc>
          <w:tcPr>
            <w:tcW w:w="1113" w:type="dxa"/>
            <w:noWrap w:val="0"/>
            <w:vAlign w:val="center"/>
          </w:tcPr>
          <w:p w14:paraId="37FF69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sz w:val="28"/>
                <w:szCs w:val="28"/>
                <w:lang w:eastAsia="zh-CN"/>
              </w:rPr>
            </w:pPr>
            <w:r>
              <w:rPr>
                <w:rFonts w:hint="default" w:ascii="Times New Roman" w:hAnsi="Times New Roman" w:eastAsia="仿宋_GB2312" w:cs="Times New Roman"/>
                <w:b/>
                <w:bCs w:val="0"/>
                <w:color w:val="auto"/>
                <w:sz w:val="28"/>
                <w:szCs w:val="28"/>
                <w:lang w:eastAsia="zh-CN"/>
              </w:rPr>
              <w:t>建设地点</w:t>
            </w:r>
          </w:p>
        </w:tc>
        <w:tc>
          <w:tcPr>
            <w:tcW w:w="1275" w:type="dxa"/>
            <w:noWrap w:val="0"/>
            <w:vAlign w:val="center"/>
          </w:tcPr>
          <w:p w14:paraId="4B30C02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kern w:val="2"/>
                <w:sz w:val="28"/>
                <w:szCs w:val="28"/>
                <w:lang w:val="en-US" w:eastAsia="zh-CN" w:bidi="ar-SA"/>
              </w:rPr>
            </w:pPr>
            <w:r>
              <w:rPr>
                <w:rFonts w:hint="default" w:ascii="Times New Roman" w:hAnsi="Times New Roman" w:eastAsia="仿宋_GB2312" w:cs="Times New Roman"/>
                <w:b/>
                <w:bCs w:val="0"/>
                <w:color w:val="auto"/>
                <w:sz w:val="28"/>
                <w:szCs w:val="28"/>
                <w:lang w:eastAsia="zh-CN"/>
              </w:rPr>
              <w:t>建设周期</w:t>
            </w:r>
          </w:p>
        </w:tc>
        <w:tc>
          <w:tcPr>
            <w:tcW w:w="1400" w:type="dxa"/>
            <w:noWrap w:val="0"/>
            <w:vAlign w:val="center"/>
          </w:tcPr>
          <w:p w14:paraId="6530552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kern w:val="2"/>
                <w:sz w:val="28"/>
                <w:szCs w:val="28"/>
                <w:lang w:val="en-US" w:eastAsia="zh-CN" w:bidi="ar-SA"/>
              </w:rPr>
            </w:pPr>
            <w:r>
              <w:rPr>
                <w:rFonts w:hint="default" w:ascii="Times New Roman" w:hAnsi="Times New Roman" w:eastAsia="仿宋_GB2312" w:cs="Times New Roman"/>
                <w:b/>
                <w:bCs w:val="0"/>
                <w:color w:val="auto"/>
                <w:sz w:val="28"/>
                <w:szCs w:val="28"/>
                <w:lang w:eastAsia="zh-CN"/>
              </w:rPr>
              <w:t>投资（万元）</w:t>
            </w:r>
          </w:p>
        </w:tc>
        <w:tc>
          <w:tcPr>
            <w:tcW w:w="4225" w:type="dxa"/>
            <w:noWrap w:val="0"/>
            <w:vAlign w:val="center"/>
          </w:tcPr>
          <w:p w14:paraId="0410987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kern w:val="2"/>
                <w:sz w:val="28"/>
                <w:szCs w:val="28"/>
                <w:lang w:val="en-US" w:eastAsia="zh-CN" w:bidi="ar-SA"/>
              </w:rPr>
            </w:pPr>
            <w:r>
              <w:rPr>
                <w:rFonts w:hint="default" w:ascii="Times New Roman" w:hAnsi="Times New Roman" w:eastAsia="仿宋_GB2312" w:cs="Times New Roman"/>
                <w:b/>
                <w:bCs w:val="0"/>
                <w:color w:val="auto"/>
                <w:sz w:val="28"/>
                <w:szCs w:val="28"/>
                <w:lang w:eastAsia="zh-CN"/>
              </w:rPr>
              <w:t>项目建设规模与内容</w:t>
            </w:r>
          </w:p>
        </w:tc>
        <w:tc>
          <w:tcPr>
            <w:tcW w:w="1190" w:type="dxa"/>
            <w:noWrap w:val="0"/>
            <w:vAlign w:val="center"/>
          </w:tcPr>
          <w:p w14:paraId="680D452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
                <w:bCs w:val="0"/>
                <w:color w:val="auto"/>
                <w:sz w:val="28"/>
                <w:szCs w:val="28"/>
                <w:lang w:eastAsia="zh-CN"/>
              </w:rPr>
            </w:pPr>
            <w:r>
              <w:rPr>
                <w:rFonts w:hint="default" w:ascii="Times New Roman" w:hAnsi="Times New Roman" w:eastAsia="仿宋_GB2312" w:cs="Times New Roman"/>
                <w:b/>
                <w:bCs w:val="0"/>
                <w:color w:val="auto"/>
                <w:sz w:val="28"/>
                <w:szCs w:val="28"/>
                <w:lang w:eastAsia="zh-CN"/>
              </w:rPr>
              <w:t>责任单位</w:t>
            </w:r>
          </w:p>
        </w:tc>
      </w:tr>
      <w:tr w14:paraId="679C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352B622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1</w:t>
            </w:r>
          </w:p>
        </w:tc>
        <w:tc>
          <w:tcPr>
            <w:tcW w:w="863" w:type="dxa"/>
            <w:vMerge w:val="restart"/>
            <w:noWrap w:val="0"/>
            <w:vAlign w:val="center"/>
          </w:tcPr>
          <w:p w14:paraId="0B439FF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生态文明建设</w:t>
            </w:r>
          </w:p>
        </w:tc>
        <w:tc>
          <w:tcPr>
            <w:tcW w:w="2745" w:type="dxa"/>
            <w:noWrap w:val="0"/>
            <w:vAlign w:val="center"/>
          </w:tcPr>
          <w:p w14:paraId="6FD6CF8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蓬溪墨砚湖城市公园及农旅融合产业园</w:t>
            </w:r>
          </w:p>
        </w:tc>
        <w:tc>
          <w:tcPr>
            <w:tcW w:w="1113" w:type="dxa"/>
            <w:noWrap w:val="0"/>
            <w:vAlign w:val="center"/>
          </w:tcPr>
          <w:p w14:paraId="46C4E93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鸣凤镇、普安街道</w:t>
            </w:r>
          </w:p>
        </w:tc>
        <w:tc>
          <w:tcPr>
            <w:tcW w:w="1275" w:type="dxa"/>
            <w:noWrap w:val="0"/>
            <w:vAlign w:val="center"/>
          </w:tcPr>
          <w:p w14:paraId="5F076C5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2021-2023</w:t>
            </w:r>
          </w:p>
        </w:tc>
        <w:tc>
          <w:tcPr>
            <w:tcW w:w="1400" w:type="dxa"/>
            <w:noWrap w:val="0"/>
            <w:vAlign w:val="center"/>
          </w:tcPr>
          <w:p w14:paraId="0056F22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46600</w:t>
            </w:r>
          </w:p>
        </w:tc>
        <w:tc>
          <w:tcPr>
            <w:tcW w:w="4225" w:type="dxa"/>
            <w:noWrap w:val="0"/>
            <w:vAlign w:val="center"/>
          </w:tcPr>
          <w:p w14:paraId="0645BAC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建设墨砚湖生态湿地农旅融合产业园一座，完善涪江上游森林生态系统恢复</w:t>
            </w:r>
          </w:p>
        </w:tc>
        <w:tc>
          <w:tcPr>
            <w:tcW w:w="1190" w:type="dxa"/>
            <w:noWrap w:val="0"/>
            <w:vAlign w:val="center"/>
          </w:tcPr>
          <w:p w14:paraId="5C7A803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C65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3F5911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w:t>
            </w:r>
          </w:p>
        </w:tc>
        <w:tc>
          <w:tcPr>
            <w:tcW w:w="863" w:type="dxa"/>
            <w:vMerge w:val="continue"/>
            <w:noWrap w:val="0"/>
            <w:vAlign w:val="center"/>
          </w:tcPr>
          <w:p w14:paraId="70EA8E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215575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任隆仙桃产业特色中心镇</w:t>
            </w:r>
          </w:p>
        </w:tc>
        <w:tc>
          <w:tcPr>
            <w:tcW w:w="1113" w:type="dxa"/>
            <w:noWrap w:val="0"/>
            <w:vAlign w:val="center"/>
          </w:tcPr>
          <w:p w14:paraId="64B3D58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任隆镇</w:t>
            </w:r>
          </w:p>
        </w:tc>
        <w:tc>
          <w:tcPr>
            <w:tcW w:w="1275" w:type="dxa"/>
            <w:noWrap w:val="0"/>
            <w:vAlign w:val="center"/>
          </w:tcPr>
          <w:p w14:paraId="51A6CA7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0E12ADC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26000</w:t>
            </w:r>
          </w:p>
        </w:tc>
        <w:tc>
          <w:tcPr>
            <w:tcW w:w="4225" w:type="dxa"/>
            <w:noWrap w:val="0"/>
            <w:vAlign w:val="center"/>
          </w:tcPr>
          <w:p w14:paraId="550581C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建设仙桃栽培销售及农业旅游特色中心城镇及附属设施</w:t>
            </w:r>
          </w:p>
        </w:tc>
        <w:tc>
          <w:tcPr>
            <w:tcW w:w="1190" w:type="dxa"/>
            <w:noWrap w:val="0"/>
            <w:vAlign w:val="center"/>
          </w:tcPr>
          <w:p w14:paraId="1F170F7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20F2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727DD39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w:t>
            </w:r>
          </w:p>
        </w:tc>
        <w:tc>
          <w:tcPr>
            <w:tcW w:w="863" w:type="dxa"/>
            <w:vMerge w:val="continue"/>
            <w:noWrap w:val="0"/>
            <w:vAlign w:val="center"/>
          </w:tcPr>
          <w:p w14:paraId="2D3F969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E79E14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天福现代农业园区特色中心镇</w:t>
            </w:r>
          </w:p>
        </w:tc>
        <w:tc>
          <w:tcPr>
            <w:tcW w:w="1113" w:type="dxa"/>
            <w:noWrap w:val="0"/>
            <w:vAlign w:val="center"/>
          </w:tcPr>
          <w:p w14:paraId="1F6DC26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天福镇</w:t>
            </w:r>
          </w:p>
        </w:tc>
        <w:tc>
          <w:tcPr>
            <w:tcW w:w="1275" w:type="dxa"/>
            <w:noWrap w:val="0"/>
            <w:vAlign w:val="center"/>
          </w:tcPr>
          <w:p w14:paraId="40B8DE8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65C421E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23000</w:t>
            </w:r>
          </w:p>
        </w:tc>
        <w:tc>
          <w:tcPr>
            <w:tcW w:w="4225" w:type="dxa"/>
            <w:noWrap w:val="0"/>
            <w:vAlign w:val="center"/>
          </w:tcPr>
          <w:p w14:paraId="6E2B2D8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建设现代农业产业园区及旅游特色中心城镇及附属设施等</w:t>
            </w:r>
          </w:p>
        </w:tc>
        <w:tc>
          <w:tcPr>
            <w:tcW w:w="1190" w:type="dxa"/>
            <w:noWrap w:val="0"/>
            <w:vAlign w:val="center"/>
          </w:tcPr>
          <w:p w14:paraId="49BC93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451F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32616E8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w:t>
            </w:r>
          </w:p>
        </w:tc>
        <w:tc>
          <w:tcPr>
            <w:tcW w:w="863" w:type="dxa"/>
            <w:vMerge w:val="continue"/>
            <w:noWrap w:val="0"/>
            <w:vAlign w:val="center"/>
          </w:tcPr>
          <w:p w14:paraId="4015E3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21B273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文井生态康养特色中心镇</w:t>
            </w:r>
          </w:p>
        </w:tc>
        <w:tc>
          <w:tcPr>
            <w:tcW w:w="1113" w:type="dxa"/>
            <w:noWrap w:val="0"/>
            <w:vAlign w:val="center"/>
          </w:tcPr>
          <w:p w14:paraId="149883D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文井镇</w:t>
            </w:r>
          </w:p>
        </w:tc>
        <w:tc>
          <w:tcPr>
            <w:tcW w:w="1275" w:type="dxa"/>
            <w:noWrap w:val="0"/>
            <w:vAlign w:val="center"/>
          </w:tcPr>
          <w:p w14:paraId="5045266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458D4E8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20000</w:t>
            </w:r>
          </w:p>
        </w:tc>
        <w:tc>
          <w:tcPr>
            <w:tcW w:w="4225" w:type="dxa"/>
            <w:noWrap w:val="0"/>
            <w:vAlign w:val="center"/>
          </w:tcPr>
          <w:p w14:paraId="324032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建设康养、度假、旅游特色生态小镇及附属设施等</w:t>
            </w:r>
          </w:p>
        </w:tc>
        <w:tc>
          <w:tcPr>
            <w:tcW w:w="1190" w:type="dxa"/>
            <w:noWrap w:val="0"/>
            <w:vAlign w:val="center"/>
          </w:tcPr>
          <w:p w14:paraId="513D08C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F5C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339B5CD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w:t>
            </w:r>
          </w:p>
        </w:tc>
        <w:tc>
          <w:tcPr>
            <w:tcW w:w="863" w:type="dxa"/>
            <w:vMerge w:val="continue"/>
            <w:noWrap w:val="0"/>
            <w:vAlign w:val="center"/>
          </w:tcPr>
          <w:p w14:paraId="18D5912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7DE0755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sz w:val="28"/>
                <w:szCs w:val="28"/>
                <w:lang w:eastAsia="zh-CN"/>
              </w:rPr>
              <w:t>经开区（上游片区）工业污水专管建设项目</w:t>
            </w:r>
          </w:p>
        </w:tc>
        <w:tc>
          <w:tcPr>
            <w:tcW w:w="1113" w:type="dxa"/>
            <w:noWrap w:val="0"/>
            <w:vAlign w:val="center"/>
          </w:tcPr>
          <w:p w14:paraId="3183EE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蓬溪经开区</w:t>
            </w:r>
          </w:p>
        </w:tc>
        <w:tc>
          <w:tcPr>
            <w:tcW w:w="1275" w:type="dxa"/>
            <w:noWrap w:val="0"/>
            <w:vAlign w:val="center"/>
          </w:tcPr>
          <w:p w14:paraId="0FB12AC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w:t>
            </w:r>
            <w:r>
              <w:rPr>
                <w:rFonts w:hint="default" w:ascii="Times New Roman" w:hAnsi="Times New Roman" w:cs="Times New Roman"/>
                <w:bCs/>
                <w:color w:val="auto"/>
                <w:kern w:val="2"/>
                <w:sz w:val="28"/>
                <w:szCs w:val="28"/>
                <w:lang w:val="en-US" w:eastAsia="zh-CN" w:bidi="ar-SA"/>
              </w:rPr>
              <w:t>3</w:t>
            </w:r>
            <w:r>
              <w:rPr>
                <w:rFonts w:hint="default" w:ascii="Times New Roman" w:hAnsi="Times New Roman" w:eastAsia="仿宋_GB2312" w:cs="Times New Roman"/>
                <w:bCs/>
                <w:color w:val="auto"/>
                <w:kern w:val="2"/>
                <w:sz w:val="28"/>
                <w:szCs w:val="28"/>
                <w:lang w:val="en-US" w:eastAsia="zh-CN" w:bidi="ar-SA"/>
              </w:rPr>
              <w:t>-2025</w:t>
            </w:r>
          </w:p>
        </w:tc>
        <w:tc>
          <w:tcPr>
            <w:tcW w:w="1400" w:type="dxa"/>
            <w:noWrap w:val="0"/>
            <w:vAlign w:val="center"/>
          </w:tcPr>
          <w:p w14:paraId="6DE97EE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5000</w:t>
            </w:r>
          </w:p>
        </w:tc>
        <w:tc>
          <w:tcPr>
            <w:tcW w:w="4225" w:type="dxa"/>
            <w:noWrap w:val="0"/>
            <w:vAlign w:val="center"/>
          </w:tcPr>
          <w:p w14:paraId="1C49705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沿经开区上游片区现有污水管网新建35km工业污水管道，实现区域内生活污水与工业污水分流</w:t>
            </w:r>
          </w:p>
        </w:tc>
        <w:tc>
          <w:tcPr>
            <w:tcW w:w="1190" w:type="dxa"/>
            <w:noWrap w:val="0"/>
            <w:vAlign w:val="center"/>
          </w:tcPr>
          <w:p w14:paraId="38A105A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3E23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3C0A848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w:t>
            </w:r>
          </w:p>
        </w:tc>
        <w:tc>
          <w:tcPr>
            <w:tcW w:w="863" w:type="dxa"/>
            <w:vMerge w:val="continue"/>
            <w:noWrap w:val="0"/>
            <w:vAlign w:val="center"/>
          </w:tcPr>
          <w:p w14:paraId="1600A92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8876D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经开区</w:t>
            </w:r>
            <w:r>
              <w:rPr>
                <w:rFonts w:hint="default" w:ascii="Times New Roman" w:hAnsi="Times New Roman" w:cs="Times New Roman"/>
                <w:bCs/>
                <w:color w:val="auto"/>
                <w:sz w:val="28"/>
                <w:szCs w:val="28"/>
                <w:lang w:eastAsia="zh-CN"/>
              </w:rPr>
              <w:t>（上游片区）废水处理厂二期建设项目</w:t>
            </w:r>
          </w:p>
        </w:tc>
        <w:tc>
          <w:tcPr>
            <w:tcW w:w="1113" w:type="dxa"/>
            <w:noWrap w:val="0"/>
            <w:vAlign w:val="center"/>
          </w:tcPr>
          <w:p w14:paraId="166D81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蓬溪经开区</w:t>
            </w:r>
          </w:p>
        </w:tc>
        <w:tc>
          <w:tcPr>
            <w:tcW w:w="1275" w:type="dxa"/>
            <w:noWrap w:val="0"/>
            <w:vAlign w:val="center"/>
          </w:tcPr>
          <w:p w14:paraId="464D613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w:t>
            </w:r>
            <w:r>
              <w:rPr>
                <w:rFonts w:hint="default" w:ascii="Times New Roman" w:hAnsi="Times New Roman" w:cs="Times New Roman"/>
                <w:bCs/>
                <w:color w:val="auto"/>
                <w:kern w:val="2"/>
                <w:sz w:val="28"/>
                <w:szCs w:val="28"/>
                <w:lang w:val="en-US" w:eastAsia="zh-CN" w:bidi="ar-SA"/>
              </w:rPr>
              <w:t>3</w:t>
            </w:r>
            <w:r>
              <w:rPr>
                <w:rFonts w:hint="default" w:ascii="Times New Roman" w:hAnsi="Times New Roman" w:eastAsia="仿宋_GB2312" w:cs="Times New Roman"/>
                <w:bCs/>
                <w:color w:val="auto"/>
                <w:kern w:val="2"/>
                <w:sz w:val="28"/>
                <w:szCs w:val="28"/>
                <w:lang w:val="en-US" w:eastAsia="zh-CN" w:bidi="ar-SA"/>
              </w:rPr>
              <w:t>-2025</w:t>
            </w:r>
          </w:p>
        </w:tc>
        <w:tc>
          <w:tcPr>
            <w:tcW w:w="1400" w:type="dxa"/>
            <w:noWrap w:val="0"/>
            <w:vAlign w:val="center"/>
          </w:tcPr>
          <w:p w14:paraId="6A68557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1200</w:t>
            </w:r>
          </w:p>
        </w:tc>
        <w:tc>
          <w:tcPr>
            <w:tcW w:w="4225" w:type="dxa"/>
            <w:noWrap w:val="0"/>
            <w:vAlign w:val="center"/>
          </w:tcPr>
          <w:p w14:paraId="6C6329C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对经开区（上游片区）废水处理厂实施扩容改造，新增两条A2O工艺污水处理设施及相关配套设施设备，新增污水处理能力2000m²/d</w:t>
            </w:r>
          </w:p>
        </w:tc>
        <w:tc>
          <w:tcPr>
            <w:tcW w:w="1190" w:type="dxa"/>
            <w:noWrap w:val="0"/>
            <w:vAlign w:val="center"/>
          </w:tcPr>
          <w:p w14:paraId="306E067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62B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3884713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7</w:t>
            </w:r>
          </w:p>
        </w:tc>
        <w:tc>
          <w:tcPr>
            <w:tcW w:w="863" w:type="dxa"/>
            <w:vMerge w:val="continue"/>
            <w:noWrap w:val="0"/>
            <w:vAlign w:val="center"/>
          </w:tcPr>
          <w:p w14:paraId="2C8AAE4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7418FA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蓬溪食用菌产业园二三期建设</w:t>
            </w:r>
          </w:p>
        </w:tc>
        <w:tc>
          <w:tcPr>
            <w:tcW w:w="1113" w:type="dxa"/>
            <w:noWrap w:val="0"/>
            <w:vAlign w:val="center"/>
          </w:tcPr>
          <w:p w14:paraId="647F1BC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天福镇</w:t>
            </w:r>
          </w:p>
        </w:tc>
        <w:tc>
          <w:tcPr>
            <w:tcW w:w="1275" w:type="dxa"/>
            <w:noWrap w:val="0"/>
            <w:vAlign w:val="center"/>
          </w:tcPr>
          <w:p w14:paraId="03DF9BB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2021-2028</w:t>
            </w:r>
          </w:p>
        </w:tc>
        <w:tc>
          <w:tcPr>
            <w:tcW w:w="1400" w:type="dxa"/>
            <w:noWrap w:val="0"/>
            <w:vAlign w:val="center"/>
          </w:tcPr>
          <w:p w14:paraId="16064BB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160000</w:t>
            </w:r>
          </w:p>
        </w:tc>
        <w:tc>
          <w:tcPr>
            <w:tcW w:w="4225" w:type="dxa"/>
            <w:noWrap w:val="0"/>
            <w:vAlign w:val="center"/>
          </w:tcPr>
          <w:p w14:paraId="089B505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共分三期实施，占地1500亩，建设食用菌产业基地、初深加工区、商贸物流集散及配套设施，搬迁安置410余户农户</w:t>
            </w:r>
          </w:p>
        </w:tc>
        <w:tc>
          <w:tcPr>
            <w:tcW w:w="1190" w:type="dxa"/>
            <w:noWrap w:val="0"/>
            <w:vAlign w:val="center"/>
          </w:tcPr>
          <w:p w14:paraId="274F932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5BF2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7BEAB06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8</w:t>
            </w:r>
          </w:p>
        </w:tc>
        <w:tc>
          <w:tcPr>
            <w:tcW w:w="863" w:type="dxa"/>
            <w:vMerge w:val="continue"/>
            <w:noWrap w:val="0"/>
            <w:vAlign w:val="center"/>
          </w:tcPr>
          <w:p w14:paraId="0565638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2A3CDE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蓬溪拱市花海建设</w:t>
            </w:r>
          </w:p>
        </w:tc>
        <w:tc>
          <w:tcPr>
            <w:tcW w:w="1113" w:type="dxa"/>
            <w:noWrap w:val="0"/>
            <w:vAlign w:val="center"/>
          </w:tcPr>
          <w:p w14:paraId="77C54C4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常乐镇</w:t>
            </w:r>
          </w:p>
        </w:tc>
        <w:tc>
          <w:tcPr>
            <w:tcW w:w="1275" w:type="dxa"/>
            <w:noWrap w:val="0"/>
            <w:vAlign w:val="center"/>
          </w:tcPr>
          <w:p w14:paraId="55C3F1C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1C5B243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50000</w:t>
            </w:r>
          </w:p>
        </w:tc>
        <w:tc>
          <w:tcPr>
            <w:tcW w:w="4225" w:type="dxa"/>
            <w:noWrap w:val="0"/>
            <w:vAlign w:val="center"/>
          </w:tcPr>
          <w:p w14:paraId="7151A14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建设精品花卉生产基地及配套设施建设</w:t>
            </w:r>
          </w:p>
        </w:tc>
        <w:tc>
          <w:tcPr>
            <w:tcW w:w="1190" w:type="dxa"/>
            <w:noWrap w:val="0"/>
            <w:vAlign w:val="center"/>
          </w:tcPr>
          <w:p w14:paraId="24FDAD5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074C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4E622D4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9</w:t>
            </w:r>
          </w:p>
        </w:tc>
        <w:tc>
          <w:tcPr>
            <w:tcW w:w="863" w:type="dxa"/>
            <w:vMerge w:val="continue"/>
            <w:noWrap w:val="0"/>
            <w:vAlign w:val="center"/>
          </w:tcPr>
          <w:p w14:paraId="446AAE1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9D13A7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蓬溪现代农业园区提档升级工程</w:t>
            </w:r>
          </w:p>
        </w:tc>
        <w:tc>
          <w:tcPr>
            <w:tcW w:w="1113" w:type="dxa"/>
            <w:noWrap w:val="0"/>
            <w:vAlign w:val="center"/>
          </w:tcPr>
          <w:p w14:paraId="7488EFA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天福镇</w:t>
            </w:r>
          </w:p>
        </w:tc>
        <w:tc>
          <w:tcPr>
            <w:tcW w:w="1275" w:type="dxa"/>
            <w:noWrap w:val="0"/>
            <w:vAlign w:val="center"/>
          </w:tcPr>
          <w:p w14:paraId="7E7666E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59BD681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12000</w:t>
            </w:r>
          </w:p>
        </w:tc>
        <w:tc>
          <w:tcPr>
            <w:tcW w:w="4225" w:type="dxa"/>
            <w:noWrap w:val="0"/>
            <w:vAlign w:val="center"/>
          </w:tcPr>
          <w:p w14:paraId="5941201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建设6.5米宽景观道路12公里，4.5米宽道路6公里、景观节点5处等</w:t>
            </w:r>
          </w:p>
        </w:tc>
        <w:tc>
          <w:tcPr>
            <w:tcW w:w="1190" w:type="dxa"/>
            <w:noWrap w:val="0"/>
            <w:vAlign w:val="center"/>
          </w:tcPr>
          <w:p w14:paraId="47F33F6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4B46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D1297D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10</w:t>
            </w:r>
          </w:p>
        </w:tc>
        <w:tc>
          <w:tcPr>
            <w:tcW w:w="863" w:type="dxa"/>
            <w:vMerge w:val="continue"/>
            <w:noWrap w:val="0"/>
            <w:vAlign w:val="center"/>
          </w:tcPr>
          <w:p w14:paraId="6947A69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2E83BC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eastAsia="zh-CN"/>
              </w:rPr>
              <w:t>蓬溪县现代农业示范区基础设施建设项目</w:t>
            </w:r>
          </w:p>
        </w:tc>
        <w:tc>
          <w:tcPr>
            <w:tcW w:w="1113" w:type="dxa"/>
            <w:noWrap w:val="0"/>
            <w:vAlign w:val="center"/>
          </w:tcPr>
          <w:p w14:paraId="07A9CE0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天福镇</w:t>
            </w:r>
          </w:p>
        </w:tc>
        <w:tc>
          <w:tcPr>
            <w:tcW w:w="1275" w:type="dxa"/>
            <w:noWrap w:val="0"/>
            <w:vAlign w:val="center"/>
          </w:tcPr>
          <w:p w14:paraId="3A9C0C9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2020-2023</w:t>
            </w:r>
          </w:p>
        </w:tc>
        <w:tc>
          <w:tcPr>
            <w:tcW w:w="1400" w:type="dxa"/>
            <w:noWrap w:val="0"/>
            <w:vAlign w:val="center"/>
          </w:tcPr>
          <w:p w14:paraId="43E6E8B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57275</w:t>
            </w:r>
          </w:p>
        </w:tc>
        <w:tc>
          <w:tcPr>
            <w:tcW w:w="4225" w:type="dxa"/>
            <w:noWrap w:val="0"/>
            <w:vAlign w:val="center"/>
          </w:tcPr>
          <w:p w14:paraId="07E8405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新建产业大小环黑化路15公里，整治和新建各类渠系、水网30公里，建设管网工程50公里，新建各类山坪塘、大口井30口，新建村史展览馆1个，集农旅融合休闲田园新村综合体及现代农业示范区展示区</w:t>
            </w:r>
          </w:p>
        </w:tc>
        <w:tc>
          <w:tcPr>
            <w:tcW w:w="1190" w:type="dxa"/>
            <w:noWrap w:val="0"/>
            <w:vAlign w:val="center"/>
          </w:tcPr>
          <w:p w14:paraId="2A7F071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354C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452245A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11</w:t>
            </w:r>
          </w:p>
        </w:tc>
        <w:tc>
          <w:tcPr>
            <w:tcW w:w="863" w:type="dxa"/>
            <w:vMerge w:val="continue"/>
            <w:noWrap w:val="0"/>
            <w:vAlign w:val="center"/>
          </w:tcPr>
          <w:p w14:paraId="614C908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7425D7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蓬溪现代农业园区有机肥生产</w:t>
            </w:r>
          </w:p>
        </w:tc>
        <w:tc>
          <w:tcPr>
            <w:tcW w:w="1113" w:type="dxa"/>
            <w:noWrap w:val="0"/>
            <w:vAlign w:val="center"/>
          </w:tcPr>
          <w:p w14:paraId="5622F0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天福镇</w:t>
            </w:r>
          </w:p>
        </w:tc>
        <w:tc>
          <w:tcPr>
            <w:tcW w:w="1275" w:type="dxa"/>
            <w:noWrap w:val="0"/>
            <w:vAlign w:val="center"/>
          </w:tcPr>
          <w:p w14:paraId="5DFA5A4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2024-2025</w:t>
            </w:r>
          </w:p>
        </w:tc>
        <w:tc>
          <w:tcPr>
            <w:tcW w:w="1400" w:type="dxa"/>
            <w:noWrap w:val="0"/>
            <w:vAlign w:val="center"/>
          </w:tcPr>
          <w:p w14:paraId="23EA5BB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3000</w:t>
            </w:r>
          </w:p>
        </w:tc>
        <w:tc>
          <w:tcPr>
            <w:tcW w:w="4225" w:type="dxa"/>
            <w:noWrap w:val="0"/>
            <w:vAlign w:val="center"/>
          </w:tcPr>
          <w:p w14:paraId="6315F0C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占地50亩，利用农业园区生产废料、养殖粪污回收利用建设有机肥厂1个</w:t>
            </w:r>
          </w:p>
        </w:tc>
        <w:tc>
          <w:tcPr>
            <w:tcW w:w="1190" w:type="dxa"/>
            <w:noWrap w:val="0"/>
            <w:vAlign w:val="center"/>
          </w:tcPr>
          <w:p w14:paraId="5535FD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6C1D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22EB11E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863" w:type="dxa"/>
            <w:vMerge w:val="continue"/>
            <w:noWrap w:val="0"/>
            <w:vAlign w:val="center"/>
          </w:tcPr>
          <w:p w14:paraId="5DBA05B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9D7903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蓬溪生态产业园</w:t>
            </w:r>
          </w:p>
        </w:tc>
        <w:tc>
          <w:tcPr>
            <w:tcW w:w="1113" w:type="dxa"/>
            <w:noWrap w:val="0"/>
            <w:vAlign w:val="center"/>
          </w:tcPr>
          <w:p w14:paraId="6D3BA5F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文井镇</w:t>
            </w:r>
          </w:p>
        </w:tc>
        <w:tc>
          <w:tcPr>
            <w:tcW w:w="1275" w:type="dxa"/>
            <w:noWrap w:val="0"/>
            <w:vAlign w:val="center"/>
          </w:tcPr>
          <w:p w14:paraId="38F830D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2020-2023</w:t>
            </w:r>
          </w:p>
        </w:tc>
        <w:tc>
          <w:tcPr>
            <w:tcW w:w="1400" w:type="dxa"/>
            <w:noWrap w:val="0"/>
            <w:vAlign w:val="center"/>
          </w:tcPr>
          <w:p w14:paraId="30EBF8E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13000</w:t>
            </w:r>
          </w:p>
        </w:tc>
        <w:tc>
          <w:tcPr>
            <w:tcW w:w="4225" w:type="dxa"/>
            <w:noWrap w:val="0"/>
            <w:vAlign w:val="center"/>
          </w:tcPr>
          <w:p w14:paraId="692E38C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建设白鹤林水库库区上游柑橘种植基地2000亩、下游生态水产健康养殖基地500亩</w:t>
            </w:r>
          </w:p>
        </w:tc>
        <w:tc>
          <w:tcPr>
            <w:tcW w:w="1190" w:type="dxa"/>
            <w:noWrap w:val="0"/>
            <w:vAlign w:val="center"/>
          </w:tcPr>
          <w:p w14:paraId="6E515CC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现代农业园</w:t>
            </w:r>
          </w:p>
        </w:tc>
      </w:tr>
      <w:tr w14:paraId="0D32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65" w:type="dxa"/>
            <w:noWrap w:val="0"/>
            <w:vAlign w:val="center"/>
          </w:tcPr>
          <w:p w14:paraId="39D3F15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12</w:t>
            </w:r>
          </w:p>
        </w:tc>
        <w:tc>
          <w:tcPr>
            <w:tcW w:w="863" w:type="dxa"/>
            <w:vMerge w:val="restart"/>
            <w:noWrap w:val="0"/>
            <w:vAlign w:val="center"/>
          </w:tcPr>
          <w:p w14:paraId="670C11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筑牢生态安全屏障</w:t>
            </w:r>
          </w:p>
        </w:tc>
        <w:tc>
          <w:tcPr>
            <w:tcW w:w="2745" w:type="dxa"/>
            <w:noWrap w:val="0"/>
            <w:vAlign w:val="center"/>
          </w:tcPr>
          <w:p w14:paraId="08A7060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蓬溪天然林资源保护</w:t>
            </w:r>
          </w:p>
        </w:tc>
        <w:tc>
          <w:tcPr>
            <w:tcW w:w="1113" w:type="dxa"/>
            <w:noWrap w:val="0"/>
            <w:vAlign w:val="center"/>
          </w:tcPr>
          <w:p w14:paraId="67068FC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各乡镇</w:t>
            </w:r>
          </w:p>
        </w:tc>
        <w:tc>
          <w:tcPr>
            <w:tcW w:w="1275" w:type="dxa"/>
            <w:noWrap w:val="0"/>
            <w:vAlign w:val="center"/>
          </w:tcPr>
          <w:p w14:paraId="08A7AA5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2021-2030</w:t>
            </w:r>
          </w:p>
        </w:tc>
        <w:tc>
          <w:tcPr>
            <w:tcW w:w="1400" w:type="dxa"/>
            <w:noWrap w:val="0"/>
            <w:vAlign w:val="center"/>
          </w:tcPr>
          <w:p w14:paraId="338D2B1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15500</w:t>
            </w:r>
          </w:p>
        </w:tc>
        <w:tc>
          <w:tcPr>
            <w:tcW w:w="4225" w:type="dxa"/>
            <w:noWrap w:val="0"/>
            <w:vAlign w:val="center"/>
          </w:tcPr>
          <w:p w14:paraId="59CA17B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对全县</w:t>
            </w:r>
            <w:r>
              <w:rPr>
                <w:rFonts w:hint="default" w:ascii="Times New Roman" w:hAnsi="Times New Roman" w:cs="Times New Roman"/>
                <w:bCs/>
                <w:color w:val="auto"/>
                <w:kern w:val="2"/>
                <w:sz w:val="28"/>
                <w:szCs w:val="28"/>
                <w:lang w:val="en-US" w:eastAsia="zh-CN" w:bidi="ar-SA"/>
              </w:rPr>
              <w:t>56</w:t>
            </w:r>
            <w:r>
              <w:rPr>
                <w:rFonts w:hint="default" w:ascii="Times New Roman" w:hAnsi="Times New Roman" w:eastAsia="仿宋_GB2312" w:cs="Times New Roman"/>
                <w:bCs/>
                <w:color w:val="auto"/>
                <w:kern w:val="2"/>
                <w:sz w:val="28"/>
                <w:szCs w:val="28"/>
                <w:lang w:val="en-US" w:eastAsia="zh-CN" w:bidi="ar-SA"/>
              </w:rPr>
              <w:t>万亩森林实施林业有害生物防治，购置手持移动处理平台、移动数据采集器、数据处理平台等设施设备</w:t>
            </w:r>
          </w:p>
        </w:tc>
        <w:tc>
          <w:tcPr>
            <w:tcW w:w="1190" w:type="dxa"/>
            <w:noWrap w:val="0"/>
            <w:vAlign w:val="center"/>
          </w:tcPr>
          <w:p w14:paraId="7AB420E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县自然资源规划局</w:t>
            </w:r>
          </w:p>
        </w:tc>
      </w:tr>
      <w:tr w14:paraId="4ADD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65" w:type="dxa"/>
            <w:noWrap w:val="0"/>
            <w:vAlign w:val="center"/>
          </w:tcPr>
          <w:p w14:paraId="137757B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13</w:t>
            </w:r>
          </w:p>
        </w:tc>
        <w:tc>
          <w:tcPr>
            <w:tcW w:w="863" w:type="dxa"/>
            <w:vMerge w:val="continue"/>
            <w:noWrap w:val="0"/>
            <w:vAlign w:val="center"/>
          </w:tcPr>
          <w:p w14:paraId="4FA732C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6E14DE9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蓬溪县生态环境治理建设项目</w:t>
            </w:r>
          </w:p>
        </w:tc>
        <w:tc>
          <w:tcPr>
            <w:tcW w:w="1113" w:type="dxa"/>
            <w:noWrap w:val="0"/>
            <w:vAlign w:val="center"/>
          </w:tcPr>
          <w:p w14:paraId="3126E50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762B646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2020-2025</w:t>
            </w:r>
          </w:p>
        </w:tc>
        <w:tc>
          <w:tcPr>
            <w:tcW w:w="1400" w:type="dxa"/>
            <w:noWrap w:val="0"/>
            <w:vAlign w:val="center"/>
          </w:tcPr>
          <w:p w14:paraId="4A96E6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50000</w:t>
            </w:r>
          </w:p>
        </w:tc>
        <w:tc>
          <w:tcPr>
            <w:tcW w:w="4225" w:type="dxa"/>
            <w:noWrap w:val="0"/>
            <w:vAlign w:val="center"/>
          </w:tcPr>
          <w:p w14:paraId="525AB34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遂西高速明月出口至城区城市连接段9公里生态绿道；建设城北片区约主次干道雨污管网；改造仿古街实现雨污分流等。实施长6.3公里书法大道道路两旁生态绿道建设；建设赤城湖15公里生态绿道、雨污分流管网；建设马桑溪污水管道及附属设施等；实施宝梵镇至城区15公里生态绿道</w:t>
            </w:r>
          </w:p>
        </w:tc>
        <w:tc>
          <w:tcPr>
            <w:tcW w:w="1190" w:type="dxa"/>
            <w:noWrap w:val="0"/>
            <w:vAlign w:val="center"/>
          </w:tcPr>
          <w:p w14:paraId="4F72762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F27E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22012CB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14</w:t>
            </w:r>
          </w:p>
        </w:tc>
        <w:tc>
          <w:tcPr>
            <w:tcW w:w="863" w:type="dxa"/>
            <w:vMerge w:val="continue"/>
            <w:noWrap w:val="0"/>
            <w:vAlign w:val="center"/>
          </w:tcPr>
          <w:p w14:paraId="13FAE2C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BC9CDC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蓬溪县地质灾害隐患点治理项目</w:t>
            </w:r>
          </w:p>
        </w:tc>
        <w:tc>
          <w:tcPr>
            <w:tcW w:w="1113" w:type="dxa"/>
            <w:noWrap w:val="0"/>
            <w:vAlign w:val="center"/>
          </w:tcPr>
          <w:p w14:paraId="6765B6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各乡镇</w:t>
            </w:r>
          </w:p>
        </w:tc>
        <w:tc>
          <w:tcPr>
            <w:tcW w:w="1275" w:type="dxa"/>
            <w:noWrap w:val="0"/>
            <w:vAlign w:val="center"/>
          </w:tcPr>
          <w:p w14:paraId="296509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6EC781B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2500</w:t>
            </w:r>
          </w:p>
        </w:tc>
        <w:tc>
          <w:tcPr>
            <w:tcW w:w="4225" w:type="dxa"/>
            <w:noWrap w:val="0"/>
            <w:vAlign w:val="center"/>
          </w:tcPr>
          <w:p w14:paraId="455F7A8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对全县38个地灾隐患点开展工程治理、排危除险</w:t>
            </w:r>
          </w:p>
        </w:tc>
        <w:tc>
          <w:tcPr>
            <w:tcW w:w="1190" w:type="dxa"/>
            <w:noWrap w:val="0"/>
            <w:vAlign w:val="center"/>
          </w:tcPr>
          <w:p w14:paraId="6741B97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县自然资源规划局</w:t>
            </w:r>
          </w:p>
        </w:tc>
      </w:tr>
      <w:tr w14:paraId="5A72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758969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15</w:t>
            </w:r>
          </w:p>
        </w:tc>
        <w:tc>
          <w:tcPr>
            <w:tcW w:w="863" w:type="dxa"/>
            <w:vMerge w:val="continue"/>
            <w:noWrap w:val="0"/>
            <w:vAlign w:val="center"/>
          </w:tcPr>
          <w:p w14:paraId="0C80E76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120E2FE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芝溪河流域湿地修复建设项目</w:t>
            </w:r>
          </w:p>
        </w:tc>
        <w:tc>
          <w:tcPr>
            <w:tcW w:w="1113" w:type="dxa"/>
            <w:noWrap w:val="0"/>
            <w:vAlign w:val="center"/>
          </w:tcPr>
          <w:p w14:paraId="0C30AB3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DAE4AC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7E0AC56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97000</w:t>
            </w:r>
          </w:p>
        </w:tc>
        <w:tc>
          <w:tcPr>
            <w:tcW w:w="4225" w:type="dxa"/>
            <w:noWrap w:val="0"/>
            <w:vAlign w:val="center"/>
          </w:tcPr>
          <w:p w14:paraId="0CF445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墨砚湖生态湿地农旅融合产业园一座，完善涪江上游森林生态系统恢复；建设蓬溪芝溪河茶店子生态修复，建设车行道、骑行道、人行步道、停车场；湖泊水系。建设人工湿地、污水管网、实施垃圾渗滤液处理设施改造等</w:t>
            </w:r>
          </w:p>
        </w:tc>
        <w:tc>
          <w:tcPr>
            <w:tcW w:w="1190" w:type="dxa"/>
            <w:noWrap w:val="0"/>
            <w:vAlign w:val="center"/>
          </w:tcPr>
          <w:p w14:paraId="07871C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7D2E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94BE3B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16</w:t>
            </w:r>
          </w:p>
        </w:tc>
        <w:tc>
          <w:tcPr>
            <w:tcW w:w="863" w:type="dxa"/>
            <w:noWrap w:val="0"/>
            <w:vAlign w:val="center"/>
          </w:tcPr>
          <w:p w14:paraId="5B664E1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大气环境治理</w:t>
            </w:r>
          </w:p>
        </w:tc>
        <w:tc>
          <w:tcPr>
            <w:tcW w:w="2745" w:type="dxa"/>
            <w:noWrap w:val="0"/>
            <w:vAlign w:val="center"/>
          </w:tcPr>
          <w:p w14:paraId="1F6C9A7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蓬溪县新建秸秆综合利用项目</w:t>
            </w:r>
          </w:p>
        </w:tc>
        <w:tc>
          <w:tcPr>
            <w:tcW w:w="1113" w:type="dxa"/>
            <w:noWrap w:val="0"/>
            <w:vAlign w:val="center"/>
          </w:tcPr>
          <w:p w14:paraId="5935658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蓬南镇</w:t>
            </w:r>
          </w:p>
        </w:tc>
        <w:tc>
          <w:tcPr>
            <w:tcW w:w="1275" w:type="dxa"/>
            <w:noWrap w:val="0"/>
            <w:vAlign w:val="center"/>
          </w:tcPr>
          <w:p w14:paraId="5BF8BDC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2022-2024</w:t>
            </w:r>
          </w:p>
        </w:tc>
        <w:tc>
          <w:tcPr>
            <w:tcW w:w="1400" w:type="dxa"/>
            <w:noWrap w:val="0"/>
            <w:vAlign w:val="center"/>
          </w:tcPr>
          <w:p w14:paraId="16656D6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800</w:t>
            </w:r>
          </w:p>
        </w:tc>
        <w:tc>
          <w:tcPr>
            <w:tcW w:w="4225" w:type="dxa"/>
            <w:noWrap w:val="0"/>
            <w:vAlign w:val="center"/>
          </w:tcPr>
          <w:p w14:paraId="3C2DC17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建设秸秆综合收储暂存场所10处（4个乡镇），购买秸秆粉碎、机械还田、秸秆青储等设备10套，秸秆收储储量达到1万吨/年，秸秆还田达到4万亩/年，秸秆还田达到2.5万吨/年</w:t>
            </w:r>
          </w:p>
        </w:tc>
        <w:tc>
          <w:tcPr>
            <w:tcW w:w="1190" w:type="dxa"/>
            <w:noWrap w:val="0"/>
            <w:vAlign w:val="center"/>
          </w:tcPr>
          <w:p w14:paraId="7F63E7B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1548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D1E01B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17</w:t>
            </w:r>
          </w:p>
        </w:tc>
        <w:tc>
          <w:tcPr>
            <w:tcW w:w="863" w:type="dxa"/>
            <w:vMerge w:val="restart"/>
            <w:noWrap w:val="0"/>
            <w:vAlign w:val="center"/>
          </w:tcPr>
          <w:p w14:paraId="75C6206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水生态环境治理与修复</w:t>
            </w:r>
          </w:p>
        </w:tc>
        <w:tc>
          <w:tcPr>
            <w:tcW w:w="2745" w:type="dxa"/>
            <w:noWrap w:val="0"/>
            <w:vAlign w:val="center"/>
          </w:tcPr>
          <w:p w14:paraId="33E43B0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蓬溪芝溪河茶店子生态修复</w:t>
            </w:r>
          </w:p>
        </w:tc>
        <w:tc>
          <w:tcPr>
            <w:tcW w:w="1113" w:type="dxa"/>
            <w:noWrap w:val="0"/>
            <w:vAlign w:val="center"/>
          </w:tcPr>
          <w:p w14:paraId="180E469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7BC923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2022-2024</w:t>
            </w:r>
          </w:p>
        </w:tc>
        <w:tc>
          <w:tcPr>
            <w:tcW w:w="1400" w:type="dxa"/>
            <w:noWrap w:val="0"/>
            <w:vAlign w:val="center"/>
          </w:tcPr>
          <w:p w14:paraId="6666AF7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40000</w:t>
            </w:r>
          </w:p>
        </w:tc>
        <w:tc>
          <w:tcPr>
            <w:tcW w:w="4225" w:type="dxa"/>
            <w:noWrap w:val="0"/>
            <w:vAlign w:val="center"/>
          </w:tcPr>
          <w:p w14:paraId="1924F4A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建设车行道、骑行道、人行步道共计12.8公里；广场铺装及停车场共计4.1万平方米；湖泊水系，生态驳岸等10.7万平方米，绿化56万平方米、园林小品等</w:t>
            </w:r>
          </w:p>
        </w:tc>
        <w:tc>
          <w:tcPr>
            <w:tcW w:w="1190" w:type="dxa"/>
            <w:noWrap w:val="0"/>
            <w:vAlign w:val="center"/>
          </w:tcPr>
          <w:p w14:paraId="2FB9D77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161B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0D447EE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18</w:t>
            </w:r>
          </w:p>
        </w:tc>
        <w:tc>
          <w:tcPr>
            <w:tcW w:w="863" w:type="dxa"/>
            <w:vMerge w:val="continue"/>
            <w:noWrap w:val="0"/>
            <w:vAlign w:val="center"/>
          </w:tcPr>
          <w:p w14:paraId="07C784F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1D34B63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蓬溪芝溪河城区段环境综合治理</w:t>
            </w:r>
          </w:p>
        </w:tc>
        <w:tc>
          <w:tcPr>
            <w:tcW w:w="1113" w:type="dxa"/>
            <w:noWrap w:val="0"/>
            <w:vAlign w:val="center"/>
          </w:tcPr>
          <w:p w14:paraId="3B36E56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赤城镇、普安街道</w:t>
            </w:r>
          </w:p>
        </w:tc>
        <w:tc>
          <w:tcPr>
            <w:tcW w:w="1275" w:type="dxa"/>
            <w:noWrap w:val="0"/>
            <w:vAlign w:val="center"/>
          </w:tcPr>
          <w:p w14:paraId="78AEAEF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2021-2023</w:t>
            </w:r>
          </w:p>
        </w:tc>
        <w:tc>
          <w:tcPr>
            <w:tcW w:w="1400" w:type="dxa"/>
            <w:noWrap w:val="0"/>
            <w:vAlign w:val="center"/>
          </w:tcPr>
          <w:p w14:paraId="1C5B78D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35000</w:t>
            </w:r>
          </w:p>
        </w:tc>
        <w:tc>
          <w:tcPr>
            <w:tcW w:w="4225" w:type="dxa"/>
            <w:noWrap w:val="0"/>
            <w:vAlign w:val="center"/>
          </w:tcPr>
          <w:p w14:paraId="419CB87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改造芝溪河两岸雨污水管、商住排污口，建设生态驳岸，实施水体修复等</w:t>
            </w:r>
          </w:p>
        </w:tc>
        <w:tc>
          <w:tcPr>
            <w:tcW w:w="1190" w:type="dxa"/>
            <w:noWrap w:val="0"/>
            <w:vAlign w:val="center"/>
          </w:tcPr>
          <w:p w14:paraId="367C106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kern w:val="2"/>
                <w:sz w:val="28"/>
                <w:szCs w:val="28"/>
                <w:lang w:val="en-US" w:eastAsia="zh-CN" w:bidi="ar-SA"/>
              </w:rPr>
              <w:t>县住建局</w:t>
            </w:r>
          </w:p>
        </w:tc>
      </w:tr>
      <w:tr w14:paraId="325D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02F825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19</w:t>
            </w:r>
          </w:p>
        </w:tc>
        <w:tc>
          <w:tcPr>
            <w:tcW w:w="863" w:type="dxa"/>
            <w:vMerge w:val="continue"/>
            <w:noWrap w:val="0"/>
            <w:vAlign w:val="center"/>
          </w:tcPr>
          <w:p w14:paraId="59F085F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26B5031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芝溪河流域生态治理</w:t>
            </w:r>
          </w:p>
        </w:tc>
        <w:tc>
          <w:tcPr>
            <w:tcW w:w="1113" w:type="dxa"/>
            <w:noWrap w:val="0"/>
            <w:vAlign w:val="center"/>
          </w:tcPr>
          <w:p w14:paraId="37E3F38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eastAsia="zh-CN"/>
              </w:rPr>
              <w:t>赤城镇、新会镇</w:t>
            </w:r>
          </w:p>
        </w:tc>
        <w:tc>
          <w:tcPr>
            <w:tcW w:w="1275" w:type="dxa"/>
            <w:noWrap w:val="0"/>
            <w:vAlign w:val="center"/>
          </w:tcPr>
          <w:p w14:paraId="79CF016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0BDA811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20000</w:t>
            </w:r>
          </w:p>
        </w:tc>
        <w:tc>
          <w:tcPr>
            <w:tcW w:w="4225" w:type="dxa"/>
            <w:noWrap w:val="0"/>
            <w:vAlign w:val="center"/>
          </w:tcPr>
          <w:p w14:paraId="27A3E42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建设人工湿地约1.5平方公里、污水管网约30公里、生态步道约20公里、实施垃圾渗滤液处理设施改造，芝溪河流域约30公里河道清淤；建设生态护岸约20公里；防护栏30公里；生态沟渠约40公里等</w:t>
            </w:r>
          </w:p>
        </w:tc>
        <w:tc>
          <w:tcPr>
            <w:tcW w:w="1190" w:type="dxa"/>
            <w:noWrap w:val="0"/>
            <w:vAlign w:val="center"/>
          </w:tcPr>
          <w:p w14:paraId="1A2F139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30AD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17F14C9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20</w:t>
            </w:r>
          </w:p>
        </w:tc>
        <w:tc>
          <w:tcPr>
            <w:tcW w:w="863" w:type="dxa"/>
            <w:vMerge w:val="continue"/>
            <w:noWrap w:val="0"/>
            <w:vAlign w:val="center"/>
          </w:tcPr>
          <w:p w14:paraId="081D69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67F06D6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蓬溪县白鹤林水库县级饮用水源地规范化建设项目</w:t>
            </w:r>
          </w:p>
        </w:tc>
        <w:tc>
          <w:tcPr>
            <w:tcW w:w="1113" w:type="dxa"/>
            <w:noWrap w:val="0"/>
            <w:vAlign w:val="center"/>
          </w:tcPr>
          <w:p w14:paraId="121C3D7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文井镇</w:t>
            </w:r>
          </w:p>
        </w:tc>
        <w:tc>
          <w:tcPr>
            <w:tcW w:w="1275" w:type="dxa"/>
            <w:noWrap w:val="0"/>
            <w:vAlign w:val="center"/>
          </w:tcPr>
          <w:p w14:paraId="67068C9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2023-2025</w:t>
            </w:r>
          </w:p>
        </w:tc>
        <w:tc>
          <w:tcPr>
            <w:tcW w:w="1400" w:type="dxa"/>
            <w:noWrap w:val="0"/>
            <w:vAlign w:val="center"/>
          </w:tcPr>
          <w:p w14:paraId="7DF927F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3000</w:t>
            </w:r>
          </w:p>
        </w:tc>
        <w:tc>
          <w:tcPr>
            <w:tcW w:w="4225" w:type="dxa"/>
            <w:noWrap w:val="0"/>
            <w:vAlign w:val="center"/>
          </w:tcPr>
          <w:p w14:paraId="78551E6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开展白鹤林水库县级水源地规范化建设，建设一级保护区隔离防护网、标识标牌、交通警示牌、视频监控，开展内源清理整治、生态涵养林、应急体系、水质监测能力建设等</w:t>
            </w:r>
          </w:p>
        </w:tc>
        <w:tc>
          <w:tcPr>
            <w:tcW w:w="1190" w:type="dxa"/>
            <w:noWrap w:val="0"/>
            <w:vAlign w:val="center"/>
          </w:tcPr>
          <w:p w14:paraId="7FEC3A2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729D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5BAEA3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21</w:t>
            </w:r>
          </w:p>
        </w:tc>
        <w:tc>
          <w:tcPr>
            <w:tcW w:w="863" w:type="dxa"/>
            <w:vMerge w:val="continue"/>
            <w:noWrap w:val="0"/>
            <w:vAlign w:val="center"/>
          </w:tcPr>
          <w:p w14:paraId="1046C0C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219B3F5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蓬溪县三五水库水源地环境整治及生态修复</w:t>
            </w:r>
          </w:p>
        </w:tc>
        <w:tc>
          <w:tcPr>
            <w:tcW w:w="1113" w:type="dxa"/>
            <w:noWrap w:val="0"/>
            <w:vAlign w:val="center"/>
          </w:tcPr>
          <w:p w14:paraId="00BDDEB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eastAsia="zh-CN"/>
              </w:rPr>
              <w:t>鸣凤镇</w:t>
            </w:r>
          </w:p>
        </w:tc>
        <w:tc>
          <w:tcPr>
            <w:tcW w:w="1275" w:type="dxa"/>
            <w:noWrap w:val="0"/>
            <w:vAlign w:val="center"/>
          </w:tcPr>
          <w:p w14:paraId="325BA88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2022-2024</w:t>
            </w:r>
          </w:p>
        </w:tc>
        <w:tc>
          <w:tcPr>
            <w:tcW w:w="1400" w:type="dxa"/>
            <w:noWrap w:val="0"/>
            <w:vAlign w:val="center"/>
          </w:tcPr>
          <w:p w14:paraId="685302B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1500</w:t>
            </w:r>
          </w:p>
        </w:tc>
        <w:tc>
          <w:tcPr>
            <w:tcW w:w="4225" w:type="dxa"/>
            <w:noWrap w:val="0"/>
            <w:vAlign w:val="center"/>
          </w:tcPr>
          <w:p w14:paraId="599F076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开展三五水库水源地整治，修缮隔离防护、标识标牌、交通警示牌等，建设生态缓冲隔离带、生态浮岛、人工湿地，种植滨水植物、沉水植物等</w:t>
            </w:r>
          </w:p>
        </w:tc>
        <w:tc>
          <w:tcPr>
            <w:tcW w:w="1190" w:type="dxa"/>
            <w:noWrap w:val="0"/>
            <w:vAlign w:val="center"/>
          </w:tcPr>
          <w:p w14:paraId="468DDE2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0C8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65" w:type="dxa"/>
            <w:noWrap w:val="0"/>
            <w:vAlign w:val="center"/>
          </w:tcPr>
          <w:p w14:paraId="16727BB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22</w:t>
            </w:r>
          </w:p>
        </w:tc>
        <w:tc>
          <w:tcPr>
            <w:tcW w:w="863" w:type="dxa"/>
            <w:vMerge w:val="continue"/>
            <w:noWrap w:val="0"/>
            <w:vAlign w:val="center"/>
          </w:tcPr>
          <w:p w14:paraId="72F8A5A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3A10D3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蓬溪镇村供水一体化工程</w:t>
            </w:r>
          </w:p>
        </w:tc>
        <w:tc>
          <w:tcPr>
            <w:tcW w:w="1113" w:type="dxa"/>
            <w:noWrap w:val="0"/>
            <w:vAlign w:val="center"/>
          </w:tcPr>
          <w:p w14:paraId="0185D3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bCs/>
                <w:color w:val="auto"/>
                <w:sz w:val="28"/>
                <w:szCs w:val="28"/>
                <w:lang w:eastAsia="zh-CN"/>
              </w:rPr>
              <w:t>各乡镇</w:t>
            </w:r>
          </w:p>
        </w:tc>
        <w:tc>
          <w:tcPr>
            <w:tcW w:w="1275" w:type="dxa"/>
            <w:noWrap w:val="0"/>
            <w:vAlign w:val="center"/>
          </w:tcPr>
          <w:p w14:paraId="38FCC4C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3190F57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 xml:space="preserve">64000 </w:t>
            </w:r>
          </w:p>
        </w:tc>
        <w:tc>
          <w:tcPr>
            <w:tcW w:w="4225" w:type="dxa"/>
            <w:noWrap w:val="0"/>
            <w:vAlign w:val="center"/>
          </w:tcPr>
          <w:p w14:paraId="46FFE80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建设自来水厂2个、改扩建自来水厂1座、加压泵站2个、高位水池2个、清水管道工程52.4公里、管网改造工程5公里及相关配套设施，回购蓬溪爱文思水务公司等</w:t>
            </w:r>
          </w:p>
        </w:tc>
        <w:tc>
          <w:tcPr>
            <w:tcW w:w="1190" w:type="dxa"/>
            <w:noWrap w:val="0"/>
            <w:vAlign w:val="center"/>
          </w:tcPr>
          <w:p w14:paraId="4F08D06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蓬溪赤源水务投资有限公司</w:t>
            </w:r>
          </w:p>
        </w:tc>
      </w:tr>
      <w:tr w14:paraId="1959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2BD6AE9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23</w:t>
            </w:r>
          </w:p>
        </w:tc>
        <w:tc>
          <w:tcPr>
            <w:tcW w:w="863" w:type="dxa"/>
            <w:vMerge w:val="restart"/>
            <w:noWrap w:val="0"/>
            <w:vAlign w:val="center"/>
          </w:tcPr>
          <w:p w14:paraId="13CAB91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推进农村环境整治</w:t>
            </w:r>
          </w:p>
        </w:tc>
        <w:tc>
          <w:tcPr>
            <w:tcW w:w="2745" w:type="dxa"/>
            <w:noWrap w:val="0"/>
            <w:vAlign w:val="center"/>
          </w:tcPr>
          <w:p w14:paraId="65E120A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蓬溪县农村生活污水治理</w:t>
            </w:r>
          </w:p>
        </w:tc>
        <w:tc>
          <w:tcPr>
            <w:tcW w:w="1113" w:type="dxa"/>
            <w:noWrap w:val="0"/>
            <w:vAlign w:val="center"/>
          </w:tcPr>
          <w:p w14:paraId="16BD9E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相关乡镇</w:t>
            </w:r>
          </w:p>
        </w:tc>
        <w:tc>
          <w:tcPr>
            <w:tcW w:w="1275" w:type="dxa"/>
            <w:noWrap w:val="0"/>
            <w:vAlign w:val="center"/>
          </w:tcPr>
          <w:p w14:paraId="13952F0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2021-2026</w:t>
            </w:r>
          </w:p>
        </w:tc>
        <w:tc>
          <w:tcPr>
            <w:tcW w:w="1400" w:type="dxa"/>
            <w:noWrap w:val="0"/>
            <w:vAlign w:val="center"/>
          </w:tcPr>
          <w:p w14:paraId="55286FA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35000</w:t>
            </w:r>
          </w:p>
        </w:tc>
        <w:tc>
          <w:tcPr>
            <w:tcW w:w="4225" w:type="dxa"/>
            <w:noWrap w:val="0"/>
            <w:vAlign w:val="center"/>
          </w:tcPr>
          <w:p w14:paraId="7B3158B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建设小型聚居点污水处理设施430座；单户式处理系统约8万个；污水收集支管网800公里</w:t>
            </w:r>
          </w:p>
        </w:tc>
        <w:tc>
          <w:tcPr>
            <w:tcW w:w="1190" w:type="dxa"/>
            <w:noWrap w:val="0"/>
            <w:vAlign w:val="center"/>
          </w:tcPr>
          <w:p w14:paraId="499FA77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0620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5D5CEAB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24</w:t>
            </w:r>
          </w:p>
        </w:tc>
        <w:tc>
          <w:tcPr>
            <w:tcW w:w="863" w:type="dxa"/>
            <w:vMerge w:val="continue"/>
            <w:noWrap w:val="0"/>
            <w:vAlign w:val="center"/>
          </w:tcPr>
          <w:p w14:paraId="5FD233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28AB28F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蓬溪县农村环境综合整治项目</w:t>
            </w:r>
          </w:p>
        </w:tc>
        <w:tc>
          <w:tcPr>
            <w:tcW w:w="1113" w:type="dxa"/>
            <w:noWrap w:val="0"/>
            <w:vAlign w:val="center"/>
          </w:tcPr>
          <w:p w14:paraId="24667A5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赤城镇、红江镇、大石镇、天福镇等16个乡镇</w:t>
            </w:r>
          </w:p>
        </w:tc>
        <w:tc>
          <w:tcPr>
            <w:tcW w:w="1275" w:type="dxa"/>
            <w:noWrap w:val="0"/>
            <w:vAlign w:val="center"/>
          </w:tcPr>
          <w:p w14:paraId="65A7DDA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2019-2021</w:t>
            </w:r>
          </w:p>
        </w:tc>
        <w:tc>
          <w:tcPr>
            <w:tcW w:w="1400" w:type="dxa"/>
            <w:noWrap w:val="0"/>
            <w:vAlign w:val="center"/>
          </w:tcPr>
          <w:p w14:paraId="467DECD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12471</w:t>
            </w:r>
          </w:p>
        </w:tc>
        <w:tc>
          <w:tcPr>
            <w:tcW w:w="4225" w:type="dxa"/>
            <w:noWrap w:val="0"/>
            <w:vAlign w:val="center"/>
          </w:tcPr>
          <w:p w14:paraId="2B6AEEF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建设一体化污水处理设施16座、易污水设施1781座、污水收集管网447公里、村级垃圾中转站15座及配套设施设备等</w:t>
            </w:r>
          </w:p>
        </w:tc>
        <w:tc>
          <w:tcPr>
            <w:tcW w:w="1190" w:type="dxa"/>
            <w:noWrap w:val="0"/>
            <w:vAlign w:val="center"/>
          </w:tcPr>
          <w:p w14:paraId="75175C1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3F0D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23D0FB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25</w:t>
            </w:r>
          </w:p>
        </w:tc>
        <w:tc>
          <w:tcPr>
            <w:tcW w:w="863" w:type="dxa"/>
            <w:vMerge w:val="continue"/>
            <w:noWrap w:val="0"/>
            <w:vAlign w:val="center"/>
          </w:tcPr>
          <w:p w14:paraId="3F3621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74B09C1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蓬溪县农村社区聚集点污水治理项目</w:t>
            </w:r>
          </w:p>
        </w:tc>
        <w:tc>
          <w:tcPr>
            <w:tcW w:w="1113" w:type="dxa"/>
            <w:noWrap w:val="0"/>
            <w:vAlign w:val="center"/>
          </w:tcPr>
          <w:p w14:paraId="27F2C60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相关乡镇</w:t>
            </w:r>
          </w:p>
        </w:tc>
        <w:tc>
          <w:tcPr>
            <w:tcW w:w="1275" w:type="dxa"/>
            <w:noWrap w:val="0"/>
            <w:vAlign w:val="center"/>
          </w:tcPr>
          <w:p w14:paraId="43B9612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2021-2023</w:t>
            </w:r>
          </w:p>
        </w:tc>
        <w:tc>
          <w:tcPr>
            <w:tcW w:w="1400" w:type="dxa"/>
            <w:noWrap w:val="0"/>
            <w:vAlign w:val="center"/>
          </w:tcPr>
          <w:p w14:paraId="7542732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7500</w:t>
            </w:r>
          </w:p>
        </w:tc>
        <w:tc>
          <w:tcPr>
            <w:tcW w:w="4225" w:type="dxa"/>
            <w:noWrap w:val="0"/>
            <w:vAlign w:val="center"/>
          </w:tcPr>
          <w:p w14:paraId="5242EC3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建设农村社区居民聚居点污水处理站5座，合计处理规模500吨/日，配套建设污水管网30千米</w:t>
            </w:r>
          </w:p>
        </w:tc>
        <w:tc>
          <w:tcPr>
            <w:tcW w:w="1190" w:type="dxa"/>
            <w:noWrap w:val="0"/>
            <w:vAlign w:val="center"/>
          </w:tcPr>
          <w:p w14:paraId="3A3B4C9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县住建</w:t>
            </w:r>
            <w:r>
              <w:rPr>
                <w:rFonts w:hint="default" w:ascii="Times New Roman" w:hAnsi="Times New Roman" w:eastAsia="仿宋_GB2312" w:cs="Times New Roman"/>
                <w:bCs/>
                <w:color w:val="auto"/>
                <w:kern w:val="2"/>
                <w:sz w:val="28"/>
                <w:szCs w:val="28"/>
                <w:lang w:val="en-US" w:eastAsia="zh-CN" w:bidi="ar-SA"/>
              </w:rPr>
              <w:t>局</w:t>
            </w:r>
          </w:p>
        </w:tc>
      </w:tr>
      <w:tr w14:paraId="2E97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489509D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26</w:t>
            </w:r>
          </w:p>
        </w:tc>
        <w:tc>
          <w:tcPr>
            <w:tcW w:w="863" w:type="dxa"/>
            <w:vMerge w:val="continue"/>
            <w:noWrap w:val="0"/>
            <w:vAlign w:val="center"/>
          </w:tcPr>
          <w:p w14:paraId="60AD518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C54BBF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盟遂合作乡村振兴示范区“一区三园”人居环境整治项目</w:t>
            </w:r>
          </w:p>
        </w:tc>
        <w:tc>
          <w:tcPr>
            <w:tcW w:w="1113" w:type="dxa"/>
            <w:noWrap w:val="0"/>
            <w:vAlign w:val="center"/>
          </w:tcPr>
          <w:p w14:paraId="5B0CE4E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w:t>
            </w:r>
          </w:p>
        </w:tc>
        <w:tc>
          <w:tcPr>
            <w:tcW w:w="1275" w:type="dxa"/>
            <w:noWrap w:val="0"/>
            <w:vAlign w:val="center"/>
          </w:tcPr>
          <w:p w14:paraId="17B83B5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435E295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5400</w:t>
            </w:r>
          </w:p>
        </w:tc>
        <w:tc>
          <w:tcPr>
            <w:tcW w:w="4225" w:type="dxa"/>
            <w:noWrap w:val="0"/>
            <w:vAlign w:val="center"/>
          </w:tcPr>
          <w:p w14:paraId="679BBA4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围绕白鹤林水美乡村大健康产业园、黑龙凼现代农业产业园、墨砚湖农旅融合示范园“一区三园”，共实施1800户农户改厕、改厨、改水、改路、改院等人居环境综合整治</w:t>
            </w:r>
          </w:p>
        </w:tc>
        <w:tc>
          <w:tcPr>
            <w:tcW w:w="1190" w:type="dxa"/>
            <w:noWrap w:val="0"/>
            <w:vAlign w:val="center"/>
          </w:tcPr>
          <w:p w14:paraId="4AE8F37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县</w:t>
            </w:r>
            <w:r>
              <w:rPr>
                <w:rFonts w:hint="default" w:ascii="Times New Roman" w:hAnsi="Times New Roman" w:eastAsia="仿宋_GB2312" w:cs="Times New Roman"/>
                <w:bCs/>
                <w:color w:val="auto"/>
                <w:kern w:val="2"/>
                <w:sz w:val="28"/>
                <w:szCs w:val="28"/>
                <w:lang w:val="en-US" w:eastAsia="zh-CN" w:bidi="ar-SA"/>
              </w:rPr>
              <w:t>农业农村局</w:t>
            </w:r>
          </w:p>
        </w:tc>
      </w:tr>
      <w:tr w14:paraId="2B51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0DC6EF9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27</w:t>
            </w:r>
          </w:p>
        </w:tc>
        <w:tc>
          <w:tcPr>
            <w:tcW w:w="863" w:type="dxa"/>
            <w:vMerge w:val="continue"/>
            <w:noWrap w:val="0"/>
            <w:vAlign w:val="center"/>
          </w:tcPr>
          <w:p w14:paraId="741C3BF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32DF86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农村人居环境整治“厕所革命”</w:t>
            </w:r>
          </w:p>
        </w:tc>
        <w:tc>
          <w:tcPr>
            <w:tcW w:w="1113" w:type="dxa"/>
            <w:noWrap w:val="0"/>
            <w:vAlign w:val="center"/>
          </w:tcPr>
          <w:p w14:paraId="2B8E9A4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w:t>
            </w:r>
          </w:p>
        </w:tc>
        <w:tc>
          <w:tcPr>
            <w:tcW w:w="1275" w:type="dxa"/>
            <w:noWrap w:val="0"/>
            <w:vAlign w:val="center"/>
          </w:tcPr>
          <w:p w14:paraId="07FC794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6378598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 w:val="0"/>
                <w:color w:val="auto"/>
                <w:sz w:val="28"/>
                <w:szCs w:val="28"/>
                <w:lang w:val="en-US" w:eastAsia="zh-CN"/>
              </w:rPr>
              <w:t>10008.9</w:t>
            </w:r>
          </w:p>
        </w:tc>
        <w:tc>
          <w:tcPr>
            <w:tcW w:w="4225" w:type="dxa"/>
            <w:noWrap w:val="0"/>
            <w:vAlign w:val="center"/>
          </w:tcPr>
          <w:p w14:paraId="16DFD88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改造户用无害化卫生厕所</w:t>
            </w:r>
            <w:r>
              <w:rPr>
                <w:rFonts w:hint="default" w:ascii="Times New Roman" w:hAnsi="Times New Roman" w:cs="Times New Roman"/>
                <w:bCs/>
                <w:color w:val="auto"/>
                <w:kern w:val="2"/>
                <w:sz w:val="28"/>
                <w:szCs w:val="28"/>
                <w:lang w:val="en-US" w:eastAsia="zh-CN" w:bidi="ar-SA"/>
              </w:rPr>
              <w:t>4.35</w:t>
            </w:r>
            <w:r>
              <w:rPr>
                <w:rFonts w:hint="default" w:ascii="Times New Roman" w:hAnsi="Times New Roman" w:eastAsia="仿宋_GB2312" w:cs="Times New Roman"/>
                <w:bCs/>
                <w:color w:val="auto"/>
                <w:kern w:val="2"/>
                <w:sz w:val="28"/>
                <w:szCs w:val="28"/>
                <w:lang w:val="en-US" w:eastAsia="zh-CN" w:bidi="ar-SA"/>
              </w:rPr>
              <w:t>万户</w:t>
            </w:r>
          </w:p>
        </w:tc>
        <w:tc>
          <w:tcPr>
            <w:tcW w:w="1190" w:type="dxa"/>
            <w:noWrap w:val="0"/>
            <w:vAlign w:val="center"/>
          </w:tcPr>
          <w:p w14:paraId="0AF1A5E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县</w:t>
            </w:r>
            <w:r>
              <w:rPr>
                <w:rFonts w:hint="default" w:ascii="Times New Roman" w:hAnsi="Times New Roman" w:eastAsia="仿宋_GB2312" w:cs="Times New Roman"/>
                <w:bCs/>
                <w:color w:val="auto"/>
                <w:kern w:val="2"/>
                <w:sz w:val="28"/>
                <w:szCs w:val="28"/>
                <w:lang w:val="en-US" w:eastAsia="zh-CN" w:bidi="ar-SA"/>
              </w:rPr>
              <w:t>农业农村局</w:t>
            </w:r>
          </w:p>
        </w:tc>
      </w:tr>
      <w:tr w14:paraId="5F28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6E3B413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28</w:t>
            </w:r>
          </w:p>
        </w:tc>
        <w:tc>
          <w:tcPr>
            <w:tcW w:w="863" w:type="dxa"/>
            <w:vMerge w:val="continue"/>
            <w:noWrap w:val="0"/>
            <w:vAlign w:val="center"/>
          </w:tcPr>
          <w:p w14:paraId="3982DE8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0FE2F60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蓬溪重点镇人居环境治理</w:t>
            </w:r>
          </w:p>
        </w:tc>
        <w:tc>
          <w:tcPr>
            <w:tcW w:w="1113" w:type="dxa"/>
            <w:noWrap w:val="0"/>
            <w:vAlign w:val="center"/>
          </w:tcPr>
          <w:p w14:paraId="3943E00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蓬南镇、任隆镇、天福镇、常乐镇</w:t>
            </w:r>
          </w:p>
        </w:tc>
        <w:tc>
          <w:tcPr>
            <w:tcW w:w="1275" w:type="dxa"/>
            <w:noWrap w:val="0"/>
            <w:vAlign w:val="center"/>
          </w:tcPr>
          <w:p w14:paraId="45B215B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36E99D8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15000</w:t>
            </w:r>
          </w:p>
        </w:tc>
        <w:tc>
          <w:tcPr>
            <w:tcW w:w="4225" w:type="dxa"/>
            <w:noWrap w:val="0"/>
            <w:vAlign w:val="center"/>
          </w:tcPr>
          <w:p w14:paraId="488CA0A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对蓬南、任隆、天福、常乐等重点中心镇的生活垃圾分类收运、厕所粪污、村容村貌等进行提升改造</w:t>
            </w:r>
          </w:p>
        </w:tc>
        <w:tc>
          <w:tcPr>
            <w:tcW w:w="1190" w:type="dxa"/>
            <w:noWrap w:val="0"/>
            <w:vAlign w:val="center"/>
          </w:tcPr>
          <w:p w14:paraId="2980143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474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0462DA7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29</w:t>
            </w:r>
          </w:p>
        </w:tc>
        <w:tc>
          <w:tcPr>
            <w:tcW w:w="863" w:type="dxa"/>
            <w:vMerge w:val="restart"/>
            <w:noWrap w:val="0"/>
            <w:vAlign w:val="center"/>
          </w:tcPr>
          <w:p w14:paraId="7882E9B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打造高品质公园城市</w:t>
            </w:r>
          </w:p>
        </w:tc>
        <w:tc>
          <w:tcPr>
            <w:tcW w:w="2745" w:type="dxa"/>
            <w:noWrap w:val="0"/>
            <w:vAlign w:val="center"/>
          </w:tcPr>
          <w:p w14:paraId="03B237F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中国书法大道附属工程</w:t>
            </w:r>
          </w:p>
        </w:tc>
        <w:tc>
          <w:tcPr>
            <w:tcW w:w="1113" w:type="dxa"/>
            <w:noWrap w:val="0"/>
            <w:vAlign w:val="center"/>
          </w:tcPr>
          <w:p w14:paraId="2F524F4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普安街道</w:t>
            </w:r>
          </w:p>
        </w:tc>
        <w:tc>
          <w:tcPr>
            <w:tcW w:w="1275" w:type="dxa"/>
            <w:noWrap w:val="0"/>
            <w:vAlign w:val="center"/>
          </w:tcPr>
          <w:p w14:paraId="16C95D1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2021-2023</w:t>
            </w:r>
          </w:p>
        </w:tc>
        <w:tc>
          <w:tcPr>
            <w:tcW w:w="1400" w:type="dxa"/>
            <w:noWrap w:val="0"/>
            <w:vAlign w:val="center"/>
          </w:tcPr>
          <w:p w14:paraId="619255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8000</w:t>
            </w:r>
          </w:p>
        </w:tc>
        <w:tc>
          <w:tcPr>
            <w:tcW w:w="4225" w:type="dxa"/>
            <w:noWrap w:val="0"/>
            <w:vAlign w:val="center"/>
          </w:tcPr>
          <w:p w14:paraId="69FE53F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实施长6.3公里书法大道道路两旁约15米绿化建设等</w:t>
            </w:r>
          </w:p>
        </w:tc>
        <w:tc>
          <w:tcPr>
            <w:tcW w:w="1190" w:type="dxa"/>
            <w:noWrap w:val="0"/>
            <w:vAlign w:val="center"/>
          </w:tcPr>
          <w:p w14:paraId="5AFD657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B30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7E8D556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30</w:t>
            </w:r>
          </w:p>
        </w:tc>
        <w:tc>
          <w:tcPr>
            <w:tcW w:w="863" w:type="dxa"/>
            <w:vMerge w:val="continue"/>
            <w:noWrap w:val="0"/>
            <w:vAlign w:val="center"/>
          </w:tcPr>
          <w:p w14:paraId="6F4D010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6FC6E18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普安大道三期绿化</w:t>
            </w:r>
          </w:p>
        </w:tc>
        <w:tc>
          <w:tcPr>
            <w:tcW w:w="1113" w:type="dxa"/>
            <w:noWrap w:val="0"/>
            <w:vAlign w:val="center"/>
          </w:tcPr>
          <w:p w14:paraId="02392ED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F70CCB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3254AF2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5000</w:t>
            </w:r>
          </w:p>
        </w:tc>
        <w:tc>
          <w:tcPr>
            <w:tcW w:w="4225" w:type="dxa"/>
            <w:noWrap w:val="0"/>
            <w:vAlign w:val="center"/>
          </w:tcPr>
          <w:p w14:paraId="2B104D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建设普安大道道路1.4公里市政绿化工程及附属设施等</w:t>
            </w:r>
          </w:p>
        </w:tc>
        <w:tc>
          <w:tcPr>
            <w:tcW w:w="1190" w:type="dxa"/>
            <w:noWrap w:val="0"/>
            <w:vAlign w:val="center"/>
          </w:tcPr>
          <w:p w14:paraId="2221404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16E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48A7CBC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31</w:t>
            </w:r>
          </w:p>
        </w:tc>
        <w:tc>
          <w:tcPr>
            <w:tcW w:w="863" w:type="dxa"/>
            <w:vMerge w:val="continue"/>
            <w:noWrap w:val="0"/>
            <w:vAlign w:val="center"/>
          </w:tcPr>
          <w:p w14:paraId="74966A7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3201051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蓬板路连接段道路建设</w:t>
            </w:r>
          </w:p>
        </w:tc>
        <w:tc>
          <w:tcPr>
            <w:tcW w:w="1113" w:type="dxa"/>
            <w:noWrap w:val="0"/>
            <w:vAlign w:val="center"/>
          </w:tcPr>
          <w:p w14:paraId="1891708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2792A44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2021-2021</w:t>
            </w:r>
          </w:p>
        </w:tc>
        <w:tc>
          <w:tcPr>
            <w:tcW w:w="1400" w:type="dxa"/>
            <w:noWrap w:val="0"/>
            <w:vAlign w:val="center"/>
          </w:tcPr>
          <w:p w14:paraId="0B72F5F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3000</w:t>
            </w:r>
          </w:p>
        </w:tc>
        <w:tc>
          <w:tcPr>
            <w:tcW w:w="4225" w:type="dxa"/>
            <w:noWrap w:val="0"/>
            <w:vAlign w:val="center"/>
          </w:tcPr>
          <w:p w14:paraId="6A7A6FF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建设海绵型道路1.5公里，配建人行道、雨污管网、路灯、绿化等设施</w:t>
            </w:r>
          </w:p>
        </w:tc>
        <w:tc>
          <w:tcPr>
            <w:tcW w:w="1190" w:type="dxa"/>
            <w:noWrap w:val="0"/>
            <w:vAlign w:val="center"/>
          </w:tcPr>
          <w:p w14:paraId="4053049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963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dxa"/>
            <w:noWrap w:val="0"/>
            <w:vAlign w:val="center"/>
          </w:tcPr>
          <w:p w14:paraId="4E31D4D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32</w:t>
            </w:r>
          </w:p>
        </w:tc>
        <w:tc>
          <w:tcPr>
            <w:tcW w:w="863" w:type="dxa"/>
            <w:vMerge w:val="continue"/>
            <w:noWrap w:val="0"/>
            <w:vAlign w:val="center"/>
          </w:tcPr>
          <w:p w14:paraId="3D2218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0F1E1C9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广福路综合提升</w:t>
            </w:r>
          </w:p>
        </w:tc>
        <w:tc>
          <w:tcPr>
            <w:tcW w:w="1113" w:type="dxa"/>
            <w:noWrap w:val="0"/>
            <w:vAlign w:val="center"/>
          </w:tcPr>
          <w:p w14:paraId="1CA58D8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4C66E82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2021-2021</w:t>
            </w:r>
          </w:p>
        </w:tc>
        <w:tc>
          <w:tcPr>
            <w:tcW w:w="1400" w:type="dxa"/>
            <w:noWrap w:val="0"/>
            <w:vAlign w:val="center"/>
          </w:tcPr>
          <w:p w14:paraId="1CAC44F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2500</w:t>
            </w:r>
          </w:p>
        </w:tc>
        <w:tc>
          <w:tcPr>
            <w:tcW w:w="4225" w:type="dxa"/>
            <w:noWrap w:val="0"/>
            <w:vAlign w:val="center"/>
          </w:tcPr>
          <w:p w14:paraId="597E43E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实施道路扩宽、雨水管网改造、绿化改造、强弱电下地等</w:t>
            </w:r>
          </w:p>
        </w:tc>
        <w:tc>
          <w:tcPr>
            <w:tcW w:w="1190" w:type="dxa"/>
            <w:noWrap w:val="0"/>
            <w:vAlign w:val="center"/>
          </w:tcPr>
          <w:p w14:paraId="00AE1C1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3A9F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33DB618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33</w:t>
            </w:r>
          </w:p>
        </w:tc>
        <w:tc>
          <w:tcPr>
            <w:tcW w:w="863" w:type="dxa"/>
            <w:vMerge w:val="continue"/>
            <w:noWrap w:val="0"/>
            <w:vAlign w:val="center"/>
          </w:tcPr>
          <w:p w14:paraId="18A87DF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2E67EEC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蓬溪山地公园</w:t>
            </w:r>
          </w:p>
        </w:tc>
        <w:tc>
          <w:tcPr>
            <w:tcW w:w="1113" w:type="dxa"/>
            <w:noWrap w:val="0"/>
            <w:vAlign w:val="center"/>
          </w:tcPr>
          <w:p w14:paraId="5700786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631B054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2024-2027</w:t>
            </w:r>
          </w:p>
        </w:tc>
        <w:tc>
          <w:tcPr>
            <w:tcW w:w="1400" w:type="dxa"/>
            <w:noWrap w:val="0"/>
            <w:vAlign w:val="center"/>
          </w:tcPr>
          <w:p w14:paraId="4C68F10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5000</w:t>
            </w:r>
          </w:p>
        </w:tc>
        <w:tc>
          <w:tcPr>
            <w:tcW w:w="4225" w:type="dxa"/>
            <w:noWrap w:val="0"/>
            <w:vAlign w:val="center"/>
          </w:tcPr>
          <w:p w14:paraId="25621BA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建设桃花山、狮子山道路、绿化及附属设施等</w:t>
            </w:r>
          </w:p>
        </w:tc>
        <w:tc>
          <w:tcPr>
            <w:tcW w:w="1190" w:type="dxa"/>
            <w:noWrap w:val="0"/>
            <w:vAlign w:val="center"/>
          </w:tcPr>
          <w:p w14:paraId="1AB0FC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DEF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5D39A74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34</w:t>
            </w:r>
          </w:p>
        </w:tc>
        <w:tc>
          <w:tcPr>
            <w:tcW w:w="863" w:type="dxa"/>
            <w:vMerge w:val="continue"/>
            <w:noWrap w:val="0"/>
            <w:vAlign w:val="center"/>
          </w:tcPr>
          <w:p w14:paraId="271B929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19596D3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蓬溪绿道建设</w:t>
            </w:r>
          </w:p>
        </w:tc>
        <w:tc>
          <w:tcPr>
            <w:tcW w:w="1113" w:type="dxa"/>
            <w:noWrap w:val="0"/>
            <w:vAlign w:val="center"/>
          </w:tcPr>
          <w:p w14:paraId="0C66706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4787E35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0566E2D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20000</w:t>
            </w:r>
          </w:p>
        </w:tc>
        <w:tc>
          <w:tcPr>
            <w:tcW w:w="4225" w:type="dxa"/>
            <w:noWrap w:val="0"/>
            <w:vAlign w:val="center"/>
          </w:tcPr>
          <w:p w14:paraId="5ADF985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沿G318国道经吉祥、大石、宝梵到赤城镇，建设主干绿道共计29公里；建设8.84km城市绿道，接通西华拓展区、佛博苑至县城区的次级绿道；沿318国道向北，实施鸣宝路至火车站广场环境景观、普安大道绿化景观、蜀北路道路改造等项目、芝溪河城区段综合治理等项目，新建绿道4.5km，改造绿道3.5km；实施赤城湖生态保护工程，建设10km环湖骑游步道，改造将军路、仿古街共3.5km的城市休闲主干绿道</w:t>
            </w:r>
          </w:p>
        </w:tc>
        <w:tc>
          <w:tcPr>
            <w:tcW w:w="1190" w:type="dxa"/>
            <w:noWrap w:val="0"/>
            <w:vAlign w:val="center"/>
          </w:tcPr>
          <w:p w14:paraId="54E8D69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12C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1D575D0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35</w:t>
            </w:r>
          </w:p>
        </w:tc>
        <w:tc>
          <w:tcPr>
            <w:tcW w:w="863" w:type="dxa"/>
            <w:vMerge w:val="continue"/>
            <w:noWrap w:val="0"/>
            <w:vAlign w:val="center"/>
          </w:tcPr>
          <w:p w14:paraId="3013836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78FBB4A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蓬溪赤城湖生态环境保护</w:t>
            </w:r>
          </w:p>
        </w:tc>
        <w:tc>
          <w:tcPr>
            <w:tcW w:w="1113" w:type="dxa"/>
            <w:noWrap w:val="0"/>
            <w:vAlign w:val="center"/>
          </w:tcPr>
          <w:p w14:paraId="3023BB6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2944BB5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2021-2024</w:t>
            </w:r>
          </w:p>
        </w:tc>
        <w:tc>
          <w:tcPr>
            <w:tcW w:w="1400" w:type="dxa"/>
            <w:noWrap w:val="0"/>
            <w:vAlign w:val="center"/>
          </w:tcPr>
          <w:p w14:paraId="3F4E885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4500</w:t>
            </w:r>
          </w:p>
        </w:tc>
        <w:tc>
          <w:tcPr>
            <w:tcW w:w="4225" w:type="dxa"/>
            <w:noWrap w:val="0"/>
            <w:vAlign w:val="center"/>
          </w:tcPr>
          <w:p w14:paraId="7D84F2C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建设慢行环线15公里、雨污分流管网、农房风貌改造等</w:t>
            </w:r>
          </w:p>
        </w:tc>
        <w:tc>
          <w:tcPr>
            <w:tcW w:w="1190" w:type="dxa"/>
            <w:noWrap w:val="0"/>
            <w:vAlign w:val="center"/>
          </w:tcPr>
          <w:p w14:paraId="03CC4C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FDE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3258D24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36</w:t>
            </w:r>
          </w:p>
        </w:tc>
        <w:tc>
          <w:tcPr>
            <w:tcW w:w="863" w:type="dxa"/>
            <w:vMerge w:val="continue"/>
            <w:noWrap w:val="0"/>
            <w:vAlign w:val="center"/>
          </w:tcPr>
          <w:p w14:paraId="418A56C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4BE5C0D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蓬溪芭茅垭市民活动场所</w:t>
            </w:r>
          </w:p>
        </w:tc>
        <w:tc>
          <w:tcPr>
            <w:tcW w:w="1113" w:type="dxa"/>
            <w:noWrap w:val="0"/>
            <w:vAlign w:val="center"/>
          </w:tcPr>
          <w:p w14:paraId="5B8F2F6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普安街道</w:t>
            </w:r>
          </w:p>
        </w:tc>
        <w:tc>
          <w:tcPr>
            <w:tcW w:w="1275" w:type="dxa"/>
            <w:noWrap w:val="0"/>
            <w:vAlign w:val="center"/>
          </w:tcPr>
          <w:p w14:paraId="74432F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03CB986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10000</w:t>
            </w:r>
          </w:p>
        </w:tc>
        <w:tc>
          <w:tcPr>
            <w:tcW w:w="4225" w:type="dxa"/>
            <w:noWrap w:val="0"/>
            <w:vAlign w:val="center"/>
          </w:tcPr>
          <w:p w14:paraId="5824ED5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占地150亩，建设绿化、绿道、水域、广场及配套设施等</w:t>
            </w:r>
          </w:p>
        </w:tc>
        <w:tc>
          <w:tcPr>
            <w:tcW w:w="1190" w:type="dxa"/>
            <w:noWrap w:val="0"/>
            <w:vAlign w:val="center"/>
          </w:tcPr>
          <w:p w14:paraId="2F06208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39D9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70DC0DC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37</w:t>
            </w:r>
          </w:p>
        </w:tc>
        <w:tc>
          <w:tcPr>
            <w:tcW w:w="863" w:type="dxa"/>
            <w:vMerge w:val="continue"/>
            <w:noWrap w:val="0"/>
            <w:vAlign w:val="center"/>
          </w:tcPr>
          <w:p w14:paraId="3268346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59BC68A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遂西高速出口连接线绿道</w:t>
            </w:r>
          </w:p>
        </w:tc>
        <w:tc>
          <w:tcPr>
            <w:tcW w:w="1113" w:type="dxa"/>
            <w:noWrap w:val="0"/>
            <w:vAlign w:val="center"/>
          </w:tcPr>
          <w:p w14:paraId="66BE81B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宝梵镇、蓬溪经开区</w:t>
            </w:r>
          </w:p>
        </w:tc>
        <w:tc>
          <w:tcPr>
            <w:tcW w:w="1275" w:type="dxa"/>
            <w:noWrap w:val="0"/>
            <w:vAlign w:val="center"/>
          </w:tcPr>
          <w:p w14:paraId="3EE76B6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2021-2023</w:t>
            </w:r>
          </w:p>
        </w:tc>
        <w:tc>
          <w:tcPr>
            <w:tcW w:w="1400" w:type="dxa"/>
            <w:noWrap w:val="0"/>
            <w:vAlign w:val="center"/>
          </w:tcPr>
          <w:p w14:paraId="0E22834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3000</w:t>
            </w:r>
          </w:p>
        </w:tc>
        <w:tc>
          <w:tcPr>
            <w:tcW w:w="4225" w:type="dxa"/>
            <w:noWrap w:val="0"/>
            <w:vAlign w:val="center"/>
          </w:tcPr>
          <w:p w14:paraId="7A25BB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实施遂西高速明月出口至城区城市连接段9公里生态绿道</w:t>
            </w:r>
          </w:p>
        </w:tc>
        <w:tc>
          <w:tcPr>
            <w:tcW w:w="1190" w:type="dxa"/>
            <w:noWrap w:val="0"/>
            <w:vAlign w:val="center"/>
          </w:tcPr>
          <w:p w14:paraId="77E2700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B72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75689F8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39</w:t>
            </w:r>
          </w:p>
        </w:tc>
        <w:tc>
          <w:tcPr>
            <w:tcW w:w="863" w:type="dxa"/>
            <w:vMerge w:val="continue"/>
            <w:noWrap w:val="0"/>
            <w:vAlign w:val="center"/>
          </w:tcPr>
          <w:p w14:paraId="526943D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6804411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普安新城至城河段排洪箱涵建设项目</w:t>
            </w:r>
          </w:p>
        </w:tc>
        <w:tc>
          <w:tcPr>
            <w:tcW w:w="1113" w:type="dxa"/>
            <w:noWrap w:val="0"/>
            <w:vAlign w:val="center"/>
          </w:tcPr>
          <w:p w14:paraId="7A9AABE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1DCC947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73C08AC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30000</w:t>
            </w:r>
          </w:p>
        </w:tc>
        <w:tc>
          <w:tcPr>
            <w:tcW w:w="4225" w:type="dxa"/>
            <w:noWrap w:val="0"/>
            <w:vAlign w:val="center"/>
          </w:tcPr>
          <w:p w14:paraId="735D44A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建设普安新城片区至城河3.5公里排洪防涝箱涵</w:t>
            </w:r>
          </w:p>
        </w:tc>
        <w:tc>
          <w:tcPr>
            <w:tcW w:w="1190" w:type="dxa"/>
            <w:noWrap w:val="0"/>
            <w:vAlign w:val="center"/>
          </w:tcPr>
          <w:p w14:paraId="559E600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F40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4F41A4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40</w:t>
            </w:r>
          </w:p>
        </w:tc>
        <w:tc>
          <w:tcPr>
            <w:tcW w:w="863" w:type="dxa"/>
            <w:vMerge w:val="continue"/>
            <w:noWrap w:val="0"/>
            <w:vAlign w:val="center"/>
          </w:tcPr>
          <w:p w14:paraId="16401C5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15238C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蓬溪城区排水防涝（二期）</w:t>
            </w:r>
          </w:p>
        </w:tc>
        <w:tc>
          <w:tcPr>
            <w:tcW w:w="1113" w:type="dxa"/>
            <w:noWrap w:val="0"/>
            <w:vAlign w:val="center"/>
          </w:tcPr>
          <w:p w14:paraId="5811523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13F4B3D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34FDAB1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7613</w:t>
            </w:r>
          </w:p>
        </w:tc>
        <w:tc>
          <w:tcPr>
            <w:tcW w:w="4225" w:type="dxa"/>
            <w:noWrap w:val="0"/>
            <w:vAlign w:val="center"/>
          </w:tcPr>
          <w:p w14:paraId="28E763D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实施上游工业园、蜀北中路、观英街、上河街等区域管渠建设14.3公里，滞蓄设施建设2.24万平方米，监测设备25套，应急抢险设备4套，箱涵清淤0.3公里</w:t>
            </w:r>
          </w:p>
        </w:tc>
        <w:tc>
          <w:tcPr>
            <w:tcW w:w="1190" w:type="dxa"/>
            <w:noWrap w:val="0"/>
            <w:vAlign w:val="center"/>
          </w:tcPr>
          <w:p w14:paraId="09D7AE3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1FF2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2AEB97B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41</w:t>
            </w:r>
          </w:p>
        </w:tc>
        <w:tc>
          <w:tcPr>
            <w:tcW w:w="863" w:type="dxa"/>
            <w:vMerge w:val="continue"/>
            <w:noWrap w:val="0"/>
            <w:vAlign w:val="center"/>
          </w:tcPr>
          <w:p w14:paraId="75E51D1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11F7592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蓬溪城区排水防涝（一期）</w:t>
            </w:r>
          </w:p>
        </w:tc>
        <w:tc>
          <w:tcPr>
            <w:tcW w:w="1113" w:type="dxa"/>
            <w:noWrap w:val="0"/>
            <w:vAlign w:val="center"/>
          </w:tcPr>
          <w:p w14:paraId="0E01053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6CAE14F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2020-2021</w:t>
            </w:r>
          </w:p>
        </w:tc>
        <w:tc>
          <w:tcPr>
            <w:tcW w:w="1400" w:type="dxa"/>
            <w:noWrap w:val="0"/>
            <w:vAlign w:val="center"/>
          </w:tcPr>
          <w:p w14:paraId="54440F1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5768</w:t>
            </w:r>
          </w:p>
        </w:tc>
        <w:tc>
          <w:tcPr>
            <w:tcW w:w="4225" w:type="dxa"/>
            <w:noWrap w:val="0"/>
            <w:vAlign w:val="center"/>
          </w:tcPr>
          <w:p w14:paraId="59DDCE4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实施蜀北下路、学苑路、油坊街、老农业局四个片区管渠建设1万米，滞蓄设施建设5万平方米，监测设备16套，应急抢险设备4套，箱涵清淤2公里</w:t>
            </w:r>
          </w:p>
        </w:tc>
        <w:tc>
          <w:tcPr>
            <w:tcW w:w="1190" w:type="dxa"/>
            <w:noWrap w:val="0"/>
            <w:vAlign w:val="center"/>
          </w:tcPr>
          <w:p w14:paraId="3E87668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EDA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22F90FD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42</w:t>
            </w:r>
          </w:p>
        </w:tc>
        <w:tc>
          <w:tcPr>
            <w:tcW w:w="863" w:type="dxa"/>
            <w:vMerge w:val="continue"/>
            <w:noWrap w:val="0"/>
            <w:vAlign w:val="center"/>
          </w:tcPr>
          <w:p w14:paraId="1ABEF88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4BB388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蓬溪城区排水防涝（三期）</w:t>
            </w:r>
          </w:p>
        </w:tc>
        <w:tc>
          <w:tcPr>
            <w:tcW w:w="1113" w:type="dxa"/>
            <w:noWrap w:val="0"/>
            <w:vAlign w:val="center"/>
          </w:tcPr>
          <w:p w14:paraId="0DFF5D3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721AF2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2022-2025</w:t>
            </w:r>
          </w:p>
        </w:tc>
        <w:tc>
          <w:tcPr>
            <w:tcW w:w="1400" w:type="dxa"/>
            <w:noWrap w:val="0"/>
            <w:vAlign w:val="center"/>
          </w:tcPr>
          <w:p w14:paraId="68B2F9D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10224</w:t>
            </w:r>
          </w:p>
        </w:tc>
        <w:tc>
          <w:tcPr>
            <w:tcW w:w="4225" w:type="dxa"/>
            <w:noWrap w:val="0"/>
            <w:vAlign w:val="center"/>
          </w:tcPr>
          <w:p w14:paraId="7A62F7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实施工业园区南片区、西门口、映月街以及部分易涝小区管渠及截洪沟建设22.96公里，滞蓄设施建设7.06万平方米</w:t>
            </w:r>
          </w:p>
        </w:tc>
        <w:tc>
          <w:tcPr>
            <w:tcW w:w="1190" w:type="dxa"/>
            <w:noWrap w:val="0"/>
            <w:vAlign w:val="center"/>
          </w:tcPr>
          <w:p w14:paraId="3D29289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2419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4E36DF4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43</w:t>
            </w:r>
          </w:p>
        </w:tc>
        <w:tc>
          <w:tcPr>
            <w:tcW w:w="863" w:type="dxa"/>
            <w:vMerge w:val="continue"/>
            <w:noWrap w:val="0"/>
            <w:vAlign w:val="center"/>
          </w:tcPr>
          <w:p w14:paraId="07D6688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6E1178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蓬溪县城市道路广场海绵改造建设项目</w:t>
            </w:r>
          </w:p>
        </w:tc>
        <w:tc>
          <w:tcPr>
            <w:tcW w:w="1113" w:type="dxa"/>
            <w:noWrap w:val="0"/>
            <w:vAlign w:val="center"/>
          </w:tcPr>
          <w:p w14:paraId="2CAB02E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597D518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2020-2022</w:t>
            </w:r>
          </w:p>
        </w:tc>
        <w:tc>
          <w:tcPr>
            <w:tcW w:w="1400" w:type="dxa"/>
            <w:noWrap w:val="0"/>
            <w:vAlign w:val="center"/>
          </w:tcPr>
          <w:p w14:paraId="71A9145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40000</w:t>
            </w:r>
          </w:p>
        </w:tc>
        <w:tc>
          <w:tcPr>
            <w:tcW w:w="4225" w:type="dxa"/>
            <w:noWrap w:val="0"/>
            <w:vAlign w:val="center"/>
          </w:tcPr>
          <w:p w14:paraId="2AF43AE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对学苑路、广福路、蜀北路实施道路雨污管网、透水铺装、下沉式绿地、道路扩宽、绿化、强弱电下地等改造；新建杨家沟生态公园、茶店子生态湿地公园、云台公园；新改建海绵停车位</w:t>
            </w:r>
          </w:p>
        </w:tc>
        <w:tc>
          <w:tcPr>
            <w:tcW w:w="1190" w:type="dxa"/>
            <w:noWrap w:val="0"/>
            <w:vAlign w:val="center"/>
          </w:tcPr>
          <w:p w14:paraId="5E4AD50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94C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5CDAC8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44</w:t>
            </w:r>
          </w:p>
        </w:tc>
        <w:tc>
          <w:tcPr>
            <w:tcW w:w="863" w:type="dxa"/>
            <w:vMerge w:val="continue"/>
            <w:noWrap w:val="0"/>
            <w:vAlign w:val="center"/>
          </w:tcPr>
          <w:p w14:paraId="40E5A97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2A1769B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学苑路道路附属改造</w:t>
            </w:r>
          </w:p>
        </w:tc>
        <w:tc>
          <w:tcPr>
            <w:tcW w:w="1113" w:type="dxa"/>
            <w:noWrap w:val="0"/>
            <w:vAlign w:val="center"/>
          </w:tcPr>
          <w:p w14:paraId="3FAD1F6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普安街道</w:t>
            </w:r>
          </w:p>
        </w:tc>
        <w:tc>
          <w:tcPr>
            <w:tcW w:w="1275" w:type="dxa"/>
            <w:noWrap w:val="0"/>
            <w:vAlign w:val="center"/>
          </w:tcPr>
          <w:p w14:paraId="16E24D1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3C55E43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6000</w:t>
            </w:r>
          </w:p>
        </w:tc>
        <w:tc>
          <w:tcPr>
            <w:tcW w:w="4225" w:type="dxa"/>
            <w:noWrap w:val="0"/>
            <w:vAlign w:val="center"/>
          </w:tcPr>
          <w:p w14:paraId="04641D3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学苑路两侧道路雨污管网改造、透水铺装、下沉式绿地改造，建设600米延伸段道路及附属配套设施</w:t>
            </w:r>
          </w:p>
        </w:tc>
        <w:tc>
          <w:tcPr>
            <w:tcW w:w="1190" w:type="dxa"/>
            <w:noWrap w:val="0"/>
            <w:vAlign w:val="center"/>
          </w:tcPr>
          <w:p w14:paraId="4C855E5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4A94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5BF6A63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45</w:t>
            </w:r>
          </w:p>
        </w:tc>
        <w:tc>
          <w:tcPr>
            <w:tcW w:w="863" w:type="dxa"/>
            <w:vMerge w:val="continue"/>
            <w:noWrap w:val="0"/>
            <w:vAlign w:val="center"/>
          </w:tcPr>
          <w:p w14:paraId="7BBAE67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6708E4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印盒山海绵生态改造</w:t>
            </w:r>
          </w:p>
        </w:tc>
        <w:tc>
          <w:tcPr>
            <w:tcW w:w="1113" w:type="dxa"/>
            <w:noWrap w:val="0"/>
            <w:vAlign w:val="center"/>
          </w:tcPr>
          <w:p w14:paraId="799DC1C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普安街道</w:t>
            </w:r>
          </w:p>
        </w:tc>
        <w:tc>
          <w:tcPr>
            <w:tcW w:w="1275" w:type="dxa"/>
            <w:noWrap w:val="0"/>
            <w:vAlign w:val="center"/>
          </w:tcPr>
          <w:p w14:paraId="4FB4341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1E440D9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6500</w:t>
            </w:r>
          </w:p>
        </w:tc>
        <w:tc>
          <w:tcPr>
            <w:tcW w:w="4225" w:type="dxa"/>
            <w:noWrap w:val="0"/>
            <w:vAlign w:val="center"/>
          </w:tcPr>
          <w:p w14:paraId="0A98F9E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占地150亩，建设人行步道、绿化、路灯、停车场及附属设施等</w:t>
            </w:r>
          </w:p>
        </w:tc>
        <w:tc>
          <w:tcPr>
            <w:tcW w:w="1190" w:type="dxa"/>
            <w:noWrap w:val="0"/>
            <w:vAlign w:val="center"/>
          </w:tcPr>
          <w:p w14:paraId="493C34B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A3A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6414D07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46</w:t>
            </w:r>
          </w:p>
        </w:tc>
        <w:tc>
          <w:tcPr>
            <w:tcW w:w="863" w:type="dxa"/>
            <w:vMerge w:val="continue"/>
            <w:noWrap w:val="0"/>
            <w:vAlign w:val="center"/>
          </w:tcPr>
          <w:p w14:paraId="73E52EC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1C958D1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杨家沟生态公园</w:t>
            </w:r>
          </w:p>
        </w:tc>
        <w:tc>
          <w:tcPr>
            <w:tcW w:w="1113" w:type="dxa"/>
            <w:noWrap w:val="0"/>
            <w:vAlign w:val="center"/>
          </w:tcPr>
          <w:p w14:paraId="183DA03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7637563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2024-2030</w:t>
            </w:r>
          </w:p>
        </w:tc>
        <w:tc>
          <w:tcPr>
            <w:tcW w:w="1400" w:type="dxa"/>
            <w:noWrap w:val="0"/>
            <w:vAlign w:val="center"/>
          </w:tcPr>
          <w:p w14:paraId="7E30C17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20000</w:t>
            </w:r>
          </w:p>
        </w:tc>
        <w:tc>
          <w:tcPr>
            <w:tcW w:w="4225" w:type="dxa"/>
            <w:noWrap w:val="0"/>
            <w:vAlign w:val="center"/>
          </w:tcPr>
          <w:p w14:paraId="5398E12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占地336亩，建设下沉式绿地、游人步道及透水铺装</w:t>
            </w:r>
          </w:p>
        </w:tc>
        <w:tc>
          <w:tcPr>
            <w:tcW w:w="1190" w:type="dxa"/>
            <w:noWrap w:val="0"/>
            <w:vAlign w:val="center"/>
          </w:tcPr>
          <w:p w14:paraId="5EDC5CB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4498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6A73FC1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47</w:t>
            </w:r>
          </w:p>
        </w:tc>
        <w:tc>
          <w:tcPr>
            <w:tcW w:w="863" w:type="dxa"/>
            <w:vMerge w:val="continue"/>
            <w:noWrap w:val="0"/>
            <w:vAlign w:val="center"/>
          </w:tcPr>
          <w:p w14:paraId="5193ADC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58DD187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城市“双修”工程</w:t>
            </w:r>
          </w:p>
        </w:tc>
        <w:tc>
          <w:tcPr>
            <w:tcW w:w="1113" w:type="dxa"/>
            <w:noWrap w:val="0"/>
            <w:vAlign w:val="center"/>
          </w:tcPr>
          <w:p w14:paraId="5DB8898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w:t>
            </w:r>
          </w:p>
        </w:tc>
        <w:tc>
          <w:tcPr>
            <w:tcW w:w="1275" w:type="dxa"/>
            <w:noWrap w:val="0"/>
            <w:vAlign w:val="center"/>
          </w:tcPr>
          <w:p w14:paraId="49C4B4C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02EDF30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10000</w:t>
            </w:r>
          </w:p>
        </w:tc>
        <w:tc>
          <w:tcPr>
            <w:tcW w:w="4225" w:type="dxa"/>
            <w:noWrap w:val="0"/>
            <w:vAlign w:val="center"/>
          </w:tcPr>
          <w:p w14:paraId="1801B9D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实施城市创面修复100万平方米</w:t>
            </w:r>
          </w:p>
        </w:tc>
        <w:tc>
          <w:tcPr>
            <w:tcW w:w="1190" w:type="dxa"/>
            <w:noWrap w:val="0"/>
            <w:vAlign w:val="center"/>
          </w:tcPr>
          <w:p w14:paraId="0BE457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7FB4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19F823C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48</w:t>
            </w:r>
          </w:p>
        </w:tc>
        <w:tc>
          <w:tcPr>
            <w:tcW w:w="863" w:type="dxa"/>
            <w:vMerge w:val="continue"/>
            <w:noWrap w:val="0"/>
            <w:vAlign w:val="center"/>
          </w:tcPr>
          <w:p w14:paraId="001A7C0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1E86DF8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蓬溪城镇污水处理设施提质增效</w:t>
            </w:r>
          </w:p>
        </w:tc>
        <w:tc>
          <w:tcPr>
            <w:tcW w:w="1113" w:type="dxa"/>
            <w:noWrap w:val="0"/>
            <w:vAlign w:val="center"/>
          </w:tcPr>
          <w:p w14:paraId="5F2D016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相关乡镇</w:t>
            </w:r>
          </w:p>
        </w:tc>
        <w:tc>
          <w:tcPr>
            <w:tcW w:w="1275" w:type="dxa"/>
            <w:noWrap w:val="0"/>
            <w:vAlign w:val="center"/>
          </w:tcPr>
          <w:p w14:paraId="534BC29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248B37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38000</w:t>
            </w:r>
          </w:p>
        </w:tc>
        <w:tc>
          <w:tcPr>
            <w:tcW w:w="4225" w:type="dxa"/>
            <w:noWrap w:val="0"/>
            <w:vAlign w:val="center"/>
          </w:tcPr>
          <w:p w14:paraId="1BB30EB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蓬溪县全县污水处理厂二级三级管网建设，封堵台口</w:t>
            </w:r>
          </w:p>
        </w:tc>
        <w:tc>
          <w:tcPr>
            <w:tcW w:w="1190" w:type="dxa"/>
            <w:noWrap w:val="0"/>
            <w:vAlign w:val="center"/>
          </w:tcPr>
          <w:p w14:paraId="5345DBE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1745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5B402F4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49</w:t>
            </w:r>
          </w:p>
        </w:tc>
        <w:tc>
          <w:tcPr>
            <w:tcW w:w="863" w:type="dxa"/>
            <w:vMerge w:val="continue"/>
            <w:noWrap w:val="0"/>
            <w:vAlign w:val="center"/>
          </w:tcPr>
          <w:p w14:paraId="7D51055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36195AD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蓬溪城区新建污水管网</w:t>
            </w:r>
          </w:p>
        </w:tc>
        <w:tc>
          <w:tcPr>
            <w:tcW w:w="1113" w:type="dxa"/>
            <w:noWrap w:val="0"/>
            <w:vAlign w:val="center"/>
          </w:tcPr>
          <w:p w14:paraId="0EFDACD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6CEBAA0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2020-2022</w:t>
            </w:r>
          </w:p>
        </w:tc>
        <w:tc>
          <w:tcPr>
            <w:tcW w:w="1400" w:type="dxa"/>
            <w:noWrap w:val="0"/>
            <w:vAlign w:val="center"/>
          </w:tcPr>
          <w:p w14:paraId="2D2190D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45000</w:t>
            </w:r>
          </w:p>
        </w:tc>
        <w:tc>
          <w:tcPr>
            <w:tcW w:w="4225" w:type="dxa"/>
            <w:noWrap w:val="0"/>
            <w:vAlign w:val="center"/>
          </w:tcPr>
          <w:p w14:paraId="04F8C2F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建设城市新区污水管48.5公里</w:t>
            </w:r>
          </w:p>
        </w:tc>
        <w:tc>
          <w:tcPr>
            <w:tcW w:w="1190" w:type="dxa"/>
            <w:noWrap w:val="0"/>
            <w:vAlign w:val="center"/>
          </w:tcPr>
          <w:p w14:paraId="45409B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2F5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4D67DC4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50</w:t>
            </w:r>
          </w:p>
        </w:tc>
        <w:tc>
          <w:tcPr>
            <w:tcW w:w="863" w:type="dxa"/>
            <w:vMerge w:val="continue"/>
            <w:noWrap w:val="0"/>
            <w:vAlign w:val="center"/>
          </w:tcPr>
          <w:p w14:paraId="7A8A59E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0651D9D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蓬溪马桑溪排污干管建设</w:t>
            </w:r>
          </w:p>
        </w:tc>
        <w:tc>
          <w:tcPr>
            <w:tcW w:w="1113" w:type="dxa"/>
            <w:noWrap w:val="0"/>
            <w:vAlign w:val="center"/>
          </w:tcPr>
          <w:p w14:paraId="63B501E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22BF92E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2132DD2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4000</w:t>
            </w:r>
          </w:p>
        </w:tc>
        <w:tc>
          <w:tcPr>
            <w:tcW w:w="4225" w:type="dxa"/>
            <w:noWrap w:val="0"/>
            <w:vAlign w:val="center"/>
          </w:tcPr>
          <w:p w14:paraId="70EBA83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建设污水管道约3.75公里及附属设施等</w:t>
            </w:r>
          </w:p>
        </w:tc>
        <w:tc>
          <w:tcPr>
            <w:tcW w:w="1190" w:type="dxa"/>
            <w:noWrap w:val="0"/>
            <w:vAlign w:val="center"/>
          </w:tcPr>
          <w:p w14:paraId="1A7806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3D98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5" w:type="dxa"/>
            <w:noWrap w:val="0"/>
            <w:vAlign w:val="center"/>
          </w:tcPr>
          <w:p w14:paraId="035611C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51</w:t>
            </w:r>
          </w:p>
        </w:tc>
        <w:tc>
          <w:tcPr>
            <w:tcW w:w="863" w:type="dxa"/>
            <w:vMerge w:val="continue"/>
            <w:noWrap w:val="0"/>
            <w:vAlign w:val="center"/>
          </w:tcPr>
          <w:p w14:paraId="162E659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331BD70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蓬溪县城区老旧管网改造</w:t>
            </w:r>
          </w:p>
        </w:tc>
        <w:tc>
          <w:tcPr>
            <w:tcW w:w="1113" w:type="dxa"/>
            <w:noWrap w:val="0"/>
            <w:vAlign w:val="center"/>
          </w:tcPr>
          <w:p w14:paraId="440112F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0BB77FB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2020-2021</w:t>
            </w:r>
          </w:p>
        </w:tc>
        <w:tc>
          <w:tcPr>
            <w:tcW w:w="1400" w:type="dxa"/>
            <w:noWrap w:val="0"/>
            <w:vAlign w:val="center"/>
          </w:tcPr>
          <w:p w14:paraId="4BBEADD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5768</w:t>
            </w:r>
          </w:p>
        </w:tc>
        <w:tc>
          <w:tcPr>
            <w:tcW w:w="4225" w:type="dxa"/>
            <w:noWrap w:val="0"/>
            <w:vAlign w:val="center"/>
          </w:tcPr>
          <w:p w14:paraId="740350D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对老城区上中下河街、东西南北街等老城片区20公里雨污水管网进行改造</w:t>
            </w:r>
          </w:p>
        </w:tc>
        <w:tc>
          <w:tcPr>
            <w:tcW w:w="1190" w:type="dxa"/>
            <w:noWrap w:val="0"/>
            <w:vAlign w:val="center"/>
          </w:tcPr>
          <w:p w14:paraId="0FEEA3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750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1EC853B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52</w:t>
            </w:r>
          </w:p>
        </w:tc>
        <w:tc>
          <w:tcPr>
            <w:tcW w:w="863" w:type="dxa"/>
            <w:vMerge w:val="continue"/>
            <w:noWrap w:val="0"/>
            <w:vAlign w:val="center"/>
          </w:tcPr>
          <w:p w14:paraId="5B86C32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2C2B11D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蓬溪中河街片区老旧小区改造</w:t>
            </w:r>
          </w:p>
        </w:tc>
        <w:tc>
          <w:tcPr>
            <w:tcW w:w="1113" w:type="dxa"/>
            <w:noWrap w:val="0"/>
            <w:vAlign w:val="center"/>
          </w:tcPr>
          <w:p w14:paraId="3D15701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16BE87C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2022-2023</w:t>
            </w:r>
          </w:p>
        </w:tc>
        <w:tc>
          <w:tcPr>
            <w:tcW w:w="1400" w:type="dxa"/>
            <w:noWrap w:val="0"/>
            <w:vAlign w:val="center"/>
          </w:tcPr>
          <w:p w14:paraId="3F6AB44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6100</w:t>
            </w:r>
          </w:p>
        </w:tc>
        <w:tc>
          <w:tcPr>
            <w:tcW w:w="4225" w:type="dxa"/>
            <w:noWrap w:val="0"/>
            <w:vAlign w:val="center"/>
          </w:tcPr>
          <w:p w14:paraId="2A59F80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共改建老旧小区23个，改造居民1989户，改造房屋94栋，改造面积21万平方米。其中：供排水改造5.5万米、垃圾收储改造37个、道路整治1.3万平方米、安防236套、围墙0.28万平方米、小区内综合管网治理0.77万米、消防设施31套、照明158盏、环卫设施143个，体育设施14套、停车设施0.16万平方米、便民设施10个、绿化7万平方米等</w:t>
            </w:r>
          </w:p>
        </w:tc>
        <w:tc>
          <w:tcPr>
            <w:tcW w:w="1190" w:type="dxa"/>
            <w:noWrap w:val="0"/>
            <w:vAlign w:val="center"/>
          </w:tcPr>
          <w:p w14:paraId="204ECB2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233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5970897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53</w:t>
            </w:r>
          </w:p>
        </w:tc>
        <w:tc>
          <w:tcPr>
            <w:tcW w:w="863" w:type="dxa"/>
            <w:vMerge w:val="continue"/>
            <w:noWrap w:val="0"/>
            <w:vAlign w:val="center"/>
          </w:tcPr>
          <w:p w14:paraId="011BF02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4B949F5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蓬溪三路口片区老旧小区改造</w:t>
            </w:r>
          </w:p>
        </w:tc>
        <w:tc>
          <w:tcPr>
            <w:tcW w:w="1113" w:type="dxa"/>
            <w:noWrap w:val="0"/>
            <w:vAlign w:val="center"/>
          </w:tcPr>
          <w:p w14:paraId="31E6CC3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755F49A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786A06D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5833</w:t>
            </w:r>
          </w:p>
        </w:tc>
        <w:tc>
          <w:tcPr>
            <w:tcW w:w="4225" w:type="dxa"/>
            <w:noWrap w:val="0"/>
            <w:vAlign w:val="center"/>
          </w:tcPr>
          <w:p w14:paraId="20F6CE0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共改建老旧小区22个，改造居民1988户，改造房屋65栋，改造面积19.26万平方米。其中：供排水改造5.23万米、垃圾收储改造31个、道路整治1.25万平方米、安防227套、围墙0.25万平方米、小区内综合管网治理0.71万米、消防设施28套、照明152盏、环卫设施140个，体育设施14套、停车设施0.15万平方米、便</w:t>
            </w:r>
          </w:p>
        </w:tc>
        <w:tc>
          <w:tcPr>
            <w:tcW w:w="1190" w:type="dxa"/>
            <w:noWrap w:val="0"/>
            <w:vAlign w:val="center"/>
          </w:tcPr>
          <w:p w14:paraId="79D6A11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076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5C2A6A6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54</w:t>
            </w:r>
          </w:p>
        </w:tc>
        <w:tc>
          <w:tcPr>
            <w:tcW w:w="863" w:type="dxa"/>
            <w:vMerge w:val="continue"/>
            <w:noWrap w:val="0"/>
            <w:vAlign w:val="center"/>
          </w:tcPr>
          <w:p w14:paraId="24B6C80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p>
        </w:tc>
        <w:tc>
          <w:tcPr>
            <w:tcW w:w="2745" w:type="dxa"/>
            <w:noWrap w:val="0"/>
            <w:vAlign w:val="center"/>
          </w:tcPr>
          <w:p w14:paraId="39A4ABA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蓬溪水井湾片区老旧小区改造</w:t>
            </w:r>
          </w:p>
        </w:tc>
        <w:tc>
          <w:tcPr>
            <w:tcW w:w="1113" w:type="dxa"/>
            <w:noWrap w:val="0"/>
            <w:vAlign w:val="center"/>
          </w:tcPr>
          <w:p w14:paraId="0E7E244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4F0B59E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2022-2023</w:t>
            </w:r>
          </w:p>
        </w:tc>
        <w:tc>
          <w:tcPr>
            <w:tcW w:w="1400" w:type="dxa"/>
            <w:noWrap w:val="0"/>
            <w:vAlign w:val="center"/>
          </w:tcPr>
          <w:p w14:paraId="580E737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4961</w:t>
            </w:r>
          </w:p>
        </w:tc>
        <w:tc>
          <w:tcPr>
            <w:tcW w:w="4225" w:type="dxa"/>
            <w:noWrap w:val="0"/>
            <w:vAlign w:val="center"/>
          </w:tcPr>
          <w:p w14:paraId="1D355A7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共改建老旧小区20个，改造居民1717户，改造房屋67栋，改造面积16.43万平方米。其中：供排水改造4.9万米、垃圾收储改造29个、道路整治1.2万平方米、安防217套、围墙0.23万平方米、小区内综合管网治理0.8万米、消防设施27套、照明145盏、环卫设施133个，体育设施11套、停车设施0.15万平方米、便民设施7个、绿化5万平方米等</w:t>
            </w:r>
          </w:p>
        </w:tc>
        <w:tc>
          <w:tcPr>
            <w:tcW w:w="1190" w:type="dxa"/>
            <w:noWrap w:val="0"/>
            <w:vAlign w:val="center"/>
          </w:tcPr>
          <w:p w14:paraId="44A0A27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121B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67E169E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55</w:t>
            </w:r>
          </w:p>
        </w:tc>
        <w:tc>
          <w:tcPr>
            <w:tcW w:w="863" w:type="dxa"/>
            <w:vMerge w:val="continue"/>
            <w:noWrap w:val="0"/>
            <w:vAlign w:val="center"/>
          </w:tcPr>
          <w:p w14:paraId="5D40889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6E54FB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蓬溪城乡一体化</w:t>
            </w:r>
          </w:p>
        </w:tc>
        <w:tc>
          <w:tcPr>
            <w:tcW w:w="1113" w:type="dxa"/>
            <w:noWrap w:val="0"/>
            <w:vAlign w:val="center"/>
          </w:tcPr>
          <w:p w14:paraId="6B49918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D982A9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1351BC4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78000</w:t>
            </w:r>
          </w:p>
        </w:tc>
        <w:tc>
          <w:tcPr>
            <w:tcW w:w="4225" w:type="dxa"/>
            <w:noWrap w:val="0"/>
            <w:vAlign w:val="center"/>
          </w:tcPr>
          <w:p w14:paraId="2DA7EE8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在县城实施新建安置房1761套及附属设施</w:t>
            </w:r>
          </w:p>
        </w:tc>
        <w:tc>
          <w:tcPr>
            <w:tcW w:w="1190" w:type="dxa"/>
            <w:noWrap w:val="0"/>
            <w:vAlign w:val="center"/>
          </w:tcPr>
          <w:p w14:paraId="5E6CD0B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C1C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46F6A98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56</w:t>
            </w:r>
          </w:p>
        </w:tc>
        <w:tc>
          <w:tcPr>
            <w:tcW w:w="863" w:type="dxa"/>
            <w:vMerge w:val="continue"/>
            <w:noWrap w:val="0"/>
            <w:vAlign w:val="center"/>
          </w:tcPr>
          <w:p w14:paraId="2847B48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2DAFAE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蓬溪城南片区老旧小区改造</w:t>
            </w:r>
          </w:p>
        </w:tc>
        <w:tc>
          <w:tcPr>
            <w:tcW w:w="1113" w:type="dxa"/>
            <w:noWrap w:val="0"/>
            <w:vAlign w:val="center"/>
          </w:tcPr>
          <w:p w14:paraId="727AE37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3C00ADF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2022-2023</w:t>
            </w:r>
          </w:p>
        </w:tc>
        <w:tc>
          <w:tcPr>
            <w:tcW w:w="1400" w:type="dxa"/>
            <w:noWrap w:val="0"/>
            <w:vAlign w:val="center"/>
          </w:tcPr>
          <w:p w14:paraId="5DE46D7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11837</w:t>
            </w:r>
          </w:p>
        </w:tc>
        <w:tc>
          <w:tcPr>
            <w:tcW w:w="4225" w:type="dxa"/>
            <w:noWrap w:val="0"/>
            <w:vAlign w:val="center"/>
          </w:tcPr>
          <w:p w14:paraId="70032C6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改造18个小区4040户</w:t>
            </w:r>
          </w:p>
        </w:tc>
        <w:tc>
          <w:tcPr>
            <w:tcW w:w="1190" w:type="dxa"/>
            <w:noWrap w:val="0"/>
            <w:vAlign w:val="center"/>
          </w:tcPr>
          <w:p w14:paraId="35EAF9D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2502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5996C16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57</w:t>
            </w:r>
          </w:p>
        </w:tc>
        <w:tc>
          <w:tcPr>
            <w:tcW w:w="863" w:type="dxa"/>
            <w:vMerge w:val="continue"/>
            <w:noWrap w:val="0"/>
            <w:vAlign w:val="center"/>
          </w:tcPr>
          <w:p w14:paraId="15E0996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88473B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蓬溪普安片区老旧小区改造</w:t>
            </w:r>
          </w:p>
        </w:tc>
        <w:tc>
          <w:tcPr>
            <w:tcW w:w="1113" w:type="dxa"/>
            <w:noWrap w:val="0"/>
            <w:vAlign w:val="center"/>
          </w:tcPr>
          <w:p w14:paraId="1B7A469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普安街道</w:t>
            </w:r>
          </w:p>
        </w:tc>
        <w:tc>
          <w:tcPr>
            <w:tcW w:w="1275" w:type="dxa"/>
            <w:noWrap w:val="0"/>
            <w:vAlign w:val="center"/>
          </w:tcPr>
          <w:p w14:paraId="13F0FCD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2023-2025</w:t>
            </w:r>
          </w:p>
        </w:tc>
        <w:tc>
          <w:tcPr>
            <w:tcW w:w="1400" w:type="dxa"/>
            <w:noWrap w:val="0"/>
            <w:vAlign w:val="center"/>
          </w:tcPr>
          <w:p w14:paraId="64BF280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5897</w:t>
            </w:r>
          </w:p>
        </w:tc>
        <w:tc>
          <w:tcPr>
            <w:tcW w:w="4225" w:type="dxa"/>
            <w:noWrap w:val="0"/>
            <w:vAlign w:val="center"/>
          </w:tcPr>
          <w:p w14:paraId="3875A8A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改造127个小区6350户</w:t>
            </w:r>
          </w:p>
        </w:tc>
        <w:tc>
          <w:tcPr>
            <w:tcW w:w="1190" w:type="dxa"/>
            <w:noWrap w:val="0"/>
            <w:vAlign w:val="center"/>
          </w:tcPr>
          <w:p w14:paraId="5B6CD32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49F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65" w:type="dxa"/>
            <w:noWrap w:val="0"/>
            <w:vAlign w:val="center"/>
          </w:tcPr>
          <w:p w14:paraId="0C46C9F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58</w:t>
            </w:r>
          </w:p>
        </w:tc>
        <w:tc>
          <w:tcPr>
            <w:tcW w:w="863" w:type="dxa"/>
            <w:vMerge w:val="continue"/>
            <w:noWrap w:val="0"/>
            <w:vAlign w:val="center"/>
          </w:tcPr>
          <w:p w14:paraId="794F927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7E16324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蓬溪仿古街片区改造</w:t>
            </w:r>
          </w:p>
        </w:tc>
        <w:tc>
          <w:tcPr>
            <w:tcW w:w="1113" w:type="dxa"/>
            <w:noWrap w:val="0"/>
            <w:vAlign w:val="center"/>
          </w:tcPr>
          <w:p w14:paraId="78940AA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7130093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57C7EC6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5000</w:t>
            </w:r>
          </w:p>
        </w:tc>
        <w:tc>
          <w:tcPr>
            <w:tcW w:w="4225" w:type="dxa"/>
            <w:noWrap w:val="0"/>
            <w:vAlign w:val="center"/>
          </w:tcPr>
          <w:p w14:paraId="3D3C047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改造仿古街建筑外立面，拆除违章搭建，对道路进行黑化，实现雨污分流等</w:t>
            </w:r>
          </w:p>
        </w:tc>
        <w:tc>
          <w:tcPr>
            <w:tcW w:w="1190" w:type="dxa"/>
            <w:noWrap w:val="0"/>
            <w:vAlign w:val="center"/>
          </w:tcPr>
          <w:p w14:paraId="3002CFE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E25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3F369F2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59</w:t>
            </w:r>
          </w:p>
        </w:tc>
        <w:tc>
          <w:tcPr>
            <w:tcW w:w="863" w:type="dxa"/>
            <w:vMerge w:val="restart"/>
            <w:noWrap w:val="0"/>
            <w:vAlign w:val="center"/>
          </w:tcPr>
          <w:p w14:paraId="259DFC1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生态环境风险</w:t>
            </w:r>
          </w:p>
        </w:tc>
        <w:tc>
          <w:tcPr>
            <w:tcW w:w="2745" w:type="dxa"/>
            <w:noWrap w:val="0"/>
            <w:vAlign w:val="center"/>
          </w:tcPr>
          <w:p w14:paraId="0B36CE5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蓬溪云台公园应急避难所</w:t>
            </w:r>
          </w:p>
        </w:tc>
        <w:tc>
          <w:tcPr>
            <w:tcW w:w="1113" w:type="dxa"/>
            <w:noWrap w:val="0"/>
            <w:vAlign w:val="center"/>
          </w:tcPr>
          <w:p w14:paraId="2CA0D61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365856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2020-2021</w:t>
            </w:r>
          </w:p>
        </w:tc>
        <w:tc>
          <w:tcPr>
            <w:tcW w:w="1400" w:type="dxa"/>
            <w:noWrap w:val="0"/>
            <w:vAlign w:val="center"/>
          </w:tcPr>
          <w:p w14:paraId="606A4BA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2000</w:t>
            </w:r>
          </w:p>
        </w:tc>
        <w:tc>
          <w:tcPr>
            <w:tcW w:w="4225" w:type="dxa"/>
            <w:noWrap w:val="0"/>
            <w:vAlign w:val="center"/>
          </w:tcPr>
          <w:p w14:paraId="526C774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建设原看守所周边山体约30亩避难场所（广场铺装、云台阁、上山园路、绿化、停车场照明等）</w:t>
            </w:r>
          </w:p>
        </w:tc>
        <w:tc>
          <w:tcPr>
            <w:tcW w:w="1190" w:type="dxa"/>
            <w:noWrap w:val="0"/>
            <w:vAlign w:val="center"/>
          </w:tcPr>
          <w:p w14:paraId="3D8DEA4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62EC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65" w:type="dxa"/>
            <w:noWrap w:val="0"/>
            <w:vAlign w:val="center"/>
          </w:tcPr>
          <w:p w14:paraId="39F27EC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60</w:t>
            </w:r>
          </w:p>
        </w:tc>
        <w:tc>
          <w:tcPr>
            <w:tcW w:w="863" w:type="dxa"/>
            <w:vMerge w:val="continue"/>
            <w:noWrap w:val="0"/>
            <w:vAlign w:val="center"/>
          </w:tcPr>
          <w:p w14:paraId="4C0CCA2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AD0EF0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蓬溪县生活垃圾分类收集建设项目</w:t>
            </w:r>
          </w:p>
        </w:tc>
        <w:tc>
          <w:tcPr>
            <w:tcW w:w="1113" w:type="dxa"/>
            <w:noWrap w:val="0"/>
            <w:vAlign w:val="center"/>
          </w:tcPr>
          <w:p w14:paraId="36BB225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7F26A4E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2020-2025</w:t>
            </w:r>
          </w:p>
        </w:tc>
        <w:tc>
          <w:tcPr>
            <w:tcW w:w="1400" w:type="dxa"/>
            <w:noWrap w:val="0"/>
            <w:vAlign w:val="center"/>
          </w:tcPr>
          <w:p w14:paraId="5009240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8000</w:t>
            </w:r>
          </w:p>
        </w:tc>
        <w:tc>
          <w:tcPr>
            <w:tcW w:w="4225" w:type="dxa"/>
            <w:noWrap w:val="0"/>
            <w:vAlign w:val="center"/>
          </w:tcPr>
          <w:p w14:paraId="6AB266F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购置生活垃圾分类设施设备等</w:t>
            </w:r>
          </w:p>
        </w:tc>
        <w:tc>
          <w:tcPr>
            <w:tcW w:w="1190" w:type="dxa"/>
            <w:noWrap w:val="0"/>
            <w:vAlign w:val="center"/>
          </w:tcPr>
          <w:p w14:paraId="008AA8E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72C6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565" w:type="dxa"/>
            <w:noWrap w:val="0"/>
            <w:vAlign w:val="center"/>
          </w:tcPr>
          <w:p w14:paraId="3050D83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61</w:t>
            </w:r>
          </w:p>
        </w:tc>
        <w:tc>
          <w:tcPr>
            <w:tcW w:w="863" w:type="dxa"/>
            <w:vMerge w:val="continue"/>
            <w:noWrap w:val="0"/>
            <w:vAlign w:val="center"/>
          </w:tcPr>
          <w:p w14:paraId="7D74330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8C1AB9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蓬溪县垃圾渗滤液转运设施</w:t>
            </w:r>
          </w:p>
        </w:tc>
        <w:tc>
          <w:tcPr>
            <w:tcW w:w="1113" w:type="dxa"/>
            <w:noWrap w:val="0"/>
            <w:vAlign w:val="center"/>
          </w:tcPr>
          <w:p w14:paraId="4DE4CE1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BE53A0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2020-2025</w:t>
            </w:r>
          </w:p>
        </w:tc>
        <w:tc>
          <w:tcPr>
            <w:tcW w:w="1400" w:type="dxa"/>
            <w:noWrap w:val="0"/>
            <w:vAlign w:val="center"/>
          </w:tcPr>
          <w:p w14:paraId="199C12F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4000</w:t>
            </w:r>
          </w:p>
        </w:tc>
        <w:tc>
          <w:tcPr>
            <w:tcW w:w="4225" w:type="dxa"/>
            <w:noWrap w:val="0"/>
            <w:vAlign w:val="center"/>
          </w:tcPr>
          <w:p w14:paraId="38E068F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提升改造渗滤液处理设施</w:t>
            </w:r>
          </w:p>
        </w:tc>
        <w:tc>
          <w:tcPr>
            <w:tcW w:w="1190" w:type="dxa"/>
            <w:noWrap w:val="0"/>
            <w:vAlign w:val="center"/>
          </w:tcPr>
          <w:p w14:paraId="6156C32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2C53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546F19D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62</w:t>
            </w:r>
          </w:p>
        </w:tc>
        <w:tc>
          <w:tcPr>
            <w:tcW w:w="863" w:type="dxa"/>
            <w:vMerge w:val="continue"/>
            <w:noWrap w:val="0"/>
            <w:vAlign w:val="center"/>
          </w:tcPr>
          <w:p w14:paraId="5DA8DFA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4911215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蓬溪建筑垃圾消纳场</w:t>
            </w:r>
          </w:p>
        </w:tc>
        <w:tc>
          <w:tcPr>
            <w:tcW w:w="1113" w:type="dxa"/>
            <w:noWrap w:val="0"/>
            <w:vAlign w:val="center"/>
          </w:tcPr>
          <w:p w14:paraId="74D51AD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6391412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43D7D78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3500</w:t>
            </w:r>
          </w:p>
        </w:tc>
        <w:tc>
          <w:tcPr>
            <w:tcW w:w="4225" w:type="dxa"/>
            <w:noWrap w:val="0"/>
            <w:vAlign w:val="center"/>
          </w:tcPr>
          <w:p w14:paraId="29EF505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建设总库容为300万立方米的建筑垃圾消纳场一座，包含渗滤液收集池、覆膜等设施设备</w:t>
            </w:r>
          </w:p>
        </w:tc>
        <w:tc>
          <w:tcPr>
            <w:tcW w:w="1190" w:type="dxa"/>
            <w:noWrap w:val="0"/>
            <w:vAlign w:val="center"/>
          </w:tcPr>
          <w:p w14:paraId="2BBD46E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0D5C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3FA0D0D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63</w:t>
            </w:r>
          </w:p>
        </w:tc>
        <w:tc>
          <w:tcPr>
            <w:tcW w:w="863" w:type="dxa"/>
            <w:vMerge w:val="continue"/>
            <w:noWrap w:val="0"/>
            <w:vAlign w:val="center"/>
          </w:tcPr>
          <w:p w14:paraId="705A3A9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2675D51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蓬溪城镇垃圾收集箱智能控制平台</w:t>
            </w:r>
          </w:p>
        </w:tc>
        <w:tc>
          <w:tcPr>
            <w:tcW w:w="1113" w:type="dxa"/>
            <w:noWrap w:val="0"/>
            <w:vAlign w:val="center"/>
          </w:tcPr>
          <w:p w14:paraId="2B29370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赤城镇、普安街道</w:t>
            </w:r>
          </w:p>
        </w:tc>
        <w:tc>
          <w:tcPr>
            <w:tcW w:w="1275" w:type="dxa"/>
            <w:noWrap w:val="0"/>
            <w:vAlign w:val="center"/>
          </w:tcPr>
          <w:p w14:paraId="069E379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2021-2025</w:t>
            </w:r>
          </w:p>
        </w:tc>
        <w:tc>
          <w:tcPr>
            <w:tcW w:w="1400" w:type="dxa"/>
            <w:noWrap w:val="0"/>
            <w:vAlign w:val="center"/>
          </w:tcPr>
          <w:p w14:paraId="4E77B65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15000</w:t>
            </w:r>
          </w:p>
        </w:tc>
        <w:tc>
          <w:tcPr>
            <w:tcW w:w="4225" w:type="dxa"/>
            <w:noWrap w:val="0"/>
            <w:vAlign w:val="center"/>
          </w:tcPr>
          <w:p w14:paraId="56960EC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全县城区及乡镇垃圾收集箱智能控制，建立智能控制平台</w:t>
            </w:r>
          </w:p>
        </w:tc>
        <w:tc>
          <w:tcPr>
            <w:tcW w:w="1190" w:type="dxa"/>
            <w:noWrap w:val="0"/>
            <w:vAlign w:val="center"/>
          </w:tcPr>
          <w:p w14:paraId="744A94E2">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县住建局</w:t>
            </w:r>
          </w:p>
        </w:tc>
      </w:tr>
      <w:tr w14:paraId="56B2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049F43A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64</w:t>
            </w:r>
          </w:p>
        </w:tc>
        <w:tc>
          <w:tcPr>
            <w:tcW w:w="863" w:type="dxa"/>
            <w:vMerge w:val="continue"/>
            <w:noWrap w:val="0"/>
            <w:vAlign w:val="center"/>
          </w:tcPr>
          <w:p w14:paraId="41F0FB7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4C7A24A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遂宁市蓬溪县医疗废物集中处置设施建设项目</w:t>
            </w:r>
          </w:p>
        </w:tc>
        <w:tc>
          <w:tcPr>
            <w:tcW w:w="1113" w:type="dxa"/>
            <w:noWrap w:val="0"/>
            <w:vAlign w:val="center"/>
          </w:tcPr>
          <w:p w14:paraId="30B2561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赤城镇</w:t>
            </w:r>
          </w:p>
        </w:tc>
        <w:tc>
          <w:tcPr>
            <w:tcW w:w="1275" w:type="dxa"/>
            <w:noWrap w:val="0"/>
            <w:vAlign w:val="center"/>
          </w:tcPr>
          <w:p w14:paraId="0E05DD3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2021-2022</w:t>
            </w:r>
          </w:p>
        </w:tc>
        <w:tc>
          <w:tcPr>
            <w:tcW w:w="1400" w:type="dxa"/>
            <w:noWrap w:val="0"/>
            <w:vAlign w:val="center"/>
          </w:tcPr>
          <w:p w14:paraId="1FDDC5B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1000</w:t>
            </w:r>
          </w:p>
        </w:tc>
        <w:tc>
          <w:tcPr>
            <w:tcW w:w="4225" w:type="dxa"/>
            <w:noWrap w:val="0"/>
            <w:vAlign w:val="center"/>
          </w:tcPr>
          <w:p w14:paraId="7D41C21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占地10亩，新增废物处置能力500吨/年、新增收转运能力200吨/年等</w:t>
            </w:r>
          </w:p>
        </w:tc>
        <w:tc>
          <w:tcPr>
            <w:tcW w:w="1190" w:type="dxa"/>
            <w:noWrap w:val="0"/>
            <w:vAlign w:val="center"/>
          </w:tcPr>
          <w:p w14:paraId="3ECF35A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县卫健局</w:t>
            </w:r>
          </w:p>
        </w:tc>
      </w:tr>
      <w:tr w14:paraId="117E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75AD0FC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sz w:val="28"/>
                <w:szCs w:val="28"/>
                <w:lang w:val="en-US" w:eastAsia="zh-CN"/>
              </w:rPr>
              <w:t>65</w:t>
            </w:r>
          </w:p>
        </w:tc>
        <w:tc>
          <w:tcPr>
            <w:tcW w:w="863" w:type="dxa"/>
            <w:vMerge w:val="continue"/>
            <w:noWrap w:val="0"/>
            <w:vAlign w:val="center"/>
          </w:tcPr>
          <w:p w14:paraId="0BE4011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0AE8C9B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蓬溪畜禽资源化综合利用</w:t>
            </w:r>
          </w:p>
        </w:tc>
        <w:tc>
          <w:tcPr>
            <w:tcW w:w="1113" w:type="dxa"/>
            <w:noWrap w:val="0"/>
            <w:vAlign w:val="center"/>
          </w:tcPr>
          <w:p w14:paraId="689D6AB1">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各乡镇</w:t>
            </w:r>
          </w:p>
        </w:tc>
        <w:tc>
          <w:tcPr>
            <w:tcW w:w="1275" w:type="dxa"/>
            <w:noWrap w:val="0"/>
            <w:vAlign w:val="center"/>
          </w:tcPr>
          <w:p w14:paraId="32D5E3F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w:t>
            </w:r>
            <w:r>
              <w:rPr>
                <w:rFonts w:hint="default" w:ascii="Times New Roman" w:hAnsi="Times New Roman" w:cs="Times New Roman"/>
                <w:bCs/>
                <w:color w:val="auto"/>
                <w:kern w:val="2"/>
                <w:sz w:val="28"/>
                <w:szCs w:val="28"/>
                <w:lang w:val="en-US" w:eastAsia="zh-CN" w:bidi="ar-SA"/>
              </w:rPr>
              <w:t>1</w:t>
            </w:r>
            <w:r>
              <w:rPr>
                <w:rFonts w:hint="default" w:ascii="Times New Roman" w:hAnsi="Times New Roman" w:eastAsia="仿宋_GB2312" w:cs="Times New Roman"/>
                <w:bCs/>
                <w:color w:val="auto"/>
                <w:kern w:val="2"/>
                <w:sz w:val="28"/>
                <w:szCs w:val="28"/>
                <w:lang w:val="en-US" w:eastAsia="zh-CN" w:bidi="ar-SA"/>
              </w:rPr>
              <w:t>-202</w:t>
            </w:r>
            <w:r>
              <w:rPr>
                <w:rFonts w:hint="default" w:ascii="Times New Roman" w:hAnsi="Times New Roman" w:cs="Times New Roman"/>
                <w:bCs/>
                <w:color w:val="auto"/>
                <w:kern w:val="2"/>
                <w:sz w:val="28"/>
                <w:szCs w:val="28"/>
                <w:lang w:val="en-US" w:eastAsia="zh-CN" w:bidi="ar-SA"/>
              </w:rPr>
              <w:t>5</w:t>
            </w:r>
          </w:p>
        </w:tc>
        <w:tc>
          <w:tcPr>
            <w:tcW w:w="1400" w:type="dxa"/>
            <w:noWrap w:val="0"/>
            <w:vAlign w:val="center"/>
          </w:tcPr>
          <w:p w14:paraId="246502F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5</w:t>
            </w:r>
            <w:r>
              <w:rPr>
                <w:rFonts w:hint="default" w:ascii="Times New Roman" w:hAnsi="Times New Roman" w:eastAsia="仿宋_GB2312" w:cs="Times New Roman"/>
                <w:bCs/>
                <w:color w:val="auto"/>
                <w:kern w:val="2"/>
                <w:sz w:val="28"/>
                <w:szCs w:val="28"/>
                <w:lang w:val="en-US" w:eastAsia="zh-CN" w:bidi="ar-SA"/>
              </w:rPr>
              <w:t>000</w:t>
            </w:r>
          </w:p>
        </w:tc>
        <w:tc>
          <w:tcPr>
            <w:tcW w:w="4225" w:type="dxa"/>
            <w:noWrap w:val="0"/>
            <w:vAlign w:val="center"/>
          </w:tcPr>
          <w:p w14:paraId="313712E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规模养殖场粪污处理利用设施改造，消纳地粪肥利用配套设施建设，畜禽粪肥处理中心建设等</w:t>
            </w:r>
          </w:p>
        </w:tc>
        <w:tc>
          <w:tcPr>
            <w:tcW w:w="1190" w:type="dxa"/>
            <w:noWrap w:val="0"/>
            <w:vAlign w:val="center"/>
          </w:tcPr>
          <w:p w14:paraId="15FC1FB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cs="Times New Roman"/>
                <w:bCs/>
                <w:color w:val="auto"/>
                <w:kern w:val="2"/>
                <w:sz w:val="28"/>
                <w:szCs w:val="28"/>
                <w:lang w:val="en-US" w:eastAsia="zh-CN" w:bidi="ar-SA"/>
              </w:rPr>
              <w:t>县农业农村局</w:t>
            </w:r>
          </w:p>
        </w:tc>
      </w:tr>
      <w:tr w14:paraId="268F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31A7704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cs="Times New Roman"/>
                <w:bCs/>
                <w:color w:val="auto"/>
                <w:sz w:val="28"/>
                <w:szCs w:val="28"/>
                <w:lang w:val="en-US" w:eastAsia="zh-CN"/>
              </w:rPr>
              <w:t>66</w:t>
            </w:r>
          </w:p>
        </w:tc>
        <w:tc>
          <w:tcPr>
            <w:tcW w:w="863" w:type="dxa"/>
            <w:vMerge w:val="restart"/>
            <w:noWrap w:val="0"/>
            <w:vAlign w:val="center"/>
          </w:tcPr>
          <w:p w14:paraId="282D5027">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现代环境治理体系建设</w:t>
            </w:r>
          </w:p>
        </w:tc>
        <w:tc>
          <w:tcPr>
            <w:tcW w:w="2745" w:type="dxa"/>
            <w:noWrap w:val="0"/>
            <w:vAlign w:val="center"/>
          </w:tcPr>
          <w:p w14:paraId="520F611F">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蓬溪县秸秆禁烧监管能力建设项目</w:t>
            </w:r>
          </w:p>
        </w:tc>
        <w:tc>
          <w:tcPr>
            <w:tcW w:w="1113" w:type="dxa"/>
            <w:noWrap w:val="0"/>
            <w:vAlign w:val="center"/>
          </w:tcPr>
          <w:p w14:paraId="42D3083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县城及相关乡镇</w:t>
            </w:r>
          </w:p>
        </w:tc>
        <w:tc>
          <w:tcPr>
            <w:tcW w:w="1275" w:type="dxa"/>
            <w:noWrap w:val="0"/>
            <w:vAlign w:val="center"/>
          </w:tcPr>
          <w:p w14:paraId="5021789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2022-2023</w:t>
            </w:r>
          </w:p>
        </w:tc>
        <w:tc>
          <w:tcPr>
            <w:tcW w:w="1400" w:type="dxa"/>
            <w:noWrap w:val="0"/>
            <w:vAlign w:val="center"/>
          </w:tcPr>
          <w:p w14:paraId="2D227F3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800</w:t>
            </w:r>
          </w:p>
        </w:tc>
        <w:tc>
          <w:tcPr>
            <w:tcW w:w="4225" w:type="dxa"/>
            <w:noWrap w:val="0"/>
            <w:vAlign w:val="center"/>
          </w:tcPr>
          <w:p w14:paraId="30A8DBD9">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按照全市夏季、秋季秸秆禁烧工作的要求，购买三年秸秆禁烧监管服务，在县域内共建设约30套秸秆禁烧高清视频探头和高空瞭望塔，采用红外热成像技术，配套建设1套视频传输平台、夜间成像功能的无人监控设备，摄像头在日间通过对秸秆燃烧时产生的烟雾进行智能分析识别，夜间通过对生物质燃烧产生的火光进行智能分析识别，平台可对数据进行分析、储存，同时增配4台搭载喊话器和夜间成像功能的无人监控设备，实现秸秆禁烧精细化监控</w:t>
            </w:r>
          </w:p>
        </w:tc>
        <w:tc>
          <w:tcPr>
            <w:tcW w:w="1190" w:type="dxa"/>
            <w:noWrap w:val="0"/>
            <w:vAlign w:val="center"/>
          </w:tcPr>
          <w:p w14:paraId="76F6D6D6">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4C33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65" w:type="dxa"/>
            <w:noWrap w:val="0"/>
            <w:vAlign w:val="center"/>
          </w:tcPr>
          <w:p w14:paraId="1250F6D0">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cs="Times New Roman"/>
                <w:bCs/>
                <w:color w:val="auto"/>
                <w:sz w:val="28"/>
                <w:szCs w:val="28"/>
                <w:lang w:val="en-US" w:eastAsia="zh-CN"/>
              </w:rPr>
              <w:t>67</w:t>
            </w:r>
          </w:p>
        </w:tc>
        <w:tc>
          <w:tcPr>
            <w:tcW w:w="863" w:type="dxa"/>
            <w:vMerge w:val="continue"/>
            <w:noWrap w:val="0"/>
            <w:vAlign w:val="center"/>
          </w:tcPr>
          <w:p w14:paraId="53B11D35">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2745" w:type="dxa"/>
            <w:noWrap w:val="0"/>
            <w:vAlign w:val="center"/>
          </w:tcPr>
          <w:p w14:paraId="3C8090D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蓬溪县挥发性有机物监管能力建设</w:t>
            </w:r>
          </w:p>
        </w:tc>
        <w:tc>
          <w:tcPr>
            <w:tcW w:w="1113" w:type="dxa"/>
            <w:noWrap w:val="0"/>
            <w:vAlign w:val="center"/>
          </w:tcPr>
          <w:p w14:paraId="0CEDCC1A">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蓬溪经开区</w:t>
            </w:r>
          </w:p>
        </w:tc>
        <w:tc>
          <w:tcPr>
            <w:tcW w:w="1275" w:type="dxa"/>
            <w:noWrap w:val="0"/>
            <w:vAlign w:val="center"/>
          </w:tcPr>
          <w:p w14:paraId="190C573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2022-2024</w:t>
            </w:r>
          </w:p>
        </w:tc>
        <w:tc>
          <w:tcPr>
            <w:tcW w:w="1400" w:type="dxa"/>
            <w:noWrap w:val="0"/>
            <w:vAlign w:val="center"/>
          </w:tcPr>
          <w:p w14:paraId="50D88434">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800</w:t>
            </w:r>
          </w:p>
        </w:tc>
        <w:tc>
          <w:tcPr>
            <w:tcW w:w="4225" w:type="dxa"/>
            <w:noWrap w:val="0"/>
            <w:vAlign w:val="center"/>
          </w:tcPr>
          <w:p w14:paraId="303E1C2C">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主要针对蓬溪经开区挥发性有机物安装建立1套监管数据平台由当地生态环境部门操作，更加有利于日常监管</w:t>
            </w:r>
          </w:p>
        </w:tc>
        <w:tc>
          <w:tcPr>
            <w:tcW w:w="1190" w:type="dxa"/>
            <w:noWrap w:val="0"/>
            <w:vAlign w:val="center"/>
          </w:tcPr>
          <w:p w14:paraId="674429A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kern w:val="2"/>
                <w:sz w:val="28"/>
                <w:szCs w:val="28"/>
                <w:lang w:val="en-US" w:eastAsia="zh-CN" w:bidi="ar-SA"/>
              </w:rPr>
            </w:pPr>
            <w:r>
              <w:rPr>
                <w:rFonts w:hint="default" w:ascii="Times New Roman" w:hAnsi="Times New Roman" w:eastAsia="仿宋_GB2312" w:cs="Times New Roman"/>
                <w:bCs/>
                <w:color w:val="auto"/>
                <w:kern w:val="2"/>
                <w:sz w:val="28"/>
                <w:szCs w:val="28"/>
                <w:lang w:val="en-US" w:eastAsia="zh-CN" w:bidi="ar-SA"/>
              </w:rPr>
              <w:t>生态环境局</w:t>
            </w:r>
          </w:p>
        </w:tc>
      </w:tr>
      <w:tr w14:paraId="6A82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561" w:type="dxa"/>
            <w:gridSpan w:val="5"/>
            <w:noWrap w:val="0"/>
            <w:vAlign w:val="center"/>
          </w:tcPr>
          <w:p w14:paraId="071CE1BD">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项目总投资</w:t>
            </w:r>
          </w:p>
        </w:tc>
        <w:tc>
          <w:tcPr>
            <w:tcW w:w="1400" w:type="dxa"/>
            <w:noWrap w:val="0"/>
            <w:vAlign w:val="center"/>
          </w:tcPr>
          <w:p w14:paraId="35590ACB">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1279355.9</w:t>
            </w:r>
          </w:p>
        </w:tc>
        <w:tc>
          <w:tcPr>
            <w:tcW w:w="4225" w:type="dxa"/>
            <w:noWrap w:val="0"/>
            <w:vAlign w:val="center"/>
          </w:tcPr>
          <w:p w14:paraId="3F4E30C8">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lang w:val="en-US" w:eastAsia="zh-CN"/>
              </w:rPr>
            </w:pPr>
          </w:p>
        </w:tc>
        <w:tc>
          <w:tcPr>
            <w:tcW w:w="1190" w:type="dxa"/>
            <w:noWrap w:val="0"/>
            <w:vAlign w:val="center"/>
          </w:tcPr>
          <w:p w14:paraId="017B19DE">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_GB2312" w:cs="Times New Roman"/>
                <w:bCs/>
                <w:color w:val="auto"/>
                <w:sz w:val="28"/>
                <w:szCs w:val="28"/>
              </w:rPr>
            </w:pPr>
          </w:p>
        </w:tc>
      </w:tr>
    </w:tbl>
    <w:p w14:paraId="2037ECCF">
      <w:pPr>
        <w:ind w:left="0" w:leftChars="0" w:firstLine="0" w:firstLineChars="0"/>
        <w:rPr>
          <w:rFonts w:hint="default" w:ascii="Times New Roman" w:hAnsi="Times New Roman" w:cs="Times New Roman"/>
          <w:color w:val="auto"/>
        </w:rPr>
      </w:pPr>
    </w:p>
    <w:p w14:paraId="546B3A34">
      <w:pPr>
        <w:pStyle w:val="8"/>
        <w:rPr>
          <w:rFonts w:hint="default" w:ascii="Times New Roman" w:hAnsi="Times New Roman" w:cs="Times New Roman"/>
          <w:color w:val="auto"/>
        </w:rPr>
      </w:pPr>
    </w:p>
    <w:p w14:paraId="4E585D71">
      <w:pPr>
        <w:rPr>
          <w:rFonts w:hint="default" w:ascii="Times New Roman" w:hAnsi="Times New Roman" w:cs="Times New Roman"/>
          <w:color w:val="auto"/>
        </w:rPr>
      </w:pPr>
    </w:p>
    <w:p w14:paraId="014ED27F">
      <w:pPr>
        <w:pStyle w:val="8"/>
        <w:rPr>
          <w:rFonts w:hint="default" w:ascii="Times New Roman" w:hAnsi="Times New Roman" w:cs="Times New Roman"/>
          <w:color w:val="auto"/>
        </w:rPr>
      </w:pPr>
    </w:p>
    <w:p w14:paraId="41012D88">
      <w:pPr>
        <w:rPr>
          <w:rFonts w:hint="default" w:ascii="Times New Roman" w:hAnsi="Times New Roman" w:cs="Times New Roman"/>
          <w:color w:val="auto"/>
        </w:rPr>
      </w:pPr>
    </w:p>
    <w:p w14:paraId="5B071D7F">
      <w:pPr>
        <w:rPr>
          <w:rFonts w:hint="default" w:ascii="Times New Roman" w:hAnsi="Times New Roman" w:cs="Times New Roman"/>
          <w:color w:val="auto"/>
          <w:lang w:eastAsia="zh-CN"/>
        </w:rPr>
        <w:sectPr>
          <w:pgSz w:w="16838" w:h="11906" w:orient="landscape"/>
          <w:pgMar w:top="1800" w:right="1440" w:bottom="1800" w:left="1440" w:header="851" w:footer="992" w:gutter="0"/>
          <w:pgNumType w:fmt="decimal"/>
          <w:cols w:space="425" w:num="1"/>
          <w:docGrid w:type="lines" w:linePitch="312" w:charSpace="0"/>
        </w:sectPr>
      </w:pPr>
    </w:p>
    <w:p w14:paraId="250040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drawing>
          <wp:inline distT="0" distB="0" distL="114300" distR="114300">
            <wp:extent cx="4374515" cy="5063490"/>
            <wp:effectExtent l="0" t="0" r="6985" b="3810"/>
            <wp:docPr id="1" name="图片 2" descr="蓬溪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蓬溪县行政区划图"/>
                    <pic:cNvPicPr>
                      <a:picLocks noChangeAspect="1"/>
                    </pic:cNvPicPr>
                  </pic:nvPicPr>
                  <pic:blipFill>
                    <a:blip r:embed="rId10"/>
                    <a:srcRect t="5750"/>
                    <a:stretch>
                      <a:fillRect/>
                    </a:stretch>
                  </pic:blipFill>
                  <pic:spPr>
                    <a:xfrm>
                      <a:off x="0" y="0"/>
                      <a:ext cx="4374515" cy="5063490"/>
                    </a:xfrm>
                    <a:prstGeom prst="rect">
                      <a:avLst/>
                    </a:prstGeom>
                    <a:noFill/>
                    <a:ln>
                      <a:noFill/>
                    </a:ln>
                  </pic:spPr>
                </pic:pic>
              </a:graphicData>
            </a:graphic>
          </wp:inline>
        </w:drawing>
      </w:r>
    </w:p>
    <w:p w14:paraId="268EB581">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8"/>
          <w:szCs w:val="28"/>
          <w:lang w:val="en-US" w:eastAsia="zh-CN"/>
        </w:rPr>
      </w:pPr>
      <w:bookmarkStart w:id="73" w:name="_Toc27416"/>
      <w:bookmarkStart w:id="74" w:name="_Toc26703"/>
      <w:bookmarkStart w:id="75" w:name="_Toc23330"/>
      <w:r>
        <w:rPr>
          <w:rFonts w:hint="default" w:ascii="Times New Roman" w:hAnsi="Times New Roman" w:cs="Times New Roman"/>
          <w:b/>
          <w:bCs/>
          <w:color w:val="auto"/>
          <w:sz w:val="28"/>
          <w:szCs w:val="28"/>
          <w:lang w:eastAsia="zh-CN"/>
        </w:rPr>
        <w:t>附图</w:t>
      </w:r>
      <w:r>
        <w:rPr>
          <w:rFonts w:hint="default" w:ascii="Times New Roman" w:hAnsi="Times New Roman" w:cs="Times New Roman"/>
          <w:b/>
          <w:bCs/>
          <w:color w:val="auto"/>
          <w:sz w:val="28"/>
          <w:szCs w:val="28"/>
          <w:lang w:val="en-US" w:eastAsia="zh-CN"/>
        </w:rPr>
        <w:t>1 蓬溪县行政区划图</w:t>
      </w:r>
      <w:bookmarkEnd w:id="73"/>
      <w:bookmarkEnd w:id="74"/>
      <w:bookmarkEnd w:id="75"/>
    </w:p>
    <w:p w14:paraId="73864196">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
          <w:bCs/>
          <w:color w:val="auto"/>
          <w:sz w:val="21"/>
          <w:szCs w:val="21"/>
          <w:lang w:eastAsia="zh-CN"/>
        </w:rPr>
        <w:drawing>
          <wp:inline distT="0" distB="0" distL="114300" distR="114300">
            <wp:extent cx="4286250" cy="4889500"/>
            <wp:effectExtent l="0" t="0" r="0" b="6350"/>
            <wp:docPr id="2" name="图片 3" descr="蓬溪县地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蓬溪县地势图"/>
                    <pic:cNvPicPr>
                      <a:picLocks noChangeAspect="1"/>
                    </pic:cNvPicPr>
                  </pic:nvPicPr>
                  <pic:blipFill>
                    <a:blip r:embed="rId11"/>
                    <a:srcRect t="5750"/>
                    <a:stretch>
                      <a:fillRect/>
                    </a:stretch>
                  </pic:blipFill>
                  <pic:spPr>
                    <a:xfrm>
                      <a:off x="0" y="0"/>
                      <a:ext cx="4286250" cy="4889500"/>
                    </a:xfrm>
                    <a:prstGeom prst="rect">
                      <a:avLst/>
                    </a:prstGeom>
                    <a:noFill/>
                    <a:ln>
                      <a:noFill/>
                    </a:ln>
                  </pic:spPr>
                </pic:pic>
              </a:graphicData>
            </a:graphic>
          </wp:inline>
        </w:drawing>
      </w:r>
    </w:p>
    <w:p w14:paraId="3EE6F45C">
      <w:pPr>
        <w:pStyle w:val="2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8"/>
          <w:szCs w:val="28"/>
          <w:lang w:val="en-US" w:eastAsia="zh-CN"/>
        </w:rPr>
      </w:pPr>
      <w:bookmarkStart w:id="76" w:name="_Toc23453"/>
      <w:bookmarkStart w:id="77" w:name="_Toc13972"/>
      <w:bookmarkStart w:id="78" w:name="_Toc18396"/>
      <w:r>
        <w:rPr>
          <w:rFonts w:hint="default" w:ascii="Times New Roman" w:hAnsi="Times New Roman" w:cs="Times New Roman"/>
          <w:b/>
          <w:bCs/>
          <w:color w:val="auto"/>
          <w:sz w:val="28"/>
          <w:szCs w:val="28"/>
          <w:lang w:val="en-US" w:eastAsia="zh-CN"/>
        </w:rPr>
        <w:t>附图2 蓬溪县地形地貌图</w:t>
      </w:r>
      <w:bookmarkEnd w:id="76"/>
      <w:bookmarkEnd w:id="77"/>
      <w:bookmarkEnd w:id="78"/>
    </w:p>
    <w:p w14:paraId="10F79447">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4239895" cy="4731385"/>
            <wp:effectExtent l="0" t="0" r="8255" b="12065"/>
            <wp:docPr id="10" name="图片 10" descr="蓬溪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蓬溪县水系图"/>
                    <pic:cNvPicPr>
                      <a:picLocks noChangeAspect="1"/>
                    </pic:cNvPicPr>
                  </pic:nvPicPr>
                  <pic:blipFill>
                    <a:blip r:embed="rId12"/>
                    <a:srcRect t="3976" b="3043"/>
                    <a:stretch>
                      <a:fillRect/>
                    </a:stretch>
                  </pic:blipFill>
                  <pic:spPr>
                    <a:xfrm>
                      <a:off x="0" y="0"/>
                      <a:ext cx="4239895" cy="4731385"/>
                    </a:xfrm>
                    <a:prstGeom prst="rect">
                      <a:avLst/>
                    </a:prstGeom>
                  </pic:spPr>
                </pic:pic>
              </a:graphicData>
            </a:graphic>
          </wp:inline>
        </w:drawing>
      </w:r>
    </w:p>
    <w:p w14:paraId="30B195EA">
      <w:pPr>
        <w:pStyle w:val="2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8"/>
          <w:szCs w:val="28"/>
          <w:lang w:val="en-US" w:eastAsia="zh-CN"/>
        </w:rPr>
      </w:pPr>
      <w:bookmarkStart w:id="79" w:name="_Toc5509"/>
      <w:bookmarkStart w:id="80" w:name="_Toc11532"/>
      <w:bookmarkStart w:id="81" w:name="_Toc23905"/>
      <w:r>
        <w:rPr>
          <w:rFonts w:hint="default" w:ascii="Times New Roman" w:hAnsi="Times New Roman" w:cs="Times New Roman"/>
          <w:b/>
          <w:bCs/>
          <w:color w:val="auto"/>
          <w:sz w:val="28"/>
          <w:szCs w:val="28"/>
          <w:lang w:val="en-US" w:eastAsia="zh-CN"/>
        </w:rPr>
        <w:t>附图3 蓬溪县河流水系图</w:t>
      </w:r>
      <w:bookmarkEnd w:id="79"/>
      <w:bookmarkEnd w:id="80"/>
      <w:bookmarkEnd w:id="81"/>
    </w:p>
    <w:p w14:paraId="38293260">
      <w:pPr>
        <w:pStyle w:val="10"/>
        <w:spacing w:line="240" w:lineRule="auto"/>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br w:type="page"/>
      </w:r>
    </w:p>
    <w:p w14:paraId="7FE37829">
      <w:pPr>
        <w:pStyle w:val="1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4271010" cy="5126355"/>
            <wp:effectExtent l="0" t="0" r="15240" b="17145"/>
            <wp:docPr id="11" name="图片 11" descr="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土地利用总体规划图"/>
                    <pic:cNvPicPr>
                      <a:picLocks noChangeAspect="1"/>
                    </pic:cNvPicPr>
                  </pic:nvPicPr>
                  <pic:blipFill>
                    <a:blip r:embed="rId13"/>
                    <a:stretch>
                      <a:fillRect/>
                    </a:stretch>
                  </pic:blipFill>
                  <pic:spPr>
                    <a:xfrm>
                      <a:off x="0" y="0"/>
                      <a:ext cx="4271010" cy="5126355"/>
                    </a:xfrm>
                    <a:prstGeom prst="rect">
                      <a:avLst/>
                    </a:prstGeom>
                  </pic:spPr>
                </pic:pic>
              </a:graphicData>
            </a:graphic>
          </wp:inline>
        </w:drawing>
      </w:r>
    </w:p>
    <w:p w14:paraId="70C1D371">
      <w:pPr>
        <w:pStyle w:val="2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8"/>
          <w:szCs w:val="28"/>
          <w:lang w:val="en-US" w:eastAsia="zh-CN"/>
        </w:rPr>
      </w:pPr>
      <w:bookmarkStart w:id="82" w:name="_Toc973"/>
      <w:bookmarkStart w:id="83" w:name="_Toc11563"/>
      <w:bookmarkStart w:id="84" w:name="_Toc4550"/>
      <w:r>
        <w:rPr>
          <w:rFonts w:hint="default" w:ascii="Times New Roman" w:hAnsi="Times New Roman" w:cs="Times New Roman"/>
          <w:b/>
          <w:bCs/>
          <w:color w:val="auto"/>
          <w:sz w:val="28"/>
          <w:szCs w:val="28"/>
          <w:lang w:val="en-US" w:eastAsia="zh-CN"/>
        </w:rPr>
        <w:t>附图4 蓬溪县土地利用规划图</w:t>
      </w:r>
      <w:bookmarkEnd w:id="82"/>
      <w:bookmarkEnd w:id="83"/>
      <w:bookmarkEnd w:id="84"/>
    </w:p>
    <w:p w14:paraId="69736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4369435" cy="4109085"/>
            <wp:effectExtent l="0" t="0" r="1206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4369435" cy="4109085"/>
                    </a:xfrm>
                    <a:prstGeom prst="rect">
                      <a:avLst/>
                    </a:prstGeom>
                    <a:noFill/>
                    <a:ln>
                      <a:noFill/>
                    </a:ln>
                  </pic:spPr>
                </pic:pic>
              </a:graphicData>
            </a:graphic>
          </wp:inline>
        </w:drawing>
      </w:r>
    </w:p>
    <w:p w14:paraId="0F2AE76B">
      <w:pPr>
        <w:pStyle w:val="2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sz w:val="28"/>
          <w:szCs w:val="28"/>
          <w:lang w:val="en-US" w:eastAsia="zh-CN"/>
        </w:rPr>
      </w:pPr>
      <w:bookmarkStart w:id="85" w:name="_Toc16955"/>
      <w:bookmarkStart w:id="86" w:name="_Toc25199"/>
      <w:bookmarkStart w:id="87" w:name="_Toc9992"/>
      <w:r>
        <w:rPr>
          <w:rFonts w:hint="default" w:ascii="Times New Roman" w:hAnsi="Times New Roman" w:cs="Times New Roman"/>
          <w:b/>
          <w:bCs/>
          <w:color w:val="auto"/>
          <w:sz w:val="28"/>
          <w:szCs w:val="28"/>
          <w:lang w:val="en-US" w:eastAsia="zh-CN"/>
        </w:rPr>
        <w:t>附图5 蓬溪县旅游资源分布图</w:t>
      </w:r>
      <w:bookmarkEnd w:id="85"/>
      <w:bookmarkEnd w:id="86"/>
      <w:bookmarkEnd w:id="87"/>
    </w:p>
    <w:p w14:paraId="735490E3">
      <w:pPr>
        <w:pStyle w:val="10"/>
        <w:ind w:left="0" w:leftChars="0" w:firstLine="0" w:firstLineChars="0"/>
        <w:rPr>
          <w:rFonts w:hint="default" w:ascii="Times New Roman" w:hAnsi="Times New Roman" w:cs="Times New Roman"/>
          <w:color w:val="auto"/>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8073B5-0785-43A0-884C-38AB2B59AC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F7B408B7-EB78-4BC6-9DF3-4458F36F718D}"/>
  </w:font>
  <w:font w:name="方正楷体_GB2312">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3" w:fontKey="{360A6076-282A-4542-B931-370E8D659CA4}"/>
  </w:font>
  <w:font w:name="华文楷体">
    <w:panose1 w:val="02010600040101010101"/>
    <w:charset w:val="86"/>
    <w:family w:val="auto"/>
    <w:pitch w:val="default"/>
    <w:sig w:usb0="00000287" w:usb1="080F0000" w:usb2="00000000" w:usb3="00000000" w:csb0="0004009F" w:csb1="DFD70000"/>
    <w:embedRegular r:id="rId4" w:fontKey="{A83214DD-7A63-4439-9F77-DD4CD429C6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748F2">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5DBC">
    <w:pPr>
      <w:pStyle w:val="12"/>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48713">
    <w:pPr>
      <w:pStyle w:val="12"/>
      <w:tabs>
        <w:tab w:val="left" w:pos="6637"/>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06D9EE">
                          <w:pPr>
                            <w:pStyle w:val="12"/>
                          </w:pPr>
                          <w:r>
                            <w:fldChar w:fldCharType="begin"/>
                          </w:r>
                          <w:r>
                            <w:instrText xml:space="preserve"> PAGE  \* MERGEFORMAT </w:instrText>
                          </w:r>
                          <w:r>
                            <w:fldChar w:fldCharType="separate"/>
                          </w:r>
                          <w:r>
                            <w:t>- 5 -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506D9EE">
                    <w:pPr>
                      <w:pStyle w:val="12"/>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5FB11">
    <w:pPr>
      <w:pStyle w:val="12"/>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A6232B">
                          <w:pPr>
                            <w:pStyle w:val="12"/>
                          </w:pPr>
                          <w:r>
                            <w:fldChar w:fldCharType="begin"/>
                          </w:r>
                          <w:r>
                            <w:instrText xml:space="preserve"> PAGE  \* MERGEFORMAT </w:instrText>
                          </w:r>
                          <w:r>
                            <w:fldChar w:fldCharType="separate"/>
                          </w:r>
                          <w:r>
                            <w:t>- 2 -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9A6232B">
                    <w:pPr>
                      <w:pStyle w:val="1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298CD"/>
    <w:multiLevelType w:val="singleLevel"/>
    <w:tmpl w:val="DB5298CD"/>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iZjhmMDZlNWE1ZTIzNmY0N2FiYWQzNGRiMjI4ODMifQ=="/>
  </w:docVars>
  <w:rsids>
    <w:rsidRoot w:val="08855A1A"/>
    <w:rsid w:val="003F5338"/>
    <w:rsid w:val="011B09FD"/>
    <w:rsid w:val="02641FD2"/>
    <w:rsid w:val="030039F6"/>
    <w:rsid w:val="03054F5D"/>
    <w:rsid w:val="034411E7"/>
    <w:rsid w:val="03761945"/>
    <w:rsid w:val="04993E78"/>
    <w:rsid w:val="053078DA"/>
    <w:rsid w:val="060E1F22"/>
    <w:rsid w:val="07AD298C"/>
    <w:rsid w:val="07EC4626"/>
    <w:rsid w:val="07FE7092"/>
    <w:rsid w:val="08855A1A"/>
    <w:rsid w:val="08A96637"/>
    <w:rsid w:val="08B63690"/>
    <w:rsid w:val="08D20F03"/>
    <w:rsid w:val="0926614D"/>
    <w:rsid w:val="09BE3DFB"/>
    <w:rsid w:val="0A2424B8"/>
    <w:rsid w:val="0C78074E"/>
    <w:rsid w:val="0E054544"/>
    <w:rsid w:val="0E9A4606"/>
    <w:rsid w:val="0F5C7C25"/>
    <w:rsid w:val="0F774C6F"/>
    <w:rsid w:val="0FF5039B"/>
    <w:rsid w:val="114750DA"/>
    <w:rsid w:val="11EF2D12"/>
    <w:rsid w:val="12BA7BBB"/>
    <w:rsid w:val="1325471E"/>
    <w:rsid w:val="13511F7C"/>
    <w:rsid w:val="137F08AE"/>
    <w:rsid w:val="143358C9"/>
    <w:rsid w:val="147C5547"/>
    <w:rsid w:val="14EE7F1F"/>
    <w:rsid w:val="15E57595"/>
    <w:rsid w:val="16412D7E"/>
    <w:rsid w:val="16500CC6"/>
    <w:rsid w:val="17440EA8"/>
    <w:rsid w:val="17510423"/>
    <w:rsid w:val="180E08AD"/>
    <w:rsid w:val="184B1868"/>
    <w:rsid w:val="18A3607E"/>
    <w:rsid w:val="19C51D74"/>
    <w:rsid w:val="1A9B02A3"/>
    <w:rsid w:val="1B0B0D5B"/>
    <w:rsid w:val="1B2D278B"/>
    <w:rsid w:val="1B333CD3"/>
    <w:rsid w:val="1C6E004C"/>
    <w:rsid w:val="1C870A23"/>
    <w:rsid w:val="1CE3265E"/>
    <w:rsid w:val="1CE718DE"/>
    <w:rsid w:val="1DA41BE1"/>
    <w:rsid w:val="1E066CC4"/>
    <w:rsid w:val="1E17628F"/>
    <w:rsid w:val="1F035246"/>
    <w:rsid w:val="20647AE4"/>
    <w:rsid w:val="20B05730"/>
    <w:rsid w:val="21C92270"/>
    <w:rsid w:val="222305F1"/>
    <w:rsid w:val="22A60199"/>
    <w:rsid w:val="2347542C"/>
    <w:rsid w:val="23C71A48"/>
    <w:rsid w:val="24506F34"/>
    <w:rsid w:val="24F017BD"/>
    <w:rsid w:val="254A7A1D"/>
    <w:rsid w:val="2727401E"/>
    <w:rsid w:val="2732745A"/>
    <w:rsid w:val="295A576D"/>
    <w:rsid w:val="29E21750"/>
    <w:rsid w:val="2A2F6DB3"/>
    <w:rsid w:val="2A675CAE"/>
    <w:rsid w:val="2A9A13BE"/>
    <w:rsid w:val="2C2B63D0"/>
    <w:rsid w:val="2D1136A5"/>
    <w:rsid w:val="2D1F08E1"/>
    <w:rsid w:val="2D696FCE"/>
    <w:rsid w:val="2DAB1DC5"/>
    <w:rsid w:val="2DDC4F23"/>
    <w:rsid w:val="2E457A55"/>
    <w:rsid w:val="2E7A3636"/>
    <w:rsid w:val="2FAF6D39"/>
    <w:rsid w:val="300C38B1"/>
    <w:rsid w:val="30725C8A"/>
    <w:rsid w:val="30A4113F"/>
    <w:rsid w:val="31605013"/>
    <w:rsid w:val="3180756F"/>
    <w:rsid w:val="325D3359"/>
    <w:rsid w:val="32C8358C"/>
    <w:rsid w:val="32D305C0"/>
    <w:rsid w:val="32F31CD4"/>
    <w:rsid w:val="3376011F"/>
    <w:rsid w:val="3399725A"/>
    <w:rsid w:val="33EE2C3B"/>
    <w:rsid w:val="34FF237F"/>
    <w:rsid w:val="374D2624"/>
    <w:rsid w:val="379E40A8"/>
    <w:rsid w:val="388C7D6A"/>
    <w:rsid w:val="38EF6BD4"/>
    <w:rsid w:val="394C4C39"/>
    <w:rsid w:val="3952190C"/>
    <w:rsid w:val="397D119D"/>
    <w:rsid w:val="3A3523EB"/>
    <w:rsid w:val="3B4642AD"/>
    <w:rsid w:val="3B9B7446"/>
    <w:rsid w:val="3D29654B"/>
    <w:rsid w:val="3D486CDE"/>
    <w:rsid w:val="3D4A5660"/>
    <w:rsid w:val="3F346C7C"/>
    <w:rsid w:val="3F6A262D"/>
    <w:rsid w:val="3FE23A38"/>
    <w:rsid w:val="3FF75408"/>
    <w:rsid w:val="40704979"/>
    <w:rsid w:val="40845A1A"/>
    <w:rsid w:val="422B4D32"/>
    <w:rsid w:val="42792AF8"/>
    <w:rsid w:val="428539BD"/>
    <w:rsid w:val="428A25F1"/>
    <w:rsid w:val="43B44A84"/>
    <w:rsid w:val="43BF768A"/>
    <w:rsid w:val="44E7031B"/>
    <w:rsid w:val="459F5892"/>
    <w:rsid w:val="46A101E3"/>
    <w:rsid w:val="477B4C23"/>
    <w:rsid w:val="478D2946"/>
    <w:rsid w:val="490C4C58"/>
    <w:rsid w:val="496D670F"/>
    <w:rsid w:val="498B22FE"/>
    <w:rsid w:val="49C26EB1"/>
    <w:rsid w:val="49E36D6F"/>
    <w:rsid w:val="4A85589A"/>
    <w:rsid w:val="4AB11B8C"/>
    <w:rsid w:val="4BAC5EA3"/>
    <w:rsid w:val="4C040A75"/>
    <w:rsid w:val="4C6374AB"/>
    <w:rsid w:val="4D627099"/>
    <w:rsid w:val="4F2B740E"/>
    <w:rsid w:val="4FDD4C03"/>
    <w:rsid w:val="5005602C"/>
    <w:rsid w:val="502A59A0"/>
    <w:rsid w:val="51EB5BDD"/>
    <w:rsid w:val="52565A97"/>
    <w:rsid w:val="52710462"/>
    <w:rsid w:val="5279337C"/>
    <w:rsid w:val="529978B8"/>
    <w:rsid w:val="52FB535B"/>
    <w:rsid w:val="53A474B1"/>
    <w:rsid w:val="54A95F35"/>
    <w:rsid w:val="554574AC"/>
    <w:rsid w:val="584C1502"/>
    <w:rsid w:val="58A43A00"/>
    <w:rsid w:val="5922387B"/>
    <w:rsid w:val="595E3618"/>
    <w:rsid w:val="5B63166F"/>
    <w:rsid w:val="5C7C7378"/>
    <w:rsid w:val="5DDB4BCA"/>
    <w:rsid w:val="5DF72567"/>
    <w:rsid w:val="5F2B037F"/>
    <w:rsid w:val="61157CC7"/>
    <w:rsid w:val="615D6EAE"/>
    <w:rsid w:val="63267419"/>
    <w:rsid w:val="63962199"/>
    <w:rsid w:val="640D5CB3"/>
    <w:rsid w:val="649E1A22"/>
    <w:rsid w:val="64F47DAF"/>
    <w:rsid w:val="651E377E"/>
    <w:rsid w:val="65785B70"/>
    <w:rsid w:val="65C3666C"/>
    <w:rsid w:val="68AB3EC4"/>
    <w:rsid w:val="693076BD"/>
    <w:rsid w:val="693673C0"/>
    <w:rsid w:val="69AA3EBC"/>
    <w:rsid w:val="6A0B27F9"/>
    <w:rsid w:val="6AA61A7B"/>
    <w:rsid w:val="6AE74593"/>
    <w:rsid w:val="6B885406"/>
    <w:rsid w:val="6C041E07"/>
    <w:rsid w:val="6CA160DC"/>
    <w:rsid w:val="6CAA14EB"/>
    <w:rsid w:val="6CE75EE2"/>
    <w:rsid w:val="6D1D1B6A"/>
    <w:rsid w:val="6DBD37F2"/>
    <w:rsid w:val="6EC32A38"/>
    <w:rsid w:val="6FA4711C"/>
    <w:rsid w:val="73036AAF"/>
    <w:rsid w:val="73B22615"/>
    <w:rsid w:val="74711290"/>
    <w:rsid w:val="75404271"/>
    <w:rsid w:val="75412204"/>
    <w:rsid w:val="761D73EE"/>
    <w:rsid w:val="769C13B3"/>
    <w:rsid w:val="76A348E4"/>
    <w:rsid w:val="770129C4"/>
    <w:rsid w:val="78575F34"/>
    <w:rsid w:val="786215EA"/>
    <w:rsid w:val="79163033"/>
    <w:rsid w:val="7A054BC1"/>
    <w:rsid w:val="7A78384D"/>
    <w:rsid w:val="7B237C86"/>
    <w:rsid w:val="7B443F4F"/>
    <w:rsid w:val="7B566EC2"/>
    <w:rsid w:val="7CC44B8A"/>
    <w:rsid w:val="7E0E27C2"/>
    <w:rsid w:val="7EA813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ind w:firstLine="964" w:firstLineChars="200"/>
      <w:jc w:val="both"/>
    </w:pPr>
    <w:rPr>
      <w:rFonts w:ascii="Times New Roman" w:hAnsi="Times New Roman" w:eastAsia="仿宋_GB2312" w:cs="Times New Roman"/>
      <w:kern w:val="2"/>
      <w:sz w:val="30"/>
      <w:szCs w:val="22"/>
      <w:lang w:val="en-US" w:eastAsia="zh-CN" w:bidi="ar-SA"/>
    </w:rPr>
  </w:style>
  <w:style w:type="paragraph" w:styleId="3">
    <w:name w:val="heading 1"/>
    <w:basedOn w:val="1"/>
    <w:next w:val="1"/>
    <w:qFormat/>
    <w:uiPriority w:val="9"/>
    <w:pPr>
      <w:keepNext/>
      <w:keepLines/>
      <w:spacing w:before="200" w:after="200" w:line="560" w:lineRule="exact"/>
      <w:outlineLvl w:val="0"/>
    </w:pPr>
    <w:rPr>
      <w:rFonts w:eastAsia="黑体"/>
      <w:bCs/>
      <w:kern w:val="44"/>
      <w:sz w:val="32"/>
      <w:szCs w:val="44"/>
    </w:rPr>
  </w:style>
  <w:style w:type="paragraph" w:styleId="4">
    <w:name w:val="heading 2"/>
    <w:basedOn w:val="1"/>
    <w:next w:val="1"/>
    <w:qFormat/>
    <w:uiPriority w:val="9"/>
    <w:pPr>
      <w:keepNext/>
      <w:keepLines/>
      <w:spacing w:before="100" w:beforeLines="100" w:line="415" w:lineRule="auto"/>
      <w:outlineLvl w:val="1"/>
    </w:pPr>
    <w:rPr>
      <w:rFonts w:eastAsia="方正楷体_GB2312"/>
      <w:b/>
      <w:bCs/>
      <w:szCs w:val="32"/>
    </w:rPr>
  </w:style>
  <w:style w:type="paragraph" w:styleId="5">
    <w:name w:val="heading 3"/>
    <w:basedOn w:val="1"/>
    <w:next w:val="1"/>
    <w:qFormat/>
    <w:uiPriority w:val="9"/>
    <w:pPr>
      <w:keepNext/>
      <w:keepLines/>
      <w:spacing w:before="50" w:beforeLines="50" w:line="560" w:lineRule="exact"/>
      <w:jc w:val="left"/>
      <w:outlineLvl w:val="2"/>
    </w:pPr>
    <w:rPr>
      <w:b/>
      <w:bCs/>
      <w:szCs w:val="32"/>
    </w:rPr>
  </w:style>
  <w:style w:type="paragraph" w:styleId="6">
    <w:name w:val="heading 4"/>
    <w:basedOn w:val="1"/>
    <w:next w:val="1"/>
    <w:unhideWhenUsed/>
    <w:qFormat/>
    <w:uiPriority w:val="9"/>
    <w:pPr>
      <w:keepNext/>
      <w:keepLines/>
      <w:spacing w:before="160" w:beforeLines="0" w:beforeAutospacing="0" w:after="160" w:afterLines="0" w:afterAutospacing="0" w:line="560" w:lineRule="exact"/>
      <w:outlineLvl w:val="3"/>
    </w:pPr>
    <w:rPr>
      <w:rFonts w:ascii="Arial" w:hAnsi="Arial" w:eastAsia="仿宋"/>
      <w:b/>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pPr>
      <w:adjustRightInd w:val="0"/>
      <w:snapToGrid w:val="0"/>
    </w:pPr>
    <w:rPr>
      <w:rFonts w:ascii="Calibri" w:hAnsi="Calibri"/>
    </w:rPr>
  </w:style>
  <w:style w:type="paragraph" w:styleId="7">
    <w:name w:val="caption"/>
    <w:basedOn w:val="1"/>
    <w:next w:val="1"/>
    <w:qFormat/>
    <w:uiPriority w:val="35"/>
    <w:pPr>
      <w:ind w:firstLine="0" w:firstLineChars="0"/>
      <w:jc w:val="center"/>
    </w:pPr>
    <w:rPr>
      <w:rFonts w:eastAsia="黑体"/>
      <w:b/>
      <w:color w:val="auto"/>
      <w:kern w:val="0"/>
      <w:sz w:val="22"/>
      <w:szCs w:val="20"/>
    </w:rPr>
  </w:style>
  <w:style w:type="paragraph" w:styleId="8">
    <w:name w:val="index 5"/>
    <w:basedOn w:val="1"/>
    <w:next w:val="1"/>
    <w:qFormat/>
    <w:uiPriority w:val="0"/>
    <w:pPr>
      <w:ind w:left="0"/>
      <w:jc w:val="left"/>
    </w:pPr>
    <w:rPr>
      <w:sz w:val="21"/>
      <w:szCs w:val="15"/>
    </w:rPr>
  </w:style>
  <w:style w:type="paragraph" w:styleId="9">
    <w:name w:val="annotation text"/>
    <w:basedOn w:val="1"/>
    <w:qFormat/>
    <w:uiPriority w:val="0"/>
    <w:pPr>
      <w:jc w:val="left"/>
    </w:pPr>
  </w:style>
  <w:style w:type="paragraph" w:styleId="10">
    <w:name w:val="Body Text"/>
    <w:basedOn w:val="1"/>
    <w:next w:val="1"/>
    <w:qFormat/>
    <w:uiPriority w:val="0"/>
    <w:rPr>
      <w:rFonts w:ascii="Times New Roman" w:hAnsi="Times New Roman"/>
      <w:szCs w:val="21"/>
    </w:rPr>
  </w:style>
  <w:style w:type="paragraph" w:styleId="11">
    <w:name w:val="toc 3"/>
    <w:basedOn w:val="1"/>
    <w:next w:val="1"/>
    <w:qFormat/>
    <w:uiPriority w:val="0"/>
    <w:pPr>
      <w:ind w:left="840" w:leftChars="400"/>
    </w:p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table" w:styleId="17">
    <w:name w:val="Table Grid"/>
    <w:basedOn w:val="16"/>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WPSOffice手动目录 1"/>
    <w:qFormat/>
    <w:uiPriority w:val="0"/>
    <w:pPr>
      <w:ind w:leftChars="0"/>
    </w:pPr>
    <w:rPr>
      <w:rFonts w:ascii="Calibri" w:hAnsi="Calibri" w:eastAsia="宋体" w:cs="Times New Roman"/>
      <w:sz w:val="20"/>
      <w:szCs w:val="20"/>
    </w:rPr>
  </w:style>
  <w:style w:type="paragraph" w:customStyle="1" w:styleId="20">
    <w:name w:val="WPSOffice手动目录 2"/>
    <w:qFormat/>
    <w:uiPriority w:val="0"/>
    <w:pPr>
      <w:ind w:leftChars="200"/>
    </w:pPr>
    <w:rPr>
      <w:rFonts w:ascii="Calibri" w:hAnsi="Calibri" w:eastAsia="宋体" w:cs="Times New Roman"/>
      <w:sz w:val="20"/>
      <w:szCs w:val="20"/>
    </w:rPr>
  </w:style>
  <w:style w:type="paragraph" w:customStyle="1" w:styleId="21">
    <w:name w:val="WPSOffice手动目录 3"/>
    <w:qFormat/>
    <w:uiPriority w:val="0"/>
    <w:pPr>
      <w:ind w:leftChars="400"/>
    </w:pPr>
    <w:rPr>
      <w:rFonts w:ascii="Calibri" w:hAnsi="Calibri" w:eastAsia="宋体" w:cs="Times New Roman"/>
      <w:sz w:val="20"/>
      <w:szCs w:val="20"/>
    </w:rPr>
  </w:style>
  <w:style w:type="paragraph" w:customStyle="1" w:styleId="22">
    <w:name w:val="表格"/>
    <w:basedOn w:val="1"/>
    <w:qFormat/>
    <w:uiPriority w:val="0"/>
    <w:pPr>
      <w:ind w:firstLine="0" w:firstLineChars="0"/>
      <w:jc w:val="center"/>
      <w:outlineLvl w:val="0"/>
    </w:pPr>
    <w:rPr>
      <w:rFonts w:hint="eastAsia" w:ascii="Times New Roman" w:hAnsi="Times New Roman"/>
      <w:sz w:val="24"/>
      <w:szCs w:val="21"/>
    </w:rPr>
  </w:style>
  <w:style w:type="paragraph" w:customStyle="1" w:styleId="23">
    <w:name w:val="标准文字"/>
    <w:basedOn w:val="1"/>
    <w:qFormat/>
    <w:uiPriority w:val="0"/>
    <w:pPr>
      <w:spacing w:line="360" w:lineRule="auto"/>
      <w:ind w:firstLine="560" w:firstLineChars="200"/>
    </w:pPr>
    <w:rPr>
      <w:rFonts w:eastAsia="仿宋_GB2312"/>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25542</Words>
  <Characters>26050</Characters>
  <Lines>0</Lines>
  <Paragraphs>0</Paragraphs>
  <TotalTime>2</TotalTime>
  <ScaleCrop>false</ScaleCrop>
  <LinksUpToDate>false</LinksUpToDate>
  <CharactersWithSpaces>26245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2021-07-20T03:48:00Z</dcterms:created>
  <dc:creator>忒堍嚏。</dc:creator>
  <cp:lastModifiedBy>哈哈*^o^*</cp:lastModifiedBy>
  <dcterms:modified xsi:type="dcterms:W3CDTF">2025-06-23T01:27:42Z</dcterms:modified>
  <dc:title>蓬溪县“十四五”生态环境</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97786FF582294AE0A73D69B421A099AA_13</vt:lpwstr>
  </property>
  <property fmtid="{D5CDD505-2E9C-101B-9397-08002B2CF9AE}" pid="4" name="KSOTemplateDocerSaveRecord">
    <vt:lpwstr>eyJoZGlkIjoiMDdiZjhmMDZlNWE1ZTIzNmY0N2FiYWQzNGRiMjI4ODMiLCJ1c2VySWQiOiI0MjA0MDUyMDgifQ==</vt:lpwstr>
  </property>
</Properties>
</file>