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F225C">
      <w:pPr>
        <w:suppressAutoHyphens/>
        <w:spacing w:line="58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蓬溪县关于进一步推动经济回升向好的</w:t>
      </w:r>
    </w:p>
    <w:p w14:paraId="33BFDF8D">
      <w:pPr>
        <w:suppressAutoHyphens/>
        <w:spacing w:line="58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若干政策措施</w:t>
      </w:r>
    </w:p>
    <w:p w14:paraId="38E186AB">
      <w:pPr>
        <w:suppressAutoHyphens/>
        <w:spacing w:line="580" w:lineRule="exact"/>
        <w:jc w:val="center"/>
        <w:rPr>
          <w:rFonts w:hint="eastAsia" w:eastAsia="楷体_GB2312"/>
          <w:b w:val="0"/>
          <w:bCs w:val="0"/>
          <w:color w:val="000000"/>
          <w:szCs w:val="32"/>
        </w:rPr>
      </w:pPr>
      <w:r>
        <w:rPr>
          <w:rFonts w:eastAsia="楷体_GB2312"/>
          <w:b w:val="0"/>
          <w:bCs w:val="0"/>
          <w:color w:val="000000"/>
          <w:szCs w:val="32"/>
        </w:rPr>
        <w:t>（</w:t>
      </w:r>
      <w:r>
        <w:rPr>
          <w:rFonts w:hint="eastAsia" w:eastAsia="楷体_GB2312"/>
          <w:b w:val="0"/>
          <w:bCs w:val="0"/>
          <w:color w:val="000000"/>
          <w:szCs w:val="32"/>
        </w:rPr>
        <w:t>征求意见稿</w:t>
      </w:r>
      <w:r>
        <w:rPr>
          <w:rFonts w:eastAsia="楷体_GB2312"/>
          <w:b w:val="0"/>
          <w:bCs w:val="0"/>
          <w:color w:val="000000"/>
          <w:szCs w:val="32"/>
        </w:rPr>
        <w:t>）</w:t>
      </w:r>
    </w:p>
    <w:p w14:paraId="0D40CC24">
      <w:pPr>
        <w:spacing w:line="576" w:lineRule="exact"/>
        <w:rPr>
          <w:rFonts w:hint="eastAsia"/>
          <w:b w:val="0"/>
          <w:bCs w:val="0"/>
        </w:rPr>
      </w:pPr>
    </w:p>
    <w:p w14:paraId="7689336D">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为深入贯彻习近平总书记对四川工作系列重要指示精神，全面落实中央、省委、市委经济工作会议部署及全国、全省、全市两会精神，聚焦《四川省人民政府办公厅印发关于进一步推动经济运行回升向好的若干政策措施的通知》（川办规〔2025〕3号）、《遂宁市人民政府办公室印发关于进一步推动经济回升向好的若干措施的通知》（遂府办规〔2025〕4号）文件要求，结合蓬溪县实际，围绕提振消费、促进产业发展，制定以下政策措施：</w:t>
      </w:r>
    </w:p>
    <w:p w14:paraId="737A87A1">
      <w:pPr>
        <w:spacing w:line="576" w:lineRule="exact"/>
        <w:ind w:firstLine="640" w:firstLineChars="200"/>
        <w:rPr>
          <w:rFonts w:ascii="黑体" w:hAnsi="黑体" w:eastAsia="黑体" w:cs="黑体"/>
          <w:b w:val="0"/>
          <w:bCs w:val="0"/>
          <w:kern w:val="0"/>
          <w:szCs w:val="32"/>
          <w:shd w:val="clear" w:color="auto" w:fill="FFFFFF"/>
        </w:rPr>
      </w:pPr>
      <w:r>
        <w:rPr>
          <w:rFonts w:hint="eastAsia" w:ascii="黑体" w:hAnsi="黑体" w:eastAsia="黑体" w:cs="黑体"/>
          <w:b w:val="0"/>
          <w:bCs w:val="0"/>
          <w:kern w:val="0"/>
          <w:szCs w:val="32"/>
          <w:shd w:val="clear" w:color="auto" w:fill="FFFFFF"/>
        </w:rPr>
        <w:t>一、实施购房补贴</w:t>
      </w:r>
    </w:p>
    <w:p w14:paraId="1123FFF2">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1.时间范围：2025年7月1日—2027年12月31日</w:t>
      </w:r>
    </w:p>
    <w:p w14:paraId="4261864F">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2.补贴标准</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主城区（赤城镇、普安街道）购买新建商品住房</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建筑面积80㎡以下</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补贴6000元/套；80-100㎡（含）</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补贴8000元/套；100㎡以上</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补贴10000元/套(经开区金桥片区按照主城区50%标准执行）;</w:t>
      </w:r>
      <w:r>
        <w:rPr>
          <w:rFonts w:hint="eastAsia" w:ascii="仿宋_GB2312" w:hAnsi="仿宋_GB2312" w:cs="仿宋_GB2312"/>
          <w:b w:val="0"/>
          <w:bCs w:val="0"/>
          <w:szCs w:val="32"/>
          <w:lang w:val="en-US" w:eastAsia="zh-CN"/>
        </w:rPr>
        <w:t>购买新建地下车位的</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每个地下车位给予合同价款5%的现金补贴。</w:t>
      </w:r>
    </w:p>
    <w:p w14:paraId="6E2F881D">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3.特殊群体叠加补贴：二孩/三孩家庭、B1类人才、现役/退役军人、教师、医护工作者、农民工、蓬溪农村户籍人员、毕业5年内大学生，按建筑面积再给予50元/㎡补贴，每套最高不超过6000元（不重复享受）。</w:t>
      </w:r>
    </w:p>
    <w:p w14:paraId="66EB468B">
      <w:pPr>
        <w:spacing w:line="576" w:lineRule="exact"/>
        <w:ind w:firstLine="480" w:firstLineChars="150"/>
        <w:rPr>
          <w:rFonts w:ascii="仿宋_GB2312" w:hAnsi="仿宋_GB2312" w:cs="仿宋_GB2312"/>
          <w:b w:val="0"/>
          <w:bCs w:val="0"/>
          <w:szCs w:val="32"/>
        </w:rPr>
      </w:pPr>
      <w:r>
        <w:rPr>
          <w:rFonts w:hint="eastAsia" w:ascii="仿宋_GB2312" w:hAnsi="仿宋_GB2312" w:cs="仿宋_GB2312"/>
          <w:b w:val="0"/>
          <w:bCs w:val="0"/>
          <w:szCs w:val="32"/>
        </w:rPr>
        <w:t>责任单位：县住房城乡建设局、县自然资源</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规划局、县财政局</w:t>
      </w:r>
    </w:p>
    <w:p w14:paraId="45545D97">
      <w:pPr>
        <w:spacing w:line="576" w:lineRule="exact"/>
        <w:ind w:firstLine="640" w:firstLineChars="200"/>
        <w:rPr>
          <w:rFonts w:ascii="黑体" w:hAnsi="黑体" w:eastAsia="黑体"/>
          <w:b w:val="0"/>
          <w:bCs w:val="0"/>
          <w:kern w:val="0"/>
          <w:szCs w:val="32"/>
          <w:shd w:val="clear" w:color="auto" w:fill="FFFFFF"/>
        </w:rPr>
      </w:pPr>
      <w:r>
        <w:rPr>
          <w:rFonts w:hint="eastAsia" w:ascii="黑体" w:hAnsi="黑体" w:eastAsia="黑体"/>
          <w:b w:val="0"/>
          <w:bCs w:val="0"/>
          <w:kern w:val="0"/>
          <w:szCs w:val="32"/>
          <w:shd w:val="clear" w:color="auto" w:fill="FFFFFF"/>
        </w:rPr>
        <w:t>二、房地产新项目开工建设激励</w:t>
      </w:r>
    </w:p>
    <w:p w14:paraId="6C64D541">
      <w:pPr>
        <w:spacing w:line="576" w:lineRule="exact"/>
        <w:ind w:firstLine="640" w:firstLineChars="200"/>
        <w:rPr>
          <w:rFonts w:ascii="仿宋_GB2312" w:hAnsi="仿宋_GB2312" w:cs="仿宋_GB2312"/>
          <w:b w:val="0"/>
          <w:bCs w:val="0"/>
          <w:kern w:val="0"/>
          <w:szCs w:val="32"/>
          <w:shd w:val="clear" w:color="auto" w:fill="FFFFFF"/>
        </w:rPr>
      </w:pPr>
      <w:r>
        <w:rPr>
          <w:rFonts w:hint="eastAsia" w:ascii="仿宋_GB2312" w:hAnsi="仿宋_GB2312" w:cs="仿宋_GB2312"/>
          <w:b w:val="0"/>
          <w:bCs w:val="0"/>
          <w:kern w:val="0"/>
          <w:szCs w:val="32"/>
          <w:shd w:val="clear" w:color="auto" w:fill="FFFFFF"/>
        </w:rPr>
        <w:t>1.时间范围：2025年7月1日—2027年12月31日</w:t>
      </w:r>
    </w:p>
    <w:p w14:paraId="242D5624">
      <w:pPr>
        <w:spacing w:line="576" w:lineRule="exact"/>
        <w:ind w:firstLine="640" w:firstLineChars="200"/>
        <w:rPr>
          <w:rFonts w:ascii="仿宋_GB2312" w:hAnsi="仿宋_GB2312" w:cs="仿宋_GB2312"/>
          <w:b w:val="0"/>
          <w:bCs w:val="0"/>
          <w:kern w:val="0"/>
          <w:szCs w:val="32"/>
          <w:shd w:val="clear" w:color="auto" w:fill="FFFFFF"/>
        </w:rPr>
      </w:pPr>
      <w:r>
        <w:rPr>
          <w:rFonts w:hint="eastAsia" w:ascii="仿宋_GB2312" w:hAnsi="仿宋_GB2312" w:cs="仿宋_GB2312"/>
          <w:b w:val="0"/>
          <w:bCs w:val="0"/>
          <w:kern w:val="0"/>
          <w:szCs w:val="32"/>
          <w:shd w:val="clear" w:color="auto" w:fill="FFFFFF"/>
        </w:rPr>
        <w:t>2.奖励标准：新拍卖商业、居住用地项目，自土地出让合同签订之日起6个月内取得施工许可并实质性开工</w:t>
      </w:r>
      <w:r>
        <w:rPr>
          <w:rFonts w:hint="eastAsia" w:ascii="仿宋_GB2312" w:hAnsi="仿宋_GB2312" w:cs="仿宋_GB2312"/>
          <w:b w:val="0"/>
          <w:bCs w:val="0"/>
          <w:kern w:val="0"/>
          <w:szCs w:val="32"/>
          <w:shd w:val="clear" w:color="auto" w:fill="FFFFFF"/>
          <w:lang w:eastAsia="zh-CN"/>
        </w:rPr>
        <w:t>，</w:t>
      </w:r>
      <w:r>
        <w:rPr>
          <w:rFonts w:hint="eastAsia" w:ascii="仿宋_GB2312" w:hAnsi="仿宋_GB2312" w:cs="仿宋_GB2312"/>
          <w:b w:val="0"/>
          <w:bCs w:val="0"/>
          <w:kern w:val="0"/>
          <w:szCs w:val="32"/>
          <w:shd w:val="clear" w:color="auto" w:fill="FFFFFF"/>
        </w:rPr>
        <w:t>土地规模＜50亩</w:t>
      </w:r>
      <w:r>
        <w:rPr>
          <w:rFonts w:hint="eastAsia" w:ascii="仿宋_GB2312" w:hAnsi="仿宋_GB2312" w:cs="仿宋_GB2312"/>
          <w:b w:val="0"/>
          <w:bCs w:val="0"/>
          <w:kern w:val="0"/>
          <w:szCs w:val="32"/>
          <w:shd w:val="clear" w:color="auto" w:fill="FFFFFF"/>
          <w:lang w:eastAsia="zh-CN"/>
        </w:rPr>
        <w:t>，</w:t>
      </w:r>
      <w:r>
        <w:rPr>
          <w:rFonts w:hint="eastAsia" w:ascii="仿宋_GB2312" w:hAnsi="仿宋_GB2312" w:cs="仿宋_GB2312"/>
          <w:b w:val="0"/>
          <w:bCs w:val="0"/>
          <w:kern w:val="0"/>
          <w:szCs w:val="32"/>
          <w:shd w:val="clear" w:color="auto" w:fill="FFFFFF"/>
        </w:rPr>
        <w:t>奖励10万元；50亩≤土地规模＜100亩</w:t>
      </w:r>
      <w:r>
        <w:rPr>
          <w:rFonts w:hint="eastAsia" w:ascii="仿宋_GB2312" w:hAnsi="仿宋_GB2312" w:cs="仿宋_GB2312"/>
          <w:b w:val="0"/>
          <w:bCs w:val="0"/>
          <w:kern w:val="0"/>
          <w:szCs w:val="32"/>
          <w:shd w:val="clear" w:color="auto" w:fill="FFFFFF"/>
          <w:lang w:eastAsia="zh-CN"/>
        </w:rPr>
        <w:t>，</w:t>
      </w:r>
      <w:r>
        <w:rPr>
          <w:rFonts w:hint="eastAsia" w:ascii="仿宋_GB2312" w:hAnsi="仿宋_GB2312" w:cs="仿宋_GB2312"/>
          <w:b w:val="0"/>
          <w:bCs w:val="0"/>
          <w:kern w:val="0"/>
          <w:szCs w:val="32"/>
          <w:shd w:val="clear" w:color="auto" w:fill="FFFFFF"/>
        </w:rPr>
        <w:t>奖励20万元；土地规模≥100亩</w:t>
      </w:r>
      <w:r>
        <w:rPr>
          <w:rFonts w:hint="eastAsia" w:ascii="仿宋_GB2312" w:hAnsi="仿宋_GB2312" w:cs="仿宋_GB2312"/>
          <w:b w:val="0"/>
          <w:bCs w:val="0"/>
          <w:kern w:val="0"/>
          <w:szCs w:val="32"/>
          <w:shd w:val="clear" w:color="auto" w:fill="FFFFFF"/>
          <w:lang w:eastAsia="zh-CN"/>
        </w:rPr>
        <w:t>，</w:t>
      </w:r>
      <w:r>
        <w:rPr>
          <w:rFonts w:hint="eastAsia" w:ascii="仿宋_GB2312" w:hAnsi="仿宋_GB2312" w:cs="仿宋_GB2312"/>
          <w:b w:val="0"/>
          <w:bCs w:val="0"/>
          <w:kern w:val="0"/>
          <w:szCs w:val="32"/>
          <w:shd w:val="clear" w:color="auto" w:fill="FFFFFF"/>
        </w:rPr>
        <w:t>奖励30万元</w:t>
      </w:r>
      <w:r>
        <w:rPr>
          <w:rFonts w:hint="eastAsia" w:ascii="仿宋_GB2312" w:hAnsi="仿宋_GB2312" w:cs="仿宋_GB2312"/>
          <w:b w:val="0"/>
          <w:bCs w:val="0"/>
          <w:szCs w:val="32"/>
        </w:rPr>
        <w:t>(经开区金桥片区按照主城区50%标准执行）</w:t>
      </w:r>
      <w:r>
        <w:rPr>
          <w:rFonts w:hint="eastAsia" w:ascii="仿宋_GB2312" w:hAnsi="仿宋_GB2312" w:cs="仿宋_GB2312"/>
          <w:b w:val="0"/>
          <w:bCs w:val="0"/>
          <w:kern w:val="0"/>
          <w:szCs w:val="32"/>
          <w:shd w:val="clear" w:color="auto" w:fill="FFFFFF"/>
        </w:rPr>
        <w:t>。</w:t>
      </w:r>
    </w:p>
    <w:p w14:paraId="0FDCD91C">
      <w:pPr>
        <w:spacing w:line="576" w:lineRule="exact"/>
        <w:ind w:firstLine="640" w:firstLineChars="200"/>
        <w:rPr>
          <w:rFonts w:ascii="仿宋_GB2312" w:hAnsi="仿宋_GB2312" w:cs="仿宋_GB2312"/>
          <w:b w:val="0"/>
          <w:bCs w:val="0"/>
          <w:kern w:val="0"/>
          <w:szCs w:val="32"/>
          <w:shd w:val="clear" w:color="auto" w:fill="FFFFFF"/>
        </w:rPr>
      </w:pPr>
      <w:r>
        <w:rPr>
          <w:rFonts w:hint="eastAsia" w:ascii="仿宋_GB2312" w:hAnsi="仿宋_GB2312" w:cs="仿宋_GB2312"/>
          <w:b w:val="0"/>
          <w:bCs w:val="0"/>
          <w:kern w:val="0"/>
          <w:szCs w:val="32"/>
          <w:shd w:val="clear" w:color="auto" w:fill="FFFFFF"/>
        </w:rPr>
        <w:t>责任单位：</w:t>
      </w:r>
      <w:r>
        <w:rPr>
          <w:rFonts w:hint="eastAsia" w:ascii="仿宋_GB2312" w:hAnsi="仿宋_GB2312" w:cs="仿宋_GB2312"/>
          <w:b w:val="0"/>
          <w:bCs w:val="0"/>
          <w:szCs w:val="32"/>
        </w:rPr>
        <w:t>县住房城乡建设局</w:t>
      </w:r>
      <w:r>
        <w:rPr>
          <w:rFonts w:hint="eastAsia" w:ascii="仿宋_GB2312" w:hAnsi="仿宋_GB2312" w:cs="仿宋_GB2312"/>
          <w:b w:val="0"/>
          <w:bCs w:val="0"/>
          <w:kern w:val="0"/>
          <w:szCs w:val="32"/>
          <w:shd w:val="clear" w:color="auto" w:fill="FFFFFF"/>
        </w:rPr>
        <w:t>、</w:t>
      </w:r>
      <w:r>
        <w:rPr>
          <w:rFonts w:hint="eastAsia" w:ascii="仿宋_GB2312" w:hAnsi="仿宋_GB2312" w:cs="仿宋_GB2312"/>
          <w:b w:val="0"/>
          <w:bCs w:val="0"/>
          <w:szCs w:val="32"/>
        </w:rPr>
        <w:t>县自然资源和规划局、</w:t>
      </w:r>
      <w:r>
        <w:rPr>
          <w:rFonts w:hint="eastAsia" w:ascii="仿宋_GB2312" w:hAnsi="仿宋_GB2312" w:cs="仿宋_GB2312"/>
          <w:b w:val="0"/>
          <w:bCs w:val="0"/>
          <w:kern w:val="0"/>
          <w:szCs w:val="32"/>
          <w:shd w:val="clear" w:color="auto" w:fill="FFFFFF"/>
        </w:rPr>
        <w:t>县财政局</w:t>
      </w:r>
    </w:p>
    <w:p w14:paraId="00A776CD">
      <w:pPr>
        <w:spacing w:line="576" w:lineRule="exact"/>
        <w:ind w:firstLine="640" w:firstLineChars="200"/>
        <w:jc w:val="left"/>
        <w:rPr>
          <w:rFonts w:ascii="黑体" w:hAnsi="黑体" w:eastAsia="黑体"/>
          <w:b w:val="0"/>
          <w:bCs w:val="0"/>
          <w:szCs w:val="32"/>
        </w:rPr>
      </w:pPr>
      <w:r>
        <w:rPr>
          <w:rFonts w:hint="eastAsia" w:ascii="黑体" w:hAnsi="黑体" w:eastAsia="黑体"/>
          <w:b w:val="0"/>
          <w:bCs w:val="0"/>
          <w:szCs w:val="32"/>
        </w:rPr>
        <w:t>三、实施品牌演艺活动激励</w:t>
      </w:r>
    </w:p>
    <w:p w14:paraId="57AC6464">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64B57FE9">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2.奖励标准：在县城区大型户外场地举办演艺活动，累计售票超1万人次且市外观众≥30%</w:t>
      </w:r>
      <w:r>
        <w:rPr>
          <w:rFonts w:hint="eastAsia" w:ascii="仿宋_GB2312" w:hAnsi="仿宋_GB2312" w:cs="仿宋_GB2312"/>
          <w:b w:val="0"/>
          <w:bCs w:val="0"/>
          <w:szCs w:val="32"/>
          <w:lang w:val="en-US" w:eastAsia="zh-CN"/>
        </w:rPr>
        <w:t>的</w:t>
      </w:r>
      <w:r>
        <w:rPr>
          <w:rFonts w:hint="eastAsia" w:ascii="仿宋_GB2312" w:hAnsi="仿宋_GB2312" w:cs="仿宋_GB2312"/>
          <w:b w:val="0"/>
          <w:bCs w:val="0"/>
          <w:szCs w:val="32"/>
        </w:rPr>
        <w:t>奖励20万元，每增加1000人次</w:t>
      </w:r>
      <w:r>
        <w:rPr>
          <w:rFonts w:hint="eastAsia" w:ascii="仿宋_GB2312" w:hAnsi="仿宋_GB2312" w:cs="仿宋_GB2312"/>
          <w:b w:val="0"/>
          <w:bCs w:val="0"/>
          <w:szCs w:val="32"/>
          <w:lang w:val="en-US" w:eastAsia="zh-CN"/>
        </w:rPr>
        <w:t>奖励</w:t>
      </w:r>
      <w:r>
        <w:rPr>
          <w:rFonts w:hint="eastAsia" w:ascii="仿宋_GB2312" w:hAnsi="仿宋_GB2312" w:cs="仿宋_GB2312"/>
          <w:b w:val="0"/>
          <w:bCs w:val="0"/>
          <w:szCs w:val="32"/>
        </w:rPr>
        <w:t>递增2万元，最高不超过100万元。</w:t>
      </w:r>
    </w:p>
    <w:p w14:paraId="32D4C1E8">
      <w:pPr>
        <w:spacing w:line="576" w:lineRule="exact"/>
        <w:ind w:firstLine="320" w:firstLineChars="100"/>
        <w:jc w:val="left"/>
        <w:rPr>
          <w:rFonts w:ascii="仿宋_GB2312" w:hAnsi="仿宋_GB2312" w:cs="仿宋_GB2312"/>
          <w:b w:val="0"/>
          <w:bCs w:val="0"/>
          <w:szCs w:val="32"/>
        </w:rPr>
      </w:pPr>
      <w:r>
        <w:rPr>
          <w:rFonts w:hint="eastAsia" w:ascii="仿宋_GB2312" w:hAnsi="仿宋_GB2312" w:cs="仿宋_GB2312"/>
          <w:b w:val="0"/>
          <w:bCs w:val="0"/>
          <w:szCs w:val="32"/>
        </w:rPr>
        <w:t>责任单位：县文化广电体育旅游局、县财政局</w:t>
      </w:r>
    </w:p>
    <w:p w14:paraId="57F02D4D">
      <w:pPr>
        <w:spacing w:line="576" w:lineRule="exact"/>
        <w:ind w:firstLine="640" w:firstLineChars="200"/>
        <w:jc w:val="left"/>
        <w:rPr>
          <w:rFonts w:ascii="黑体" w:hAnsi="黑体" w:eastAsia="黑体"/>
          <w:b w:val="0"/>
          <w:bCs w:val="0"/>
          <w:szCs w:val="32"/>
        </w:rPr>
      </w:pPr>
      <w:r>
        <w:rPr>
          <w:rFonts w:hint="eastAsia" w:ascii="黑体" w:hAnsi="黑体" w:eastAsia="黑体"/>
          <w:b w:val="0"/>
          <w:bCs w:val="0"/>
          <w:szCs w:val="32"/>
        </w:rPr>
        <w:t>四、实施旅游宣传营销激励</w:t>
      </w:r>
    </w:p>
    <w:p w14:paraId="159E2449">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76191E43">
      <w:pPr>
        <w:spacing w:line="576" w:lineRule="exact"/>
        <w:ind w:firstLine="640" w:firstLineChars="200"/>
        <w:jc w:val="left"/>
        <w:rPr>
          <w:rFonts w:ascii="仿宋_GB2312"/>
          <w:b w:val="0"/>
          <w:bCs w:val="0"/>
          <w:szCs w:val="32"/>
        </w:rPr>
      </w:pPr>
      <w:r>
        <w:rPr>
          <w:rFonts w:hint="eastAsia" w:ascii="仿宋_GB2312" w:hAnsi="仿宋_GB2312" w:cs="仿宋_GB2312"/>
          <w:b w:val="0"/>
          <w:bCs w:val="0"/>
          <w:szCs w:val="32"/>
        </w:rPr>
        <w:t>2.奖励标准：</w:t>
      </w:r>
      <w:r>
        <w:rPr>
          <w:rFonts w:hint="eastAsia" w:ascii="仿宋_GB2312"/>
          <w:b w:val="0"/>
          <w:bCs w:val="0"/>
          <w:szCs w:val="32"/>
        </w:rPr>
        <w:t>以自驾游形式组织游客到蓬溪旅游的旅行社，单次规模车辆达4辆(含)以上且单次人数在20人(含)以上游客团，按40元/人给予奖励。单个旅行社年度奖励金额总计不超过30万。</w:t>
      </w:r>
    </w:p>
    <w:p w14:paraId="3E5CC15C">
      <w:pPr>
        <w:spacing w:line="576" w:lineRule="exact"/>
        <w:ind w:firstLine="640" w:firstLineChars="200"/>
        <w:jc w:val="left"/>
        <w:rPr>
          <w:rFonts w:ascii="黑体" w:hAnsi="黑体" w:eastAsia="黑体"/>
          <w:b w:val="0"/>
          <w:bCs w:val="0"/>
          <w:szCs w:val="32"/>
        </w:rPr>
      </w:pPr>
      <w:r>
        <w:rPr>
          <w:rFonts w:hint="eastAsia" w:ascii="黑体" w:hAnsi="黑体" w:eastAsia="黑体"/>
          <w:b w:val="0"/>
          <w:bCs w:val="0"/>
          <w:szCs w:val="32"/>
        </w:rPr>
        <w:t>五、实施旅游品牌建设激励</w:t>
      </w:r>
    </w:p>
    <w:p w14:paraId="46D4B749">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0DB8F1B2">
      <w:pPr>
        <w:spacing w:line="576" w:lineRule="exact"/>
        <w:ind w:firstLine="640" w:firstLineChars="200"/>
        <w:jc w:val="left"/>
        <w:rPr>
          <w:rFonts w:ascii="仿宋_GB2312" w:hAnsi="仿宋_GB2312" w:cs="仿宋_GB2312"/>
          <w:b w:val="0"/>
          <w:bCs w:val="0"/>
          <w:szCs w:val="32"/>
        </w:rPr>
      </w:pPr>
      <w:r>
        <w:rPr>
          <w:rFonts w:hint="eastAsia" w:ascii="仿宋_GB2312" w:hAnsi="仿宋_GB2312" w:cs="仿宋_GB2312"/>
          <w:b w:val="0"/>
          <w:bCs w:val="0"/>
          <w:szCs w:val="32"/>
        </w:rPr>
        <w:t>2.奖励标准：新评定为国家4A级及以上旅游景区或省级旅游度假区奖励100万元；新评定为国家3A级旅游景区奖励30万元。</w:t>
      </w:r>
    </w:p>
    <w:p w14:paraId="7DF0FDB3">
      <w:pPr>
        <w:spacing w:line="576" w:lineRule="exact"/>
        <w:ind w:firstLine="480" w:firstLineChars="150"/>
        <w:jc w:val="left"/>
        <w:rPr>
          <w:rFonts w:ascii="仿宋_GB2312"/>
          <w:b w:val="0"/>
          <w:bCs w:val="0"/>
          <w:szCs w:val="32"/>
        </w:rPr>
      </w:pPr>
      <w:r>
        <w:rPr>
          <w:rFonts w:hint="eastAsia" w:ascii="仿宋_GB2312" w:hAnsi="仿宋_GB2312" w:cs="仿宋_GB2312"/>
          <w:b w:val="0"/>
          <w:bCs w:val="0"/>
          <w:szCs w:val="32"/>
        </w:rPr>
        <w:t>责任单位：县文化广电体育旅游局、县财政局</w:t>
      </w:r>
    </w:p>
    <w:p w14:paraId="628BC90A">
      <w:pPr>
        <w:spacing w:line="576" w:lineRule="exact"/>
        <w:ind w:firstLine="640" w:firstLineChars="200"/>
        <w:rPr>
          <w:rFonts w:ascii="黑体" w:hAnsi="黑体" w:eastAsia="黑体"/>
          <w:b w:val="0"/>
          <w:bCs w:val="0"/>
          <w:szCs w:val="32"/>
        </w:rPr>
      </w:pPr>
      <w:r>
        <w:rPr>
          <w:rFonts w:hint="eastAsia" w:ascii="黑体" w:hAnsi="黑体" w:eastAsia="黑体"/>
          <w:b w:val="0"/>
          <w:bCs w:val="0"/>
          <w:szCs w:val="32"/>
        </w:rPr>
        <w:t>六、实施体育赛事活动激励</w:t>
      </w:r>
    </w:p>
    <w:p w14:paraId="5B4F7BC4">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327CD5C4">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2.奖励标准：市场主体或社会组织自筹经费举办国际/国内高水平体育赛事，参赛及观赛人数（按门票核算）2000—4000人奖励5万元；4001—6000人奖励8万元；6001—8000人奖励10万元；每增加2000人递增2万元，单个赛事最高奖励20万元。</w:t>
      </w:r>
    </w:p>
    <w:p w14:paraId="66BB9056">
      <w:pPr>
        <w:spacing w:line="576" w:lineRule="exact"/>
        <w:ind w:firstLine="640" w:firstLineChars="200"/>
        <w:rPr>
          <w:rFonts w:ascii="仿宋_GB2312"/>
          <w:b w:val="0"/>
          <w:bCs w:val="0"/>
          <w:szCs w:val="32"/>
        </w:rPr>
      </w:pPr>
      <w:r>
        <w:rPr>
          <w:rFonts w:hint="eastAsia" w:ascii="仿宋_GB2312" w:hAnsi="仿宋_GB2312" w:cs="仿宋_GB2312"/>
          <w:b w:val="0"/>
          <w:bCs w:val="0"/>
          <w:szCs w:val="32"/>
        </w:rPr>
        <w:t>责任单位：县文化广电体育旅游局、县财政局</w:t>
      </w:r>
    </w:p>
    <w:p w14:paraId="5EDAB375">
      <w:pPr>
        <w:spacing w:line="576" w:lineRule="exact"/>
        <w:ind w:firstLine="640" w:firstLineChars="200"/>
        <w:rPr>
          <w:rFonts w:ascii="黑体" w:hAnsi="黑体" w:eastAsia="黑体" w:cs="黑体"/>
          <w:b w:val="0"/>
          <w:bCs w:val="0"/>
          <w:szCs w:val="32"/>
        </w:rPr>
      </w:pPr>
      <w:r>
        <w:rPr>
          <w:rFonts w:hint="eastAsia" w:ascii="黑体" w:hAnsi="黑体" w:eastAsia="黑体" w:cs="黑体"/>
          <w:b w:val="0"/>
          <w:bCs w:val="0"/>
          <w:szCs w:val="32"/>
        </w:rPr>
        <w:t>七、实施工业企业生产规模增长激励</w:t>
      </w:r>
    </w:p>
    <w:p w14:paraId="03654161">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1.时间范围：2025年7月1日—2025年12月31日</w:t>
      </w:r>
    </w:p>
    <w:p w14:paraId="6E0FA723">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2.奖励标准：大型企业（2024年产值≥5亿元）</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产值增长10%—20%奖励5万元；产值增长＞20%奖励10万元。中小型企业（2024年产值1亿元—5亿元）</w:t>
      </w:r>
      <w:r>
        <w:rPr>
          <w:rFonts w:hint="eastAsia" w:ascii="仿宋_GB2312" w:hAnsi="仿宋_GB2312" w:cs="仿宋_GB2312"/>
          <w:b w:val="0"/>
          <w:bCs w:val="0"/>
          <w:szCs w:val="32"/>
          <w:lang w:eastAsia="zh-CN"/>
        </w:rPr>
        <w:t>，</w:t>
      </w:r>
      <w:r>
        <w:rPr>
          <w:rFonts w:hint="eastAsia" w:ascii="仿宋_GB2312" w:hAnsi="仿宋_GB2312" w:cs="仿宋_GB2312"/>
          <w:b w:val="0"/>
          <w:bCs w:val="0"/>
          <w:szCs w:val="32"/>
        </w:rPr>
        <w:t>产值增长15%—25%奖励3万元；产值增长＞25%奖励5万元。</w:t>
      </w:r>
    </w:p>
    <w:p w14:paraId="2C4F3D2C">
      <w:pPr>
        <w:spacing w:line="576" w:lineRule="exact"/>
        <w:ind w:firstLine="320" w:firstLineChars="1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4534FE33">
      <w:pPr>
        <w:spacing w:line="576" w:lineRule="exact"/>
        <w:ind w:firstLine="640" w:firstLineChars="200"/>
        <w:rPr>
          <w:rFonts w:ascii="黑体" w:hAnsi="黑体" w:eastAsia="黑体" w:cs="黑体"/>
          <w:b w:val="0"/>
          <w:bCs w:val="0"/>
          <w:szCs w:val="32"/>
        </w:rPr>
      </w:pPr>
      <w:r>
        <w:rPr>
          <w:rFonts w:hint="eastAsia" w:ascii="黑体" w:hAnsi="黑体" w:eastAsia="黑体" w:cs="黑体"/>
          <w:b w:val="0"/>
          <w:bCs w:val="0"/>
          <w:szCs w:val="32"/>
        </w:rPr>
        <w:t>八、实施工业企业兼并重组激励</w:t>
      </w:r>
    </w:p>
    <w:p w14:paraId="29FB521A">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7D15BA7C">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鼓励企业对停产半停产、低效闲置厂房采取兼并重组、并购等方式盘活企业资产，在政策期间完成交易的，按成交额的2%进行补助，单个企业最高补助金额不超过50万元</w:t>
      </w:r>
    </w:p>
    <w:p w14:paraId="0F5DC507">
      <w:pPr>
        <w:spacing w:line="576" w:lineRule="exact"/>
        <w:ind w:firstLine="640" w:firstLineChars="200"/>
        <w:rPr>
          <w:rFonts w:ascii="仿宋_GB2312" w:hAnsi="黑体"/>
          <w:b w:val="0"/>
          <w:bCs w:val="0"/>
          <w:szCs w:val="32"/>
        </w:rPr>
      </w:pPr>
      <w:r>
        <w:rPr>
          <w:rFonts w:hint="eastAsia" w:ascii="仿宋_GB2312" w:hAnsi="黑体"/>
          <w:b w:val="0"/>
          <w:bCs w:val="0"/>
          <w:szCs w:val="32"/>
        </w:rPr>
        <w:t>责任单位：县经科局、县财政局。</w:t>
      </w:r>
    </w:p>
    <w:p w14:paraId="2FB372FD">
      <w:pPr>
        <w:numPr>
          <w:ilvl w:val="0"/>
          <w:numId w:val="1"/>
        </w:numPr>
        <w:spacing w:line="576" w:lineRule="exact"/>
        <w:ind w:firstLine="640" w:firstLineChars="200"/>
        <w:rPr>
          <w:rFonts w:ascii="黑体" w:hAnsi="黑体" w:eastAsia="黑体" w:cs="黑体"/>
          <w:b w:val="0"/>
          <w:bCs w:val="0"/>
          <w:szCs w:val="32"/>
        </w:rPr>
      </w:pPr>
      <w:r>
        <w:rPr>
          <w:rFonts w:hint="eastAsia" w:ascii="黑体" w:hAnsi="黑体" w:eastAsia="黑体" w:cs="黑体"/>
          <w:b w:val="0"/>
          <w:bCs w:val="0"/>
          <w:szCs w:val="32"/>
        </w:rPr>
        <w:t>实施工业企业设备更新激励</w:t>
      </w:r>
    </w:p>
    <w:p w14:paraId="03BA7706">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79F6D154">
      <w:pPr>
        <w:spacing w:line="576" w:lineRule="exact"/>
        <w:ind w:firstLine="640" w:firstLineChars="200"/>
        <w:rPr>
          <w:rFonts w:ascii="仿宋_GB2312" w:hAnsi="仿宋_GB2312" w:cs="仿宋_GB2312"/>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鼓励企业对落后生产设备进行技改升级、设备更新、智能化改造、数字化转型，按设备投入金额的5%进行补助，单个企业最高补助金额不超过100万元，（同一项目不重复享受政策）。</w:t>
      </w:r>
    </w:p>
    <w:p w14:paraId="4063C189">
      <w:pPr>
        <w:spacing w:line="576" w:lineRule="exact"/>
        <w:ind w:firstLine="640" w:firstLine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1E930462">
      <w:pPr>
        <w:spacing w:line="576" w:lineRule="exact"/>
        <w:ind w:left="640" w:leftChars="200" w:firstLine="160" w:firstLineChars="50"/>
        <w:rPr>
          <w:rFonts w:ascii="黑体" w:hAnsi="黑体" w:eastAsia="黑体" w:cs="黑体"/>
          <w:b w:val="0"/>
          <w:bCs w:val="0"/>
          <w:szCs w:val="32"/>
        </w:rPr>
      </w:pPr>
      <w:r>
        <w:rPr>
          <w:rFonts w:hint="eastAsia" w:ascii="黑体" w:hAnsi="黑体" w:eastAsia="黑体" w:cs="黑体"/>
          <w:b w:val="0"/>
          <w:bCs w:val="0"/>
          <w:szCs w:val="32"/>
        </w:rPr>
        <w:t>十、实施科技服务业增长激励</w:t>
      </w:r>
    </w:p>
    <w:p w14:paraId="12B3ADA7">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508C4474">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2.奖励标准：注册地为</w:t>
      </w:r>
      <w:r>
        <w:rPr>
          <w:rFonts w:hint="eastAsia" w:ascii="仿宋_GB2312" w:hAnsi="仿宋_GB2312" w:cs="仿宋_GB2312"/>
          <w:b w:val="0"/>
          <w:bCs w:val="0"/>
          <w:szCs w:val="32"/>
        </w:rPr>
        <w:t>蓬溪的规模以上科技服务业主营业务收入增速达5%以上，按照企业实际营业收入总量的5‰给予奖励，单个企业不超过20万元激励。</w:t>
      </w:r>
    </w:p>
    <w:p w14:paraId="34AB83FA">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3DE3266A">
      <w:pPr>
        <w:spacing w:line="576" w:lineRule="exact"/>
        <w:ind w:left="640" w:leftChars="200" w:firstLine="160" w:firstLineChars="50"/>
        <w:rPr>
          <w:rFonts w:ascii="黑体" w:hAnsi="黑体" w:eastAsia="黑体" w:cs="黑体"/>
          <w:b w:val="0"/>
          <w:bCs w:val="0"/>
          <w:szCs w:val="32"/>
        </w:rPr>
      </w:pPr>
      <w:r>
        <w:rPr>
          <w:rFonts w:hint="eastAsia" w:ascii="黑体" w:hAnsi="黑体" w:eastAsia="黑体" w:cs="黑体"/>
          <w:b w:val="0"/>
          <w:bCs w:val="0"/>
          <w:szCs w:val="32"/>
        </w:rPr>
        <w:t>十一、实施中试研发平台服务收入激励</w:t>
      </w:r>
    </w:p>
    <w:p w14:paraId="590CAD71">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4C3AF124">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对市级以上中试研发平台按中试服务性收入的5%给予运营主体支持，单个平台最高不超过30万元激励。</w:t>
      </w:r>
    </w:p>
    <w:p w14:paraId="05241616">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29200B8D">
      <w:pPr>
        <w:spacing w:line="576" w:lineRule="exact"/>
        <w:ind w:left="640" w:leftChars="200"/>
        <w:rPr>
          <w:rFonts w:ascii="黑体" w:hAnsi="黑体" w:eastAsia="黑体" w:cs="黑体"/>
          <w:b w:val="0"/>
          <w:bCs w:val="0"/>
          <w:szCs w:val="32"/>
        </w:rPr>
      </w:pPr>
      <w:r>
        <w:rPr>
          <w:rFonts w:hint="eastAsia" w:ascii="黑体" w:hAnsi="黑体" w:eastAsia="黑体" w:cs="黑体"/>
          <w:b w:val="0"/>
          <w:bCs w:val="0"/>
          <w:szCs w:val="32"/>
        </w:rPr>
        <w:t>十二、实施技术合同登记额激励</w:t>
      </w:r>
    </w:p>
    <w:p w14:paraId="42652D35">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1D117375">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对新实施技术交易合同认定登记的企业，按照在“全国技术合同认定登记系统”登记的技术成交额的5‰给予奖励，单个企业最高不超过10万元。</w:t>
      </w:r>
    </w:p>
    <w:p w14:paraId="64648F30">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748D8508">
      <w:pPr>
        <w:spacing w:line="576" w:lineRule="exact"/>
        <w:ind w:firstLine="640" w:firstLineChars="200"/>
        <w:rPr>
          <w:rFonts w:ascii="黑体" w:hAnsi="黑体" w:eastAsia="黑体" w:cs="黑体"/>
          <w:b w:val="0"/>
          <w:bCs w:val="0"/>
          <w:szCs w:val="32"/>
        </w:rPr>
      </w:pPr>
      <w:r>
        <w:rPr>
          <w:rFonts w:hint="eastAsia" w:ascii="黑体" w:hAnsi="黑体" w:eastAsia="黑体" w:cs="黑体"/>
          <w:b w:val="0"/>
          <w:bCs w:val="0"/>
          <w:szCs w:val="32"/>
        </w:rPr>
        <w:t>十三、实施重点工业项目竣工激励</w:t>
      </w:r>
    </w:p>
    <w:p w14:paraId="206B6C88">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5FEBF07E">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新建成投产且新增生产规模500万元以上的蓬溪县重点项目中的工业项目，县财政按核定项目设备（含软件）投资的5%给予激励，单个项目最高不超过50万元。</w:t>
      </w:r>
    </w:p>
    <w:p w14:paraId="2E494039">
      <w:pPr>
        <w:spacing w:line="576" w:lineRule="exact"/>
        <w:ind w:firstLine="640" w:firstLineChars="200"/>
        <w:rPr>
          <w:rFonts w:ascii="仿宋_GB2312" w:hAnsi="黑体"/>
          <w:b w:val="0"/>
          <w:bCs w:val="0"/>
          <w:szCs w:val="32"/>
        </w:rPr>
      </w:pPr>
      <w:r>
        <w:rPr>
          <w:rFonts w:hint="eastAsia" w:ascii="仿宋_GB2312" w:hAnsi="仿宋_GB2312" w:cs="仿宋_GB2312"/>
          <w:b w:val="0"/>
          <w:bCs w:val="0"/>
          <w:szCs w:val="32"/>
        </w:rPr>
        <w:t>责任单位：县经科局、县财政局</w:t>
      </w:r>
    </w:p>
    <w:p w14:paraId="10114181">
      <w:pPr>
        <w:spacing w:line="576" w:lineRule="exact"/>
        <w:ind w:left="640" w:leftChars="200" w:firstLine="156" w:firstLineChars="49"/>
        <w:rPr>
          <w:rFonts w:ascii="黑体" w:hAnsi="黑体" w:eastAsia="黑体" w:cs="黑体"/>
          <w:b w:val="0"/>
          <w:bCs w:val="0"/>
          <w:szCs w:val="32"/>
        </w:rPr>
      </w:pPr>
      <w:r>
        <w:rPr>
          <w:rFonts w:hint="eastAsia" w:ascii="黑体" w:hAnsi="黑体" w:eastAsia="黑体" w:cs="黑体"/>
          <w:b w:val="0"/>
          <w:bCs w:val="0"/>
          <w:szCs w:val="32"/>
        </w:rPr>
        <w:t>十四、实施工业企业定向采购激励</w:t>
      </w:r>
    </w:p>
    <w:p w14:paraId="0652F3B2">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3B4427EC">
      <w:pPr>
        <w:spacing w:line="576" w:lineRule="exact"/>
        <w:ind w:firstLine="640" w:firstLineChars="200"/>
        <w:rPr>
          <w:rFonts w:ascii="仿宋_GB2312" w:hAnsi="仿宋_GB2312" w:cs="仿宋_GB2312"/>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规上工业企业新增采购县内配套制造业企业产品累计交易额在500万元以上的（以交易合同和发票实际金额为准），按照实际新增采购金额1%给予奖励；单个企业最高不超过10万元。</w:t>
      </w:r>
    </w:p>
    <w:p w14:paraId="140C35EB">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04A99D8F">
      <w:pPr>
        <w:spacing w:line="576" w:lineRule="exact"/>
        <w:ind w:left="640" w:leftChars="200"/>
        <w:rPr>
          <w:rFonts w:ascii="黑体" w:hAnsi="黑体" w:eastAsia="黑体" w:cs="黑体"/>
          <w:b w:val="0"/>
          <w:bCs w:val="0"/>
          <w:szCs w:val="32"/>
        </w:rPr>
      </w:pPr>
      <w:r>
        <w:rPr>
          <w:rFonts w:hint="eastAsia" w:ascii="黑体" w:hAnsi="黑体" w:eastAsia="黑体" w:cs="黑体"/>
          <w:b w:val="0"/>
          <w:bCs w:val="0"/>
          <w:szCs w:val="32"/>
        </w:rPr>
        <w:t>十五、实施规上工业企业产需联动激励</w:t>
      </w:r>
    </w:p>
    <w:p w14:paraId="3335F806">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137E2EB4">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hAnsi="仿宋_GB2312" w:cs="仿宋_GB2312"/>
          <w:b w:val="0"/>
          <w:bCs w:val="0"/>
          <w:szCs w:val="32"/>
        </w:rPr>
        <w:t>支持制造业领域行业商协、公共服务平台、小型微型企业创业创新示范基地，围绕县域主导产业开展产销对接活动，邀请供需双方企业不低于20户，促成供需双方达成单笔交易额100万元以上的，或单笔超过10万元且多笔累计交易额200万元以上的，按交易额5‰给予奖励（以交易合同和发票实际金额为准），单个主办方最高奖励5万元（同一达成合作项目不重复享受）。</w:t>
      </w:r>
    </w:p>
    <w:p w14:paraId="2314ACC5">
      <w:pPr>
        <w:spacing w:line="576" w:lineRule="exact"/>
        <w:ind w:left="640" w:leftChars="200"/>
        <w:rPr>
          <w:rFonts w:ascii="仿宋_GB2312" w:hAnsi="仿宋_GB2312" w:cs="仿宋_GB2312"/>
          <w:b w:val="0"/>
          <w:bCs w:val="0"/>
          <w:szCs w:val="32"/>
        </w:rPr>
      </w:pPr>
      <w:r>
        <w:rPr>
          <w:rFonts w:hint="eastAsia" w:ascii="仿宋_GB2312" w:hAnsi="仿宋_GB2312" w:cs="仿宋_GB2312"/>
          <w:b w:val="0"/>
          <w:bCs w:val="0"/>
          <w:szCs w:val="32"/>
        </w:rPr>
        <w:t>责任单位：县经科局、县财政局</w:t>
      </w:r>
    </w:p>
    <w:p w14:paraId="2234A0ED">
      <w:pPr>
        <w:tabs>
          <w:tab w:val="left" w:pos="5640"/>
        </w:tabs>
        <w:spacing w:line="576" w:lineRule="exact"/>
        <w:ind w:firstLine="640" w:firstLineChars="200"/>
        <w:rPr>
          <w:rFonts w:ascii="黑体" w:hAnsi="黑体" w:eastAsia="黑体"/>
          <w:b w:val="0"/>
          <w:bCs w:val="0"/>
          <w:szCs w:val="32"/>
        </w:rPr>
      </w:pPr>
      <w:r>
        <w:rPr>
          <w:rFonts w:hint="eastAsia" w:ascii="黑体" w:hAnsi="黑体" w:eastAsia="黑体"/>
          <w:b w:val="0"/>
          <w:bCs w:val="0"/>
          <w:szCs w:val="32"/>
        </w:rPr>
        <w:t>十六、实施畜禽生产激励</w:t>
      </w:r>
    </w:p>
    <w:p w14:paraId="3ABCB862">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452D7A70">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2.奖励标准：从市外引种的能繁母猪、母牛、母羊分别按照100元/头、1000元/头、100元/头给予激励;对较同期新增白羽肉鸡出栏按照5000元/万羽给予激励。</w:t>
      </w:r>
    </w:p>
    <w:p w14:paraId="7F6B7283">
      <w:pPr>
        <w:spacing w:line="576" w:lineRule="exact"/>
        <w:ind w:firstLine="640" w:firstLineChars="200"/>
        <w:rPr>
          <w:rFonts w:ascii="仿宋_GB2312"/>
          <w:b w:val="0"/>
          <w:bCs w:val="0"/>
          <w:szCs w:val="32"/>
        </w:rPr>
      </w:pPr>
      <w:r>
        <w:rPr>
          <w:rFonts w:hint="eastAsia" w:ascii="仿宋_GB2312" w:hAnsi="黑体"/>
          <w:b w:val="0"/>
          <w:bCs w:val="0"/>
          <w:szCs w:val="32"/>
        </w:rPr>
        <w:t>责任单位:县农业农村局、县财政局</w:t>
      </w:r>
    </w:p>
    <w:p w14:paraId="0985BFF1">
      <w:pPr>
        <w:spacing w:line="576" w:lineRule="exact"/>
        <w:ind w:firstLine="640" w:firstLineChars="200"/>
        <w:rPr>
          <w:rFonts w:ascii="黑体" w:hAnsi="黑体" w:eastAsia="黑体"/>
          <w:b w:val="0"/>
          <w:bCs w:val="0"/>
          <w:szCs w:val="32"/>
        </w:rPr>
      </w:pPr>
      <w:r>
        <w:rPr>
          <w:rFonts w:hint="eastAsia" w:ascii="黑体" w:hAnsi="黑体" w:eastAsia="黑体"/>
          <w:b w:val="0"/>
          <w:bCs w:val="0"/>
          <w:szCs w:val="32"/>
        </w:rPr>
        <w:t>十七、</w:t>
      </w:r>
      <w:r>
        <w:rPr>
          <w:rFonts w:hint="eastAsia" w:ascii="黑体" w:hAnsi="黑体" w:eastAsia="黑体" w:cs="黑体"/>
          <w:b w:val="0"/>
          <w:bCs w:val="0"/>
          <w:szCs w:val="32"/>
        </w:rPr>
        <w:t>发放“蜀里安逸·遂心遂意”消费券</w:t>
      </w:r>
    </w:p>
    <w:p w14:paraId="4FA7CC22">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03B5CA2B">
      <w:pPr>
        <w:spacing w:line="576" w:lineRule="exact"/>
        <w:ind w:firstLine="640" w:firstLineChars="200"/>
        <w:rPr>
          <w:rFonts w:ascii="仿宋_GB2312" w:hAnsi="黑体"/>
          <w:b w:val="0"/>
          <w:bCs w:val="0"/>
          <w:szCs w:val="32"/>
        </w:rPr>
      </w:pPr>
      <w:r>
        <w:rPr>
          <w:rFonts w:hint="eastAsia" w:ascii="仿宋_GB2312" w:hAnsi="黑体"/>
          <w:b w:val="0"/>
          <w:bCs w:val="0"/>
          <w:szCs w:val="32"/>
        </w:rPr>
        <w:t>2.奖励标准：</w:t>
      </w:r>
      <w:r>
        <w:rPr>
          <w:rFonts w:hint="eastAsia" w:ascii="仿宋_GB2312" w:cs="仿宋_GB2312"/>
          <w:b w:val="0"/>
          <w:bCs w:val="0"/>
          <w:szCs w:val="32"/>
        </w:rPr>
        <w:t>结合重要节假日和重点消费促进活动，发放餐饮、住宿等消费券，充分挖掘消费潜力，推动消费回升向好。</w:t>
      </w:r>
    </w:p>
    <w:p w14:paraId="29E63939">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222E89A5">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十八、</w:t>
      </w:r>
      <w:r>
        <w:rPr>
          <w:rFonts w:hint="eastAsia" w:ascii="黑体" w:hAnsi="黑体" w:eastAsia="黑体" w:cs="黑体"/>
          <w:b w:val="0"/>
          <w:bCs w:val="0"/>
          <w:szCs w:val="32"/>
        </w:rPr>
        <w:t>实施首发经济激励</w:t>
      </w:r>
    </w:p>
    <w:p w14:paraId="638409EB">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357130D2">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在蓬溪开设遂宁首店的经营主体，给予最高10万元激励。</w:t>
      </w:r>
    </w:p>
    <w:p w14:paraId="1FFDBF57">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094E4624">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十九、</w:t>
      </w:r>
      <w:r>
        <w:rPr>
          <w:rFonts w:hint="eastAsia" w:ascii="黑体" w:hAnsi="黑体" w:eastAsia="黑体" w:cs="黑体"/>
          <w:b w:val="0"/>
          <w:bCs w:val="0"/>
          <w:szCs w:val="32"/>
        </w:rPr>
        <w:t>实施消费新场景激励</w:t>
      </w:r>
    </w:p>
    <w:p w14:paraId="69D8D76D">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27FA5DF1">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城市商业类新场景、农商文旅体新场景等消费新场景，举办线上线下促销活动，营业收入较上年同期增长10％以上</w:t>
      </w:r>
      <w:r>
        <w:rPr>
          <w:rFonts w:hint="eastAsia" w:ascii="仿宋_GB2312" w:cs="仿宋_GB2312"/>
          <w:b w:val="0"/>
          <w:bCs w:val="0"/>
          <w:szCs w:val="32"/>
          <w:lang w:eastAsia="zh-CN"/>
        </w:rPr>
        <w:t>且</w:t>
      </w:r>
      <w:r>
        <w:rPr>
          <w:rFonts w:hint="eastAsia" w:ascii="仿宋_GB2312" w:cs="仿宋_GB2312"/>
          <w:b w:val="0"/>
          <w:bCs w:val="0"/>
          <w:szCs w:val="32"/>
        </w:rPr>
        <w:t>2024年营业收入超过500万元，符合条件的“蜀里安逸”消费新场景运营主体，按其促销活动实际投入的50％给予补助，单户最高10万元。</w:t>
      </w:r>
    </w:p>
    <w:p w14:paraId="3CF9BB6C">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00C1ECD7">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二十、</w:t>
      </w:r>
      <w:r>
        <w:rPr>
          <w:rFonts w:hint="eastAsia" w:ascii="黑体" w:hAnsi="黑体" w:eastAsia="黑体" w:cs="黑体"/>
          <w:b w:val="0"/>
          <w:bCs w:val="0"/>
          <w:szCs w:val="32"/>
        </w:rPr>
        <w:t>实施企业拓展市场激励</w:t>
      </w:r>
    </w:p>
    <w:p w14:paraId="65D74184">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7DF2B438">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参加境内线下展会的企业，给予差旅费激励，最高不超过</w:t>
      </w:r>
      <w:r>
        <w:rPr>
          <w:rFonts w:hint="eastAsia" w:ascii="仿宋_GB2312"/>
          <w:b w:val="0"/>
          <w:bCs w:val="0"/>
          <w:szCs w:val="32"/>
        </w:rPr>
        <w:t>0.3</w:t>
      </w:r>
      <w:r>
        <w:rPr>
          <w:rFonts w:hint="eastAsia" w:ascii="仿宋_GB2312" w:cs="仿宋_GB2312"/>
          <w:b w:val="0"/>
          <w:bCs w:val="0"/>
          <w:szCs w:val="32"/>
        </w:rPr>
        <w:t>万元。</w:t>
      </w:r>
    </w:p>
    <w:p w14:paraId="662477C3">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3B979AE5">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二十一、</w:t>
      </w:r>
      <w:r>
        <w:rPr>
          <w:rFonts w:hint="eastAsia" w:ascii="黑体" w:hAnsi="黑体" w:eastAsia="黑体" w:cs="黑体"/>
          <w:b w:val="0"/>
          <w:bCs w:val="0"/>
          <w:szCs w:val="32"/>
        </w:rPr>
        <w:t>实施会展经济发展激励</w:t>
      </w:r>
    </w:p>
    <w:p w14:paraId="4135294C">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5D4EC8BF">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在</w:t>
      </w:r>
      <w:r>
        <w:rPr>
          <w:rFonts w:hint="eastAsia" w:ascii="仿宋_GB2312" w:hAnsi="Calibri" w:cs="仿宋_GB2312"/>
          <w:b w:val="0"/>
          <w:bCs w:val="0"/>
          <w:kern w:val="0"/>
          <w:szCs w:val="32"/>
        </w:rPr>
        <w:t>蓬溪837会展广场举办的市场化展会，展期不少于2天，展览面积达</w:t>
      </w:r>
      <w:r>
        <w:rPr>
          <w:rFonts w:hint="eastAsia" w:ascii="仿宋_GB2312"/>
          <w:b w:val="0"/>
          <w:bCs w:val="0"/>
          <w:kern w:val="0"/>
          <w:szCs w:val="32"/>
        </w:rPr>
        <w:t>3000</w:t>
      </w:r>
      <w:r>
        <w:rPr>
          <w:rFonts w:hint="eastAsia" w:ascii="仿宋_GB2312" w:hAnsi="Calibri" w:cs="仿宋_GB2312"/>
          <w:b w:val="0"/>
          <w:bCs w:val="0"/>
          <w:kern w:val="0"/>
          <w:szCs w:val="32"/>
        </w:rPr>
        <w:t>平方米以上，观展人数在</w:t>
      </w:r>
      <w:r>
        <w:rPr>
          <w:rFonts w:hint="eastAsia" w:ascii="仿宋_GB2312"/>
          <w:b w:val="0"/>
          <w:bCs w:val="0"/>
          <w:kern w:val="0"/>
          <w:szCs w:val="32"/>
        </w:rPr>
        <w:t>3000</w:t>
      </w:r>
      <w:r>
        <w:rPr>
          <w:rFonts w:hint="eastAsia" w:ascii="仿宋_GB2312" w:hAnsi="Calibri" w:cs="仿宋_GB2312"/>
          <w:b w:val="0"/>
          <w:bCs w:val="0"/>
          <w:kern w:val="0"/>
          <w:szCs w:val="32"/>
        </w:rPr>
        <w:t>人以上的，</w:t>
      </w:r>
      <w:r>
        <w:rPr>
          <w:rFonts w:hint="eastAsia" w:ascii="仿宋_GB2312" w:cs="仿宋_GB2312"/>
          <w:b w:val="0"/>
          <w:bCs w:val="0"/>
          <w:szCs w:val="32"/>
        </w:rPr>
        <w:t>对展会主办方给予5万元奖励。对引进的、在县外已成功举办</w:t>
      </w:r>
      <w:r>
        <w:rPr>
          <w:rFonts w:hint="eastAsia" w:ascii="仿宋_GB2312"/>
          <w:b w:val="0"/>
          <w:bCs w:val="0"/>
          <w:szCs w:val="32"/>
        </w:rPr>
        <w:t>3</w:t>
      </w:r>
      <w:r>
        <w:rPr>
          <w:rFonts w:hint="eastAsia" w:ascii="仿宋_GB2312" w:cs="仿宋_GB2312"/>
          <w:b w:val="0"/>
          <w:bCs w:val="0"/>
          <w:szCs w:val="32"/>
        </w:rPr>
        <w:t>届以上的品牌展会，首届标准展位15</w:t>
      </w:r>
      <w:r>
        <w:rPr>
          <w:rFonts w:hint="eastAsia" w:ascii="仿宋_GB2312"/>
          <w:b w:val="0"/>
          <w:bCs w:val="0"/>
          <w:szCs w:val="32"/>
        </w:rPr>
        <w:t>0</w:t>
      </w:r>
      <w:r>
        <w:rPr>
          <w:rFonts w:hint="eastAsia" w:ascii="仿宋_GB2312" w:cs="仿宋_GB2312"/>
          <w:b w:val="0"/>
          <w:bCs w:val="0"/>
          <w:szCs w:val="32"/>
        </w:rPr>
        <w:t>个以上、观展人数在5</w:t>
      </w:r>
      <w:r>
        <w:rPr>
          <w:rFonts w:hint="eastAsia" w:ascii="仿宋_GB2312"/>
          <w:b w:val="0"/>
          <w:bCs w:val="0"/>
          <w:szCs w:val="32"/>
        </w:rPr>
        <w:t>000</w:t>
      </w:r>
      <w:r>
        <w:rPr>
          <w:rFonts w:hint="eastAsia" w:ascii="仿宋_GB2312" w:cs="仿宋_GB2312"/>
          <w:b w:val="0"/>
          <w:bCs w:val="0"/>
          <w:szCs w:val="32"/>
        </w:rPr>
        <w:t>人以上的，在前述政策条款基础上给予主办方5万元奖励；之后在蓬溪连续举办，展位数不少于首次落地遂宁的品牌展会，每届增加</w:t>
      </w:r>
      <w:r>
        <w:rPr>
          <w:rFonts w:hint="eastAsia" w:ascii="仿宋_GB2312"/>
          <w:b w:val="0"/>
          <w:bCs w:val="0"/>
          <w:szCs w:val="32"/>
        </w:rPr>
        <w:t>5</w:t>
      </w:r>
      <w:r>
        <w:rPr>
          <w:rFonts w:hint="eastAsia" w:ascii="仿宋_GB2312" w:cs="仿宋_GB2312"/>
          <w:b w:val="0"/>
          <w:bCs w:val="0"/>
          <w:szCs w:val="32"/>
        </w:rPr>
        <w:t>万元奖励，最高不超过2</w:t>
      </w:r>
      <w:r>
        <w:rPr>
          <w:rFonts w:hint="eastAsia" w:ascii="仿宋_GB2312"/>
          <w:b w:val="0"/>
          <w:bCs w:val="0"/>
          <w:szCs w:val="32"/>
        </w:rPr>
        <w:t>0</w:t>
      </w:r>
      <w:r>
        <w:rPr>
          <w:rFonts w:hint="eastAsia" w:ascii="仿宋_GB2312" w:cs="仿宋_GB2312"/>
          <w:b w:val="0"/>
          <w:bCs w:val="0"/>
          <w:szCs w:val="32"/>
        </w:rPr>
        <w:t>万元。</w:t>
      </w:r>
    </w:p>
    <w:p w14:paraId="775C1075">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4CF1C0AF">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二十二、</w:t>
      </w:r>
      <w:r>
        <w:rPr>
          <w:rFonts w:hint="eastAsia" w:ascii="黑体" w:hAnsi="黑体" w:eastAsia="黑体" w:cs="黑体"/>
          <w:b w:val="0"/>
          <w:bCs w:val="0"/>
          <w:szCs w:val="32"/>
        </w:rPr>
        <w:t>实施餐饮品牌建设激励</w:t>
      </w:r>
    </w:p>
    <w:p w14:paraId="347011B8">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22DE9BA8">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新认定的“中华老字号”“四川老字号”“遂宁老字号”分别给予企业主体</w:t>
      </w:r>
      <w:r>
        <w:rPr>
          <w:rFonts w:hint="eastAsia" w:ascii="仿宋_GB2312"/>
          <w:b w:val="0"/>
          <w:bCs w:val="0"/>
          <w:szCs w:val="32"/>
        </w:rPr>
        <w:t>5</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w:t>
      </w:r>
      <w:r>
        <w:rPr>
          <w:rFonts w:hint="eastAsia" w:ascii="仿宋_GB2312"/>
          <w:b w:val="0"/>
          <w:bCs w:val="0"/>
          <w:szCs w:val="32"/>
        </w:rPr>
        <w:t>3</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w:t>
      </w:r>
      <w:r>
        <w:rPr>
          <w:rFonts w:hint="eastAsia" w:ascii="仿宋_GB2312"/>
          <w:b w:val="0"/>
          <w:bCs w:val="0"/>
          <w:szCs w:val="32"/>
        </w:rPr>
        <w:t>1</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家的一次性奖励。鼓励企业参加系列评选活动，对新获得中央、省、市评选称号的分别给予</w:t>
      </w:r>
      <w:r>
        <w:rPr>
          <w:rFonts w:hint="eastAsia" w:ascii="仿宋_GB2312"/>
          <w:b w:val="0"/>
          <w:bCs w:val="0"/>
          <w:szCs w:val="32"/>
        </w:rPr>
        <w:t>3</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w:t>
      </w:r>
      <w:r>
        <w:rPr>
          <w:rFonts w:hint="eastAsia" w:ascii="仿宋_GB2312"/>
          <w:b w:val="0"/>
          <w:bCs w:val="0"/>
          <w:szCs w:val="32"/>
        </w:rPr>
        <w:t>1</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w:t>
      </w:r>
      <w:r>
        <w:rPr>
          <w:rFonts w:hint="eastAsia" w:ascii="仿宋_GB2312"/>
          <w:b w:val="0"/>
          <w:bCs w:val="0"/>
          <w:szCs w:val="32"/>
        </w:rPr>
        <w:t>0.5</w:t>
      </w:r>
      <w:r>
        <w:rPr>
          <w:rFonts w:hint="eastAsia" w:ascii="仿宋_GB2312" w:cs="仿宋_GB2312"/>
          <w:b w:val="0"/>
          <w:bCs w:val="0"/>
          <w:szCs w:val="32"/>
        </w:rPr>
        <w:t>万元</w:t>
      </w:r>
      <w:r>
        <w:rPr>
          <w:rFonts w:hint="eastAsia" w:ascii="仿宋_GB2312"/>
          <w:b w:val="0"/>
          <w:bCs w:val="0"/>
          <w:szCs w:val="32"/>
        </w:rPr>
        <w:t>/</w:t>
      </w:r>
      <w:r>
        <w:rPr>
          <w:rFonts w:hint="eastAsia" w:ascii="仿宋_GB2312" w:cs="仿宋_GB2312"/>
          <w:b w:val="0"/>
          <w:bCs w:val="0"/>
          <w:szCs w:val="32"/>
        </w:rPr>
        <w:t>家的一次性奖励。打造美食名村、名街、名镇等新消费场景，对成功引入“中华老字号”“四川老字号”等品牌餐饮企业</w:t>
      </w:r>
      <w:r>
        <w:rPr>
          <w:rFonts w:hint="eastAsia" w:ascii="仿宋_GB2312"/>
          <w:b w:val="0"/>
          <w:bCs w:val="0"/>
          <w:szCs w:val="32"/>
        </w:rPr>
        <w:t>10</w:t>
      </w:r>
      <w:r>
        <w:rPr>
          <w:rFonts w:hint="eastAsia" w:ascii="仿宋_GB2312" w:cs="仿宋_GB2312"/>
          <w:b w:val="0"/>
          <w:bCs w:val="0"/>
          <w:szCs w:val="32"/>
        </w:rPr>
        <w:t>家以上的，给予街区管理主体</w:t>
      </w:r>
      <w:r>
        <w:rPr>
          <w:rFonts w:hint="eastAsia" w:ascii="仿宋_GB2312"/>
          <w:b w:val="0"/>
          <w:bCs w:val="0"/>
          <w:szCs w:val="32"/>
        </w:rPr>
        <w:t>10</w:t>
      </w:r>
      <w:r>
        <w:rPr>
          <w:rFonts w:hint="eastAsia" w:ascii="仿宋_GB2312" w:cs="仿宋_GB2312"/>
          <w:b w:val="0"/>
          <w:bCs w:val="0"/>
          <w:szCs w:val="32"/>
        </w:rPr>
        <w:t>万元一次性奖励。</w:t>
      </w:r>
    </w:p>
    <w:p w14:paraId="5007D3AB">
      <w:pPr>
        <w:spacing w:line="576" w:lineRule="exact"/>
        <w:ind w:firstLine="630"/>
        <w:rPr>
          <w:rFonts w:ascii="仿宋_GB2312" w:cs="仿宋_GB2312"/>
          <w:b w:val="0"/>
          <w:bCs w:val="0"/>
          <w:szCs w:val="32"/>
        </w:rPr>
      </w:pPr>
      <w:r>
        <w:rPr>
          <w:rFonts w:hint="eastAsia" w:ascii="仿宋_GB2312" w:cs="仿宋_GB2312"/>
          <w:b w:val="0"/>
          <w:bCs w:val="0"/>
          <w:szCs w:val="32"/>
        </w:rPr>
        <w:t>责任单位：县商务局、县财政局</w:t>
      </w:r>
    </w:p>
    <w:p w14:paraId="3ED58E76">
      <w:pPr>
        <w:spacing w:line="576" w:lineRule="exact"/>
        <w:ind w:firstLine="630"/>
        <w:rPr>
          <w:rFonts w:ascii="黑体" w:hAnsi="黑体" w:eastAsia="黑体" w:cs="黑体"/>
          <w:b w:val="0"/>
          <w:bCs w:val="0"/>
          <w:szCs w:val="32"/>
        </w:rPr>
      </w:pPr>
      <w:r>
        <w:rPr>
          <w:rFonts w:hint="eastAsia" w:ascii="黑体" w:hAnsi="黑体" w:eastAsia="黑体" w:cs="仿宋_GB2312"/>
          <w:b w:val="0"/>
          <w:bCs w:val="0"/>
          <w:szCs w:val="32"/>
        </w:rPr>
        <w:t>二十三、</w:t>
      </w:r>
      <w:r>
        <w:rPr>
          <w:rFonts w:hint="eastAsia" w:ascii="黑体" w:hAnsi="黑体" w:eastAsia="黑体" w:cs="黑体"/>
          <w:b w:val="0"/>
          <w:bCs w:val="0"/>
          <w:szCs w:val="32"/>
        </w:rPr>
        <w:t>实施商贸企业经营增长激励</w:t>
      </w:r>
    </w:p>
    <w:p w14:paraId="204CEDCB">
      <w:pPr>
        <w:spacing w:line="576" w:lineRule="exact"/>
        <w:ind w:firstLine="640" w:firstLineChars="200"/>
        <w:rPr>
          <w:rFonts w:ascii="仿宋_GB2312" w:hAnsi="黑体"/>
          <w:b w:val="0"/>
          <w:bCs w:val="0"/>
          <w:szCs w:val="32"/>
        </w:rPr>
      </w:pPr>
      <w:r>
        <w:rPr>
          <w:rFonts w:hint="eastAsia" w:ascii="仿宋_GB2312" w:hAnsi="黑体"/>
          <w:b w:val="0"/>
          <w:bCs w:val="0"/>
          <w:szCs w:val="32"/>
        </w:rPr>
        <w:t>1.时间范围：2025年7月1日—2025年12月31日</w:t>
      </w:r>
    </w:p>
    <w:p w14:paraId="37390D71">
      <w:pPr>
        <w:spacing w:line="576" w:lineRule="exact"/>
        <w:ind w:firstLine="630"/>
        <w:rPr>
          <w:rFonts w:ascii="仿宋_GB2312" w:cs="仿宋_GB2312"/>
          <w:b w:val="0"/>
          <w:bCs w:val="0"/>
          <w:szCs w:val="32"/>
        </w:rPr>
      </w:pPr>
      <w:r>
        <w:rPr>
          <w:rFonts w:hint="eastAsia" w:ascii="仿宋_GB2312" w:hAnsi="黑体"/>
          <w:b w:val="0"/>
          <w:bCs w:val="0"/>
          <w:szCs w:val="32"/>
        </w:rPr>
        <w:t>2.奖励标准：</w:t>
      </w:r>
      <w:r>
        <w:rPr>
          <w:rFonts w:hint="eastAsia" w:ascii="仿宋_GB2312" w:cs="仿宋_GB2312"/>
          <w:b w:val="0"/>
          <w:bCs w:val="0"/>
          <w:szCs w:val="32"/>
        </w:rPr>
        <w:t>经营规模比上年同期增长</w:t>
      </w:r>
      <w:r>
        <w:rPr>
          <w:rFonts w:hint="eastAsia" w:ascii="仿宋_GB2312"/>
          <w:b w:val="0"/>
          <w:bCs w:val="0"/>
          <w:szCs w:val="32"/>
        </w:rPr>
        <w:t>10</w:t>
      </w:r>
      <w:r>
        <w:rPr>
          <w:rFonts w:hint="eastAsia" w:ascii="仿宋_GB2312" w:cs="仿宋_GB2312"/>
          <w:b w:val="0"/>
          <w:bCs w:val="0"/>
          <w:szCs w:val="32"/>
        </w:rPr>
        <w:t>％以上且</w:t>
      </w:r>
      <w:r>
        <w:rPr>
          <w:rFonts w:hint="eastAsia" w:ascii="仿宋_GB2312"/>
          <w:b w:val="0"/>
          <w:bCs w:val="0"/>
          <w:szCs w:val="32"/>
        </w:rPr>
        <w:t>2024</w:t>
      </w:r>
      <w:r>
        <w:rPr>
          <w:rFonts w:hint="eastAsia" w:ascii="仿宋_GB2312" w:cs="仿宋_GB2312"/>
          <w:b w:val="0"/>
          <w:bCs w:val="0"/>
          <w:szCs w:val="32"/>
        </w:rPr>
        <w:t>年经营规模5000万元以上的批发企业，每户给予激励1万元；经营规模比上年同期增长</w:t>
      </w:r>
      <w:r>
        <w:rPr>
          <w:rFonts w:hint="eastAsia" w:ascii="仿宋_GB2312"/>
          <w:b w:val="0"/>
          <w:bCs w:val="0"/>
          <w:szCs w:val="32"/>
        </w:rPr>
        <w:t>10</w:t>
      </w:r>
      <w:r>
        <w:rPr>
          <w:rFonts w:hint="eastAsia" w:ascii="仿宋_GB2312" w:cs="仿宋_GB2312"/>
          <w:b w:val="0"/>
          <w:bCs w:val="0"/>
          <w:szCs w:val="32"/>
        </w:rPr>
        <w:t>％以上且</w:t>
      </w:r>
      <w:r>
        <w:rPr>
          <w:rFonts w:hint="eastAsia" w:ascii="仿宋_GB2312"/>
          <w:b w:val="0"/>
          <w:bCs w:val="0"/>
          <w:szCs w:val="32"/>
        </w:rPr>
        <w:t>2024</w:t>
      </w:r>
      <w:r>
        <w:rPr>
          <w:rFonts w:hint="eastAsia" w:ascii="仿宋_GB2312" w:cs="仿宋_GB2312"/>
          <w:b w:val="0"/>
          <w:bCs w:val="0"/>
          <w:szCs w:val="32"/>
        </w:rPr>
        <w:t>年经营规模2000万元以上的零售企业，每户给予激励1万元；经营规模比上年同期增长</w:t>
      </w:r>
      <w:r>
        <w:rPr>
          <w:rFonts w:hint="eastAsia" w:ascii="仿宋_GB2312"/>
          <w:b w:val="0"/>
          <w:bCs w:val="0"/>
          <w:szCs w:val="32"/>
        </w:rPr>
        <w:t>10</w:t>
      </w:r>
      <w:r>
        <w:rPr>
          <w:rFonts w:hint="eastAsia" w:ascii="仿宋_GB2312" w:cs="仿宋_GB2312"/>
          <w:b w:val="0"/>
          <w:bCs w:val="0"/>
          <w:szCs w:val="32"/>
        </w:rPr>
        <w:t>％以上且</w:t>
      </w:r>
      <w:r>
        <w:rPr>
          <w:rFonts w:hint="eastAsia" w:ascii="仿宋_GB2312"/>
          <w:b w:val="0"/>
          <w:bCs w:val="0"/>
          <w:szCs w:val="32"/>
        </w:rPr>
        <w:t>2024</w:t>
      </w:r>
      <w:r>
        <w:rPr>
          <w:rFonts w:hint="eastAsia" w:ascii="仿宋_GB2312" w:cs="仿宋_GB2312"/>
          <w:b w:val="0"/>
          <w:bCs w:val="0"/>
          <w:szCs w:val="32"/>
        </w:rPr>
        <w:t>年经营规模</w:t>
      </w:r>
      <w:r>
        <w:rPr>
          <w:rFonts w:hint="eastAsia" w:ascii="仿宋_GB2312"/>
          <w:b w:val="0"/>
          <w:bCs w:val="0"/>
          <w:szCs w:val="32"/>
        </w:rPr>
        <w:t>1000万</w:t>
      </w:r>
      <w:r>
        <w:rPr>
          <w:rFonts w:hint="eastAsia" w:ascii="仿宋_GB2312" w:cs="仿宋_GB2312"/>
          <w:b w:val="0"/>
          <w:bCs w:val="0"/>
          <w:szCs w:val="32"/>
        </w:rPr>
        <w:t>元以上的餐饮住宿企业，每户给予奖励1万元；经营规模比上年同期增长</w:t>
      </w:r>
      <w:r>
        <w:rPr>
          <w:rFonts w:hint="eastAsia" w:ascii="仿宋_GB2312"/>
          <w:b w:val="0"/>
          <w:bCs w:val="0"/>
          <w:szCs w:val="32"/>
        </w:rPr>
        <w:t>10</w:t>
      </w:r>
      <w:r>
        <w:rPr>
          <w:rFonts w:hint="eastAsia" w:ascii="仿宋_GB2312" w:cs="仿宋_GB2312"/>
          <w:b w:val="0"/>
          <w:bCs w:val="0"/>
          <w:szCs w:val="32"/>
        </w:rPr>
        <w:t>％以上且</w:t>
      </w:r>
      <w:r>
        <w:rPr>
          <w:rFonts w:hint="eastAsia" w:ascii="仿宋_GB2312"/>
          <w:b w:val="0"/>
          <w:bCs w:val="0"/>
          <w:szCs w:val="32"/>
        </w:rPr>
        <w:t>2024</w:t>
      </w:r>
      <w:r>
        <w:rPr>
          <w:rFonts w:hint="eastAsia" w:ascii="仿宋_GB2312" w:cs="仿宋_GB2312"/>
          <w:b w:val="0"/>
          <w:bCs w:val="0"/>
          <w:szCs w:val="32"/>
        </w:rPr>
        <w:t>年经营规模5000万元以上的营利性服务业企业，每户给予激励1万元。</w:t>
      </w:r>
    </w:p>
    <w:p w14:paraId="26BD1131">
      <w:pPr>
        <w:spacing w:line="576" w:lineRule="exact"/>
        <w:ind w:firstLine="630"/>
        <w:rPr>
          <w:rFonts w:hint="eastAsia" w:ascii="仿宋_GB2312" w:hAnsi="黑体"/>
          <w:b w:val="0"/>
          <w:bCs w:val="0"/>
          <w:szCs w:val="32"/>
        </w:rPr>
      </w:pPr>
      <w:r>
        <w:rPr>
          <w:rFonts w:hint="eastAsia" w:ascii="仿宋_GB2312" w:cs="仿宋_GB2312"/>
          <w:b w:val="0"/>
          <w:bCs w:val="0"/>
          <w:szCs w:val="32"/>
        </w:rPr>
        <w:t>责任单位：县商务局、县财政局</w:t>
      </w:r>
    </w:p>
    <w:p w14:paraId="65E87DC7">
      <w:pPr>
        <w:spacing w:line="576" w:lineRule="exact"/>
        <w:ind w:firstLine="640" w:firstLineChars="200"/>
        <w:rPr>
          <w:rFonts w:ascii="仿宋_GB2312" w:hAnsi="黑体"/>
          <w:b w:val="0"/>
          <w:bCs w:val="0"/>
          <w:szCs w:val="32"/>
        </w:rPr>
      </w:pPr>
      <w:r>
        <w:rPr>
          <w:rFonts w:hint="eastAsia" w:ascii="仿宋_GB2312" w:hAnsi="黑体"/>
          <w:b w:val="0"/>
          <w:bCs w:val="0"/>
          <w:szCs w:val="32"/>
          <w:lang w:val="en-US" w:eastAsia="zh-CN"/>
        </w:rPr>
        <w:t>上述</w:t>
      </w:r>
      <w:r>
        <w:rPr>
          <w:rFonts w:hint="eastAsia" w:ascii="仿宋_GB2312" w:hAnsi="黑体"/>
          <w:b w:val="0"/>
          <w:bCs w:val="0"/>
          <w:szCs w:val="32"/>
        </w:rPr>
        <w:t>政策措施与县级其他同类政策不重复享受，按“就高不就低”原则执行。政策实施期间，如遇上级政策调整，按上级政策执行。</w:t>
      </w:r>
      <w:r>
        <w:rPr>
          <w:rFonts w:hint="eastAsia" w:ascii="仿宋_GB2312" w:hAnsi="黑体"/>
          <w:b w:val="0"/>
          <w:bCs w:val="0"/>
          <w:szCs w:val="32"/>
          <w:lang w:val="en-US" w:eastAsia="zh-CN"/>
        </w:rPr>
        <w:t>上述</w:t>
      </w:r>
      <w:r>
        <w:rPr>
          <w:rFonts w:hint="eastAsia" w:ascii="仿宋_GB2312" w:hAnsi="黑体"/>
          <w:b w:val="0"/>
          <w:bCs w:val="0"/>
          <w:szCs w:val="32"/>
        </w:rPr>
        <w:t>政策自发布之日起施行由各责任单位负责解释并制定实施细则。</w:t>
      </w:r>
    </w:p>
    <w:p w14:paraId="06FE10F4">
      <w:pPr>
        <w:spacing w:line="576" w:lineRule="exact"/>
        <w:rPr>
          <w:rFonts w:hint="eastAsia" w:ascii="仿宋_GB2312" w:hAnsi="仿宋_GB2312" w:cs="仿宋_GB2312"/>
          <w:b w:val="0"/>
          <w:bCs w:val="0"/>
          <w:szCs w:val="32"/>
        </w:rPr>
      </w:pPr>
    </w:p>
    <w:p w14:paraId="6C2E431E">
      <w:pPr>
        <w:rPr>
          <w:b w:val="0"/>
          <w:bCs w:val="0"/>
        </w:rPr>
      </w:pPr>
    </w:p>
    <w:p w14:paraId="7F7143D0">
      <w:bookmarkStart w:id="0" w:name="_GoBack"/>
      <w:bookmarkEnd w:id="0"/>
    </w:p>
    <w:sectPr>
      <w:footerReference r:id="rId3" w:type="default"/>
      <w:pgSz w:w="11906" w:h="16838"/>
      <w:pgMar w:top="2098" w:right="1474" w:bottom="1984" w:left="1587" w:header="851" w:footer="992" w:gutter="0"/>
      <w:cols w:space="720" w:num="1"/>
      <w:docGrid w:type="line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3FAB">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04B16">
                          <w:pPr>
                            <w:pStyle w:val="3"/>
                            <w:rPr>
                              <w:rStyle w:val="6"/>
                              <w:rFonts w:hint="eastAsia" w:ascii="宋体" w:hAnsi="宋体" w:eastAsia="宋体" w:cs="宋体"/>
                              <w:sz w:val="28"/>
                              <w:szCs w:val="28"/>
                            </w:rPr>
                          </w:pPr>
                          <w:r>
                            <w:rPr>
                              <w:rStyle w:val="6"/>
                              <w:rFonts w:hint="eastAsia" w:ascii="宋体" w:hAnsi="宋体" w:eastAsia="宋体" w:cs="宋体"/>
                              <w:sz w:val="28"/>
                              <w:szCs w:val="28"/>
                            </w:rPr>
                            <w:t xml:space="preserve">— </w:t>
                          </w:r>
                          <w:r>
                            <w:rPr>
                              <w:rStyle w:val="6"/>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Style w:val="6"/>
                              <w:rFonts w:hint="eastAsia" w:ascii="宋体" w:hAnsi="宋体" w:eastAsia="宋体" w:cs="宋体"/>
                              <w:sz w:val="28"/>
                              <w:szCs w:val="28"/>
                            </w:rPr>
                            <w:fldChar w:fldCharType="separate"/>
                          </w:r>
                          <w:r>
                            <w:rPr>
                              <w:rStyle w:val="6"/>
                              <w:rFonts w:ascii="宋体" w:hAnsi="宋体" w:eastAsia="宋体" w:cs="宋体"/>
                              <w:sz w:val="28"/>
                              <w:szCs w:val="28"/>
                            </w:rPr>
                            <w:t>3</w:t>
                          </w:r>
                          <w:r>
                            <w:rPr>
                              <w:rStyle w:val="6"/>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4.2pt;height:144pt;width:144pt;mso-position-horizontal:outside;mso-position-horizontal-relative:margin;mso-wrap-style:none;z-index:251659264;mso-width-relative:page;mso-height-relative:page;" filled="f" stroked="f" coordsize="21600,21600" o:gfxdata="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Rctld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14:paraId="5CC04B16">
                    <w:pPr>
                      <w:pStyle w:val="3"/>
                      <w:rPr>
                        <w:rStyle w:val="6"/>
                        <w:rFonts w:hint="eastAsia" w:ascii="宋体" w:hAnsi="宋体" w:eastAsia="宋体" w:cs="宋体"/>
                        <w:sz w:val="28"/>
                        <w:szCs w:val="28"/>
                      </w:rPr>
                    </w:pPr>
                    <w:r>
                      <w:rPr>
                        <w:rStyle w:val="6"/>
                        <w:rFonts w:hint="eastAsia" w:ascii="宋体" w:hAnsi="宋体" w:eastAsia="宋体" w:cs="宋体"/>
                        <w:sz w:val="28"/>
                        <w:szCs w:val="28"/>
                      </w:rPr>
                      <w:t xml:space="preserve">— </w:t>
                    </w:r>
                    <w:r>
                      <w:rPr>
                        <w:rStyle w:val="6"/>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Style w:val="6"/>
                        <w:rFonts w:hint="eastAsia" w:ascii="宋体" w:hAnsi="宋体" w:eastAsia="宋体" w:cs="宋体"/>
                        <w:sz w:val="28"/>
                        <w:szCs w:val="28"/>
                      </w:rPr>
                      <w:fldChar w:fldCharType="separate"/>
                    </w:r>
                    <w:r>
                      <w:rPr>
                        <w:rStyle w:val="6"/>
                        <w:rFonts w:ascii="宋体" w:hAnsi="宋体" w:eastAsia="宋体" w:cs="宋体"/>
                        <w:sz w:val="28"/>
                        <w:szCs w:val="28"/>
                      </w:rPr>
                      <w:t>3</w:t>
                    </w:r>
                    <w:r>
                      <w:rPr>
                        <w:rStyle w:val="6"/>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73270"/>
    <w:multiLevelType w:val="singleLevel"/>
    <w:tmpl w:val="3297327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30328"/>
    <w:rsid w:val="37A30ED5"/>
    <w:rsid w:val="52930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0"/>
    <w:pPr>
      <w:keepNext/>
      <w:keepLines/>
      <w:widowControl w:val="0"/>
      <w:suppressAutoHyphens/>
      <w:spacing w:before="340" w:after="330" w:line="578" w:lineRule="auto"/>
      <w:ind w:firstLine="0"/>
      <w:jc w:val="both"/>
      <w:outlineLvl w:val="0"/>
    </w:pPr>
    <w:rPr>
      <w:rFonts w:ascii="Times New Roman" w:hAnsi="Times New Roman" w:eastAsia="仿宋_GB2312" w:cs="Times New Roman"/>
      <w:b/>
      <w:bCs/>
      <w:kern w:val="44"/>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2025-06-12T02:03:00Z</dcterms:created>
  <dc:creator>哈哈*^o^*</dc:creator>
  <cp:lastModifiedBy>哈哈*^o^*</cp:lastModifiedBy>
  <dcterms:modified xsi:type="dcterms:W3CDTF">2025-06-12T02:05:25Z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1F50E6C3629744239BEF8ABB7C80EF27_13</vt:lpwstr>
  </property>
  <property fmtid="{D5CDD505-2E9C-101B-9397-08002B2CF9AE}" pid="4" name="KSOTemplateDocerSaveRecord">
    <vt:lpwstr>eyJoZGlkIjoiNzhkMjE1YjIzMTA0Nzc1MzVlNDAxN2ViNzEzOTk2M2QiLCJ1c2VySWQiOiI0MjA0MDUyMDgifQ==</vt:lpwstr>
  </property>
</Properties>
</file>