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宋体"/>
          <w:color w:val="auto"/>
        </w:rPr>
      </w:pPr>
    </w:p>
    <w:p>
      <w:pPr>
        <w:rPr>
          <w:rFonts w:ascii="Times New Roman" w:hAnsi="Times New Roman" w:eastAsia="宋体"/>
          <w:color w:val="auto"/>
        </w:rPr>
      </w:pPr>
    </w:p>
    <w:p>
      <w:pPr>
        <w:tabs>
          <w:tab w:val="left" w:pos="5922"/>
        </w:tabs>
        <w:rPr>
          <w:rFonts w:hint="eastAsia" w:ascii="Times New Roman" w:hAnsi="Times New Roman" w:eastAsia="宋体"/>
          <w:color w:val="auto"/>
          <w:lang w:eastAsia="zh-CN"/>
        </w:rPr>
      </w:pPr>
      <w:r>
        <w:rPr>
          <w:rFonts w:hint="eastAsia"/>
          <w:color w:val="auto"/>
          <w:lang w:eastAsia="zh-CN"/>
        </w:rPr>
        <w:tab/>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Cs/>
          <w:color w:val="auto"/>
          <w:sz w:val="72"/>
          <w:szCs w:val="72"/>
        </w:rPr>
      </w:pPr>
      <w:r>
        <w:rPr>
          <w:rFonts w:hint="eastAsia" w:ascii="方正小标宋简体" w:hAnsi="方正小标宋简体" w:eastAsia="方正小标宋简体" w:cs="方正小标宋简体"/>
          <w:bCs/>
          <w:color w:val="auto"/>
          <w:sz w:val="72"/>
          <w:szCs w:val="72"/>
        </w:rPr>
        <w:t>建设项目环境影响报告表</w:t>
      </w:r>
    </w:p>
    <w:p>
      <w:pPr>
        <w:keepNext w:val="0"/>
        <w:keepLines w:val="0"/>
        <w:pageBreakBefore w:val="0"/>
        <w:widowControl w:val="0"/>
        <w:kinsoku/>
        <w:wordWrap/>
        <w:overflowPunct/>
        <w:topLinePunct w:val="0"/>
        <w:autoSpaceDE/>
        <w:autoSpaceDN/>
        <w:bidi w:val="0"/>
        <w:adjustRightInd w:val="0"/>
        <w:snapToGrid w:val="0"/>
        <w:spacing w:before="192" w:beforeLines="80" w:line="240" w:lineRule="auto"/>
        <w:ind w:firstLine="0" w:firstLineChars="0"/>
        <w:jc w:val="center"/>
        <w:textAlignment w:val="auto"/>
        <w:outlineLvl w:val="9"/>
        <w:rPr>
          <w:rFonts w:eastAsia="楷体_GB2312"/>
          <w:bCs/>
          <w:color w:val="auto"/>
          <w:sz w:val="48"/>
          <w:szCs w:val="48"/>
        </w:rPr>
      </w:pPr>
      <w:r>
        <w:rPr>
          <w:rFonts w:eastAsia="楷体_GB2312"/>
          <w:bCs/>
          <w:color w:val="auto"/>
          <w:sz w:val="48"/>
          <w:szCs w:val="48"/>
        </w:rPr>
        <w:t>（</w:t>
      </w:r>
      <w:r>
        <w:rPr>
          <w:rFonts w:hint="eastAsia" w:eastAsia="楷体_GB2312"/>
          <w:bCs/>
          <w:color w:val="auto"/>
          <w:sz w:val="48"/>
          <w:szCs w:val="48"/>
          <w:lang w:val="en-US" w:eastAsia="zh-CN"/>
        </w:rPr>
        <w:t>生态</w:t>
      </w:r>
      <w:r>
        <w:rPr>
          <w:rFonts w:eastAsia="楷体_GB2312"/>
          <w:bCs/>
          <w:color w:val="auto"/>
          <w:sz w:val="48"/>
          <w:szCs w:val="48"/>
        </w:rPr>
        <w:t>影响类）</w:t>
      </w:r>
    </w:p>
    <w:p>
      <w:pPr>
        <w:keepNext w:val="0"/>
        <w:keepLines w:val="0"/>
        <w:pageBreakBefore w:val="0"/>
        <w:widowControl w:val="0"/>
        <w:kinsoku/>
        <w:wordWrap/>
        <w:overflowPunct/>
        <w:topLinePunct w:val="0"/>
        <w:autoSpaceDE/>
        <w:autoSpaceDN/>
        <w:bidi w:val="0"/>
        <w:adjustRightInd w:val="0"/>
        <w:snapToGrid w:val="0"/>
        <w:spacing w:before="192" w:beforeLines="80" w:line="240" w:lineRule="auto"/>
        <w:ind w:firstLine="0" w:firstLineChars="0"/>
        <w:jc w:val="center"/>
        <w:textAlignment w:val="auto"/>
        <w:outlineLvl w:val="9"/>
        <w:rPr>
          <w:rFonts w:hint="eastAsia" w:eastAsia="楷体_GB2312"/>
          <w:bCs/>
          <w:color w:val="auto"/>
          <w:sz w:val="48"/>
          <w:szCs w:val="48"/>
          <w:lang w:eastAsia="zh-CN"/>
        </w:rPr>
      </w:pPr>
      <w:r>
        <w:rPr>
          <w:rFonts w:hint="eastAsia" w:eastAsia="楷体_GB2312"/>
          <w:bCs/>
          <w:color w:val="auto"/>
          <w:sz w:val="48"/>
          <w:szCs w:val="48"/>
          <w:lang w:eastAsia="zh-CN"/>
        </w:rPr>
        <w:t>（</w:t>
      </w:r>
      <w:r>
        <w:rPr>
          <w:rFonts w:hint="eastAsia" w:eastAsia="楷体_GB2312"/>
          <w:bCs/>
          <w:color w:val="auto"/>
          <w:sz w:val="48"/>
          <w:szCs w:val="48"/>
          <w:lang w:val="en-US" w:eastAsia="zh-CN"/>
        </w:rPr>
        <w:t>送审本</w:t>
      </w:r>
      <w:r>
        <w:rPr>
          <w:rFonts w:hint="eastAsia" w:eastAsia="楷体_GB2312"/>
          <w:bCs/>
          <w:color w:val="auto"/>
          <w:sz w:val="48"/>
          <w:szCs w:val="48"/>
          <w:lang w:eastAsia="zh-CN"/>
        </w:rPr>
        <w:t>）</w:t>
      </w:r>
    </w:p>
    <w:p>
      <w:pPr>
        <w:rPr>
          <w:rFonts w:ascii="Times New Roman" w:hAnsi="Times New Roman" w:eastAsia="宋体"/>
          <w:color w:val="auto"/>
        </w:rPr>
      </w:pPr>
    </w:p>
    <w:p>
      <w:pPr>
        <w:rPr>
          <w:rFonts w:ascii="Times New Roman" w:hAnsi="Times New Roman" w:eastAsia="宋体"/>
          <w:color w:val="auto"/>
        </w:rPr>
      </w:pPr>
    </w:p>
    <w:p>
      <w:pPr>
        <w:rPr>
          <w:rFonts w:ascii="Times New Roman" w:hAnsi="Times New Roman" w:eastAsia="宋体"/>
          <w:color w:val="auto"/>
        </w:rPr>
      </w:pPr>
    </w:p>
    <w:p>
      <w:pPr>
        <w:rPr>
          <w:rFonts w:hint="eastAsia" w:ascii="Times New Roman" w:hAnsi="Times New Roman" w:eastAsia="宋体"/>
          <w:color w:val="auto"/>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right"/>
        <w:textAlignment w:val="auto"/>
        <w:outlineLvl w:val="9"/>
        <w:rPr>
          <w:rFonts w:hint="default" w:ascii="Times New Roman" w:hAnsi="Times New Roman" w:eastAsia="仿宋_GB2312" w:cs="Times New Roman"/>
          <w:b w:val="0"/>
          <w:bCs w:val="0"/>
          <w:color w:val="auto"/>
          <w:sz w:val="36"/>
          <w:szCs w:val="36"/>
          <w:u w:val="single"/>
          <w:lang w:eastAsia="zh-CN"/>
        </w:rPr>
      </w:pPr>
      <w:r>
        <w:rPr>
          <w:rFonts w:hint="default" w:ascii="Times New Roman" w:hAnsi="Times New Roman" w:eastAsia="仿宋_GB2312" w:cs="Times New Roman"/>
          <w:b w:val="0"/>
          <w:bCs w:val="0"/>
          <w:color w:val="auto"/>
          <w:sz w:val="36"/>
          <w:szCs w:val="36"/>
        </w:rPr>
        <w:t>项目名称：</w:t>
      </w:r>
      <w:r>
        <w:rPr>
          <w:rFonts w:hint="eastAsia" w:eastAsia="仿宋_GB2312" w:cs="Times New Roman"/>
          <w:b w:val="0"/>
          <w:bCs w:val="0"/>
          <w:color w:val="auto"/>
          <w:sz w:val="36"/>
          <w:szCs w:val="36"/>
          <w:u w:val="single"/>
          <w:lang w:eastAsia="zh-CN"/>
        </w:rPr>
        <w:t>蓬溪县国家储备林建设及森林质量提升项目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60" w:firstLineChars="100"/>
        <w:textAlignment w:val="auto"/>
        <w:outlineLvl w:val="9"/>
        <w:rPr>
          <w:rFonts w:hint="default" w:ascii="Times New Roman" w:hAnsi="Times New Roman" w:eastAsia="仿宋_GB2312" w:cs="Times New Roman"/>
          <w:b w:val="0"/>
          <w:bCs w:val="0"/>
          <w:color w:val="auto"/>
          <w:sz w:val="36"/>
          <w:szCs w:val="36"/>
          <w:u w:val="single"/>
          <w:lang w:val="en-US" w:eastAsia="zh-CN"/>
        </w:rPr>
      </w:pPr>
      <w:r>
        <w:rPr>
          <w:rFonts w:hint="default" w:ascii="Times New Roman" w:hAnsi="Times New Roman" w:eastAsia="仿宋_GB2312" w:cs="Times New Roman"/>
          <w:b w:val="0"/>
          <w:bCs w:val="0"/>
          <w:color w:val="auto"/>
          <w:sz w:val="36"/>
          <w:szCs w:val="36"/>
        </w:rPr>
        <w:t>建设单位</w:t>
      </w:r>
      <w:r>
        <w:rPr>
          <w:rFonts w:hint="default" w:ascii="Times New Roman" w:hAnsi="Times New Roman" w:eastAsia="仿宋_GB2312" w:cs="Times New Roman"/>
          <w:b w:val="0"/>
          <w:bCs w:val="0"/>
          <w:color w:val="auto"/>
          <w:spacing w:val="-57"/>
          <w:sz w:val="36"/>
          <w:szCs w:val="36"/>
        </w:rPr>
        <w:t>（</w:t>
      </w:r>
      <w:r>
        <w:rPr>
          <w:rFonts w:hint="default" w:ascii="Times New Roman" w:hAnsi="Times New Roman" w:eastAsia="仿宋_GB2312" w:cs="Times New Roman"/>
          <w:b w:val="0"/>
          <w:bCs w:val="0"/>
          <w:color w:val="auto"/>
          <w:sz w:val="36"/>
          <w:szCs w:val="36"/>
        </w:rPr>
        <w:t>盖章</w:t>
      </w:r>
      <w:r>
        <w:rPr>
          <w:rFonts w:hint="default" w:ascii="Times New Roman" w:hAnsi="Times New Roman" w:eastAsia="仿宋_GB2312" w:cs="Times New Roman"/>
          <w:b w:val="0"/>
          <w:bCs w:val="0"/>
          <w:color w:val="auto"/>
          <w:spacing w:val="-57"/>
          <w:sz w:val="36"/>
          <w:szCs w:val="36"/>
        </w:rPr>
        <w:t>）：</w:t>
      </w:r>
      <w:r>
        <w:rPr>
          <w:rFonts w:hint="eastAsia" w:eastAsia="仿宋_GB2312" w:cs="Times New Roman"/>
          <w:b w:val="0"/>
          <w:bCs w:val="0"/>
          <w:color w:val="auto"/>
          <w:spacing w:val="-11"/>
          <w:sz w:val="36"/>
          <w:szCs w:val="36"/>
          <w:u w:val="single"/>
          <w:lang w:val="en-US" w:eastAsia="zh-CN"/>
        </w:rPr>
        <w:t>蓬溪博瑞实业有限责任公司</w:t>
      </w:r>
      <w:r>
        <w:rPr>
          <w:rFonts w:hint="default" w:ascii="Times New Roman" w:hAnsi="Times New Roman" w:eastAsia="仿宋_GB2312" w:cs="Times New Roman"/>
          <w:b w:val="0"/>
          <w:bCs w:val="0"/>
          <w:color w:val="auto"/>
          <w:sz w:val="36"/>
          <w:szCs w:val="36"/>
          <w:u w:val="single"/>
        </w:rPr>
        <w:t>　　</w:t>
      </w:r>
      <w:r>
        <w:rPr>
          <w:rFonts w:hint="eastAsia" w:eastAsia="仿宋_GB2312" w:cs="Times New Roman"/>
          <w:b w:val="0"/>
          <w:bCs w:val="0"/>
          <w:color w:val="auto"/>
          <w:sz w:val="36"/>
          <w:szCs w:val="36"/>
          <w:u w:val="single"/>
          <w:lang w:val="en-US" w:eastAsia="zh-CN"/>
        </w:rPr>
        <w:t xml:space="preserve">   </w:t>
      </w:r>
      <w:r>
        <w:rPr>
          <w:rFonts w:hint="default" w:ascii="Times New Roman" w:hAnsi="Times New Roman" w:eastAsia="仿宋_GB2312" w:cs="Times New Roman"/>
          <w:b w:val="0"/>
          <w:bCs w:val="0"/>
          <w:color w:val="auto"/>
          <w:sz w:val="36"/>
          <w:szCs w:val="36"/>
          <w:u w:val="single"/>
        </w:rPr>
        <w:t>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60" w:firstLineChars="100"/>
        <w:textAlignment w:val="auto"/>
        <w:outlineLvl w:val="9"/>
        <w:rPr>
          <w:rFonts w:hint="default" w:ascii="Times New Roman" w:hAnsi="Times New Roman" w:eastAsia="仿宋_GB2312" w:cs="Times New Roman"/>
          <w:b w:val="0"/>
          <w:bCs w:val="0"/>
          <w:color w:val="auto"/>
          <w:sz w:val="44"/>
          <w:szCs w:val="44"/>
          <w:lang w:val="en-US" w:eastAsia="zh-CN"/>
        </w:rPr>
      </w:pPr>
      <w:r>
        <w:rPr>
          <w:rFonts w:hint="default" w:ascii="Times New Roman" w:hAnsi="Times New Roman" w:eastAsia="仿宋_GB2312" w:cs="Times New Roman"/>
          <w:b w:val="0"/>
          <w:bCs w:val="0"/>
          <w:color w:val="auto"/>
          <w:sz w:val="36"/>
          <w:szCs w:val="36"/>
        </w:rPr>
        <w:t>编制日期：</w:t>
      </w:r>
      <w:r>
        <w:rPr>
          <w:rFonts w:hint="default" w:ascii="Times New Roman" w:hAnsi="Times New Roman" w:eastAsia="仿宋_GB2312" w:cs="Times New Roman"/>
          <w:b w:val="0"/>
          <w:bCs w:val="0"/>
          <w:color w:val="auto"/>
          <w:sz w:val="36"/>
          <w:szCs w:val="36"/>
          <w:u w:val="single"/>
        </w:rPr>
        <w:t>　　　　　　202</w:t>
      </w:r>
      <w:r>
        <w:rPr>
          <w:rFonts w:hint="eastAsia" w:eastAsia="仿宋_GB2312" w:cs="Times New Roman"/>
          <w:b w:val="0"/>
          <w:bCs w:val="0"/>
          <w:color w:val="auto"/>
          <w:sz w:val="36"/>
          <w:szCs w:val="36"/>
          <w:u w:val="single"/>
          <w:lang w:val="en-US" w:eastAsia="zh-CN"/>
        </w:rPr>
        <w:t>5</w:t>
      </w:r>
      <w:r>
        <w:rPr>
          <w:rFonts w:hint="default" w:ascii="Times New Roman" w:hAnsi="Times New Roman" w:eastAsia="仿宋_GB2312" w:cs="Times New Roman"/>
          <w:b w:val="0"/>
          <w:bCs w:val="0"/>
          <w:color w:val="auto"/>
          <w:sz w:val="36"/>
          <w:szCs w:val="36"/>
          <w:u w:val="single"/>
        </w:rPr>
        <w:t>年</w:t>
      </w:r>
      <w:r>
        <w:rPr>
          <w:rFonts w:hint="eastAsia" w:eastAsia="仿宋_GB2312" w:cs="Times New Roman"/>
          <w:b w:val="0"/>
          <w:bCs w:val="0"/>
          <w:color w:val="auto"/>
          <w:sz w:val="36"/>
          <w:szCs w:val="36"/>
          <w:u w:val="single"/>
          <w:lang w:val="en-US" w:eastAsia="zh-CN"/>
        </w:rPr>
        <w:t>4</w:t>
      </w:r>
      <w:r>
        <w:rPr>
          <w:rFonts w:hint="default" w:ascii="Times New Roman" w:hAnsi="Times New Roman" w:eastAsia="仿宋_GB2312" w:cs="Times New Roman"/>
          <w:b w:val="0"/>
          <w:bCs w:val="0"/>
          <w:color w:val="auto"/>
          <w:sz w:val="36"/>
          <w:szCs w:val="36"/>
          <w:u w:val="single"/>
        </w:rPr>
        <w:t>月</w:t>
      </w:r>
      <w:bookmarkStart w:id="0" w:name="_Hlk57884087"/>
      <w:r>
        <w:rPr>
          <w:rFonts w:hint="default" w:ascii="Times New Roman" w:hAnsi="Times New Roman" w:eastAsia="仿宋_GB2312" w:cs="Times New Roman"/>
          <w:b w:val="0"/>
          <w:bCs w:val="0"/>
          <w:color w:val="auto"/>
          <w:sz w:val="36"/>
          <w:szCs w:val="36"/>
          <w:u w:val="single"/>
        </w:rPr>
        <w:t>　　　　</w:t>
      </w:r>
      <w:r>
        <w:rPr>
          <w:rFonts w:hint="eastAsia" w:eastAsia="仿宋_GB2312" w:cs="Times New Roman"/>
          <w:b w:val="0"/>
          <w:bCs w:val="0"/>
          <w:color w:val="auto"/>
          <w:sz w:val="36"/>
          <w:szCs w:val="36"/>
          <w:u w:val="single"/>
          <w:lang w:val="en-US" w:eastAsia="zh-CN"/>
        </w:rPr>
        <w:t xml:space="preserve">  </w:t>
      </w:r>
      <w:r>
        <w:rPr>
          <w:rFonts w:hint="default" w:ascii="Times New Roman" w:hAnsi="Times New Roman" w:eastAsia="仿宋_GB2312" w:cs="Times New Roman"/>
          <w:b w:val="0"/>
          <w:bCs w:val="0"/>
          <w:color w:val="auto"/>
          <w:sz w:val="36"/>
          <w:szCs w:val="36"/>
          <w:u w:val="single"/>
        </w:rPr>
        <w:t>　</w:t>
      </w:r>
      <w:r>
        <w:rPr>
          <w:rFonts w:hint="eastAsia" w:eastAsia="仿宋_GB2312" w:cs="Times New Roman"/>
          <w:b w:val="0"/>
          <w:bCs w:val="0"/>
          <w:color w:val="auto"/>
          <w:sz w:val="36"/>
          <w:szCs w:val="36"/>
          <w:u w:val="single"/>
          <w:lang w:val="en-US" w:eastAsia="zh-CN"/>
        </w:rPr>
        <w:t xml:space="preserve">    </w:t>
      </w:r>
    </w:p>
    <w:p>
      <w:pPr>
        <w:rPr>
          <w:color w:val="auto"/>
        </w:rPr>
      </w:pPr>
    </w:p>
    <w:p>
      <w:pPr>
        <w:rPr>
          <w:color w:val="auto"/>
        </w:rPr>
      </w:pPr>
    </w:p>
    <w:p>
      <w:pPr>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rPr>
          <w:color w:val="auto"/>
        </w:rPr>
      </w:pPr>
    </w:p>
    <w:p>
      <w:pPr>
        <w:rPr>
          <w:color w:val="auto"/>
        </w:rPr>
      </w:pPr>
    </w:p>
    <w:bookmarkEnd w:id="0"/>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9"/>
        <w:rPr>
          <w:rFonts w:ascii="Times New Roman" w:hAnsi="Times New Roman" w:eastAsia="楷体_GB2312"/>
          <w:color w:val="auto"/>
          <w:sz w:val="36"/>
          <w:szCs w:val="36"/>
        </w:rPr>
      </w:pPr>
      <w:r>
        <w:rPr>
          <w:rFonts w:ascii="Times New Roman" w:hAnsi="Times New Roman" w:eastAsia="楷体_GB2312"/>
          <w:color w:val="auto"/>
          <w:sz w:val="36"/>
          <w:szCs w:val="36"/>
        </w:rPr>
        <w:t>中华人民共和国生态环境部制</w:t>
      </w:r>
    </w:p>
    <w:p>
      <w:pPr>
        <w:pStyle w:val="12"/>
        <w:rPr>
          <w:rFonts w:ascii="Times New Roman" w:hAnsi="Times New Roman" w:eastAsia="楷体_GB2312"/>
          <w:color w:val="auto"/>
          <w:sz w:val="36"/>
          <w:szCs w:val="36"/>
        </w:rPr>
        <w:sectPr>
          <w:pgSz w:w="11906" w:h="16838"/>
          <w:pgMar w:top="1701" w:right="1474" w:bottom="1701" w:left="1474"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12"/>
        <w:ind w:left="0" w:leftChars="0" w:firstLine="0" w:firstLineChars="0"/>
        <w:rPr>
          <w:rFonts w:ascii="Times New Roman" w:hAnsi="Times New Roman" w:eastAsia="楷体_GB2312"/>
          <w:color w:val="auto"/>
          <w:sz w:val="36"/>
          <w:szCs w:val="36"/>
        </w:rPr>
      </w:pPr>
    </w:p>
    <w:sdt>
      <w:sdtPr>
        <w:rPr>
          <w:rFonts w:hint="eastAsia" w:ascii="黑体" w:hAnsi="黑体" w:eastAsia="黑体" w:cs="黑体"/>
          <w:color w:val="auto"/>
          <w:kern w:val="2"/>
          <w:sz w:val="32"/>
          <w:szCs w:val="32"/>
          <w:lang w:val="en-US" w:eastAsia="zh-CN" w:bidi="ar-SA"/>
        </w:rPr>
        <w:id w:val="147458879"/>
        <w15:color w:val="DBDBDB"/>
        <w:docPartObj>
          <w:docPartGallery w:val="Table of Contents"/>
          <w:docPartUnique/>
        </w:docPartObj>
      </w:sdtPr>
      <w:sdtEndPr>
        <w:rPr>
          <w:rFonts w:hint="eastAsia" w:ascii="Times New Roman" w:hAnsi="Times New Roman" w:eastAsia="宋体" w:cs="Times New Roman"/>
          <w:color w:val="auto"/>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color w:val="auto"/>
              <w:sz w:val="32"/>
              <w:szCs w:val="32"/>
            </w:rPr>
          </w:pPr>
          <w:r>
            <w:rPr>
              <w:rFonts w:hint="eastAsia" w:ascii="黑体" w:hAnsi="黑体" w:eastAsia="黑体" w:cs="黑体"/>
              <w:color w:val="auto"/>
              <w:sz w:val="32"/>
              <w:szCs w:val="32"/>
            </w:rPr>
            <w:t>目录</w:t>
          </w:r>
        </w:p>
        <w:p>
          <w:pPr>
            <w:pStyle w:val="15"/>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TOC \o "1-3" \h \u </w:instrText>
          </w:r>
          <w:r>
            <w:rPr>
              <w:rFonts w:hint="eastAsia"/>
              <w:color w:val="auto"/>
              <w:lang w:val="en-US" w:eastAsia="zh-CN"/>
            </w:rPr>
            <w:fldChar w:fldCharType="separate"/>
          </w:r>
          <w:r>
            <w:rPr>
              <w:rFonts w:hint="eastAsia"/>
              <w:color w:val="auto"/>
              <w:lang w:val="en-US" w:eastAsia="zh-CN"/>
            </w:rPr>
            <w:fldChar w:fldCharType="begin"/>
          </w:r>
          <w:r>
            <w:rPr>
              <w:rFonts w:hint="eastAsia"/>
              <w:color w:val="auto"/>
              <w:lang w:val="en-US" w:eastAsia="zh-CN"/>
            </w:rPr>
            <w:instrText xml:space="preserve"> HYPERLINK \l _Toc12347 </w:instrText>
          </w:r>
          <w:r>
            <w:rPr>
              <w:rFonts w:hint="eastAsia"/>
              <w:color w:val="auto"/>
              <w:lang w:val="en-US" w:eastAsia="zh-CN"/>
            </w:rPr>
            <w:fldChar w:fldCharType="separate"/>
          </w:r>
          <w:r>
            <w:rPr>
              <w:rFonts w:hint="default" w:ascii="Times New Roman" w:hAnsi="Times New Roman" w:cs="Times New Roman"/>
              <w:color w:val="auto"/>
              <w:lang w:val="en-US" w:eastAsia="zh-CN"/>
            </w:rPr>
            <w:t>一、建设项目基本情况</w:t>
          </w:r>
          <w:r>
            <w:rPr>
              <w:color w:val="auto"/>
            </w:rPr>
            <w:tab/>
          </w:r>
          <w:r>
            <w:rPr>
              <w:color w:val="auto"/>
            </w:rPr>
            <w:fldChar w:fldCharType="begin"/>
          </w:r>
          <w:r>
            <w:rPr>
              <w:color w:val="auto"/>
            </w:rPr>
            <w:instrText xml:space="preserve"> PAGEREF _Toc12347 \h </w:instrText>
          </w:r>
          <w:r>
            <w:rPr>
              <w:color w:val="auto"/>
            </w:rPr>
            <w:fldChar w:fldCharType="separate"/>
          </w:r>
          <w:r>
            <w:rPr>
              <w:color w:val="auto"/>
            </w:rPr>
            <w:t>1</w:t>
          </w:r>
          <w:r>
            <w:rPr>
              <w:color w:val="auto"/>
            </w:rPr>
            <w:fldChar w:fldCharType="end"/>
          </w:r>
          <w:r>
            <w:rPr>
              <w:rFonts w:hint="eastAsia"/>
              <w:color w:val="auto"/>
              <w:lang w:val="en-US" w:eastAsia="zh-CN"/>
            </w:rPr>
            <w:fldChar w:fldCharType="end"/>
          </w:r>
        </w:p>
        <w:p>
          <w:pPr>
            <w:pStyle w:val="15"/>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_Toc11301 </w:instrText>
          </w:r>
          <w:r>
            <w:rPr>
              <w:rFonts w:hint="eastAsia"/>
              <w:color w:val="auto"/>
              <w:lang w:val="en-US" w:eastAsia="zh-CN"/>
            </w:rPr>
            <w:fldChar w:fldCharType="separate"/>
          </w:r>
          <w:r>
            <w:rPr>
              <w:rFonts w:hint="eastAsia"/>
              <w:color w:val="auto"/>
              <w:lang w:val="en-US" w:eastAsia="zh-CN"/>
            </w:rPr>
            <w:t>二、建设内容</w:t>
          </w:r>
          <w:r>
            <w:rPr>
              <w:color w:val="auto"/>
            </w:rPr>
            <w:tab/>
          </w:r>
          <w:r>
            <w:rPr>
              <w:color w:val="auto"/>
            </w:rPr>
            <w:fldChar w:fldCharType="begin"/>
          </w:r>
          <w:r>
            <w:rPr>
              <w:color w:val="auto"/>
            </w:rPr>
            <w:instrText xml:space="preserve"> PAGEREF _Toc11301 \h </w:instrText>
          </w:r>
          <w:r>
            <w:rPr>
              <w:color w:val="auto"/>
            </w:rPr>
            <w:fldChar w:fldCharType="separate"/>
          </w:r>
          <w:r>
            <w:rPr>
              <w:color w:val="auto"/>
            </w:rPr>
            <w:t>19</w:t>
          </w:r>
          <w:r>
            <w:rPr>
              <w:color w:val="auto"/>
            </w:rPr>
            <w:fldChar w:fldCharType="end"/>
          </w:r>
          <w:r>
            <w:rPr>
              <w:rFonts w:hint="eastAsia"/>
              <w:color w:val="auto"/>
              <w:lang w:val="en-US" w:eastAsia="zh-CN"/>
            </w:rPr>
            <w:fldChar w:fldCharType="end"/>
          </w:r>
        </w:p>
        <w:p>
          <w:pPr>
            <w:pStyle w:val="15"/>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_Toc17957 </w:instrText>
          </w:r>
          <w:r>
            <w:rPr>
              <w:rFonts w:hint="eastAsia"/>
              <w:color w:val="auto"/>
              <w:lang w:val="en-US" w:eastAsia="zh-CN"/>
            </w:rPr>
            <w:fldChar w:fldCharType="separate"/>
          </w:r>
          <w:r>
            <w:rPr>
              <w:rFonts w:hint="eastAsia" w:ascii="Times New Roman" w:hAnsi="Times New Roman" w:cs="Times New Roman"/>
              <w:color w:val="auto"/>
              <w:lang w:val="en-US" w:eastAsia="zh-CN"/>
            </w:rPr>
            <w:t>三、生态环境现状、保护目标及评价标准</w:t>
          </w:r>
          <w:r>
            <w:rPr>
              <w:color w:val="auto"/>
            </w:rPr>
            <w:tab/>
          </w:r>
          <w:r>
            <w:rPr>
              <w:color w:val="auto"/>
            </w:rPr>
            <w:fldChar w:fldCharType="begin"/>
          </w:r>
          <w:r>
            <w:rPr>
              <w:color w:val="auto"/>
            </w:rPr>
            <w:instrText xml:space="preserve"> PAGEREF _Toc17957 \h </w:instrText>
          </w:r>
          <w:r>
            <w:rPr>
              <w:color w:val="auto"/>
            </w:rPr>
            <w:fldChar w:fldCharType="separate"/>
          </w:r>
          <w:r>
            <w:rPr>
              <w:color w:val="auto"/>
            </w:rPr>
            <w:t>75</w:t>
          </w:r>
          <w:r>
            <w:rPr>
              <w:color w:val="auto"/>
            </w:rPr>
            <w:fldChar w:fldCharType="end"/>
          </w:r>
          <w:r>
            <w:rPr>
              <w:rFonts w:hint="eastAsia"/>
              <w:color w:val="auto"/>
              <w:lang w:val="en-US" w:eastAsia="zh-CN"/>
            </w:rPr>
            <w:fldChar w:fldCharType="end"/>
          </w:r>
        </w:p>
        <w:p>
          <w:pPr>
            <w:pStyle w:val="15"/>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_Toc28886 </w:instrText>
          </w:r>
          <w:r>
            <w:rPr>
              <w:rFonts w:hint="eastAsia"/>
              <w:color w:val="auto"/>
              <w:lang w:val="en-US" w:eastAsia="zh-CN"/>
            </w:rPr>
            <w:fldChar w:fldCharType="separate"/>
          </w:r>
          <w:r>
            <w:rPr>
              <w:rFonts w:hint="eastAsia" w:ascii="Times New Roman" w:hAnsi="Times New Roman" w:cs="Times New Roman"/>
              <w:color w:val="auto"/>
              <w:lang w:val="en-US" w:eastAsia="zh-CN"/>
            </w:rPr>
            <w:t>四、生态环境影响分析</w:t>
          </w:r>
          <w:r>
            <w:rPr>
              <w:color w:val="auto"/>
            </w:rPr>
            <w:tab/>
          </w:r>
          <w:r>
            <w:rPr>
              <w:color w:val="auto"/>
            </w:rPr>
            <w:fldChar w:fldCharType="begin"/>
          </w:r>
          <w:r>
            <w:rPr>
              <w:color w:val="auto"/>
            </w:rPr>
            <w:instrText xml:space="preserve"> PAGEREF _Toc28886 \h </w:instrText>
          </w:r>
          <w:r>
            <w:rPr>
              <w:color w:val="auto"/>
            </w:rPr>
            <w:fldChar w:fldCharType="separate"/>
          </w:r>
          <w:r>
            <w:rPr>
              <w:color w:val="auto"/>
            </w:rPr>
            <w:t>87</w:t>
          </w:r>
          <w:r>
            <w:rPr>
              <w:color w:val="auto"/>
            </w:rPr>
            <w:fldChar w:fldCharType="end"/>
          </w:r>
          <w:r>
            <w:rPr>
              <w:rFonts w:hint="eastAsia"/>
              <w:color w:val="auto"/>
              <w:lang w:val="en-US" w:eastAsia="zh-CN"/>
            </w:rPr>
            <w:fldChar w:fldCharType="end"/>
          </w:r>
        </w:p>
        <w:p>
          <w:pPr>
            <w:pStyle w:val="15"/>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_Toc24801 </w:instrText>
          </w:r>
          <w:r>
            <w:rPr>
              <w:rFonts w:hint="eastAsia"/>
              <w:color w:val="auto"/>
              <w:lang w:val="en-US" w:eastAsia="zh-CN"/>
            </w:rPr>
            <w:fldChar w:fldCharType="separate"/>
          </w:r>
          <w:r>
            <w:rPr>
              <w:rFonts w:hint="eastAsia"/>
              <w:color w:val="auto"/>
              <w:lang w:val="en-US" w:eastAsia="zh-CN"/>
            </w:rPr>
            <w:t>五、主要生态环境保护措施</w:t>
          </w:r>
          <w:r>
            <w:rPr>
              <w:color w:val="auto"/>
            </w:rPr>
            <w:tab/>
          </w:r>
          <w:r>
            <w:rPr>
              <w:color w:val="auto"/>
            </w:rPr>
            <w:fldChar w:fldCharType="begin"/>
          </w:r>
          <w:r>
            <w:rPr>
              <w:color w:val="auto"/>
            </w:rPr>
            <w:instrText xml:space="preserve"> PAGEREF _Toc24801 \h </w:instrText>
          </w:r>
          <w:r>
            <w:rPr>
              <w:color w:val="auto"/>
            </w:rPr>
            <w:fldChar w:fldCharType="separate"/>
          </w:r>
          <w:r>
            <w:rPr>
              <w:color w:val="auto"/>
            </w:rPr>
            <w:t>91</w:t>
          </w:r>
          <w:r>
            <w:rPr>
              <w:color w:val="auto"/>
            </w:rPr>
            <w:fldChar w:fldCharType="end"/>
          </w:r>
          <w:r>
            <w:rPr>
              <w:rFonts w:hint="eastAsia"/>
              <w:color w:val="auto"/>
              <w:lang w:val="en-US" w:eastAsia="zh-CN"/>
            </w:rPr>
            <w:fldChar w:fldCharType="end"/>
          </w:r>
        </w:p>
        <w:p>
          <w:pPr>
            <w:pStyle w:val="15"/>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_Toc29143 </w:instrText>
          </w:r>
          <w:r>
            <w:rPr>
              <w:rFonts w:hint="eastAsia"/>
              <w:color w:val="auto"/>
              <w:lang w:val="en-US" w:eastAsia="zh-CN"/>
            </w:rPr>
            <w:fldChar w:fldCharType="separate"/>
          </w:r>
          <w:r>
            <w:rPr>
              <w:rFonts w:hint="eastAsia" w:ascii="Times New Roman" w:hAnsi="Times New Roman" w:cs="Times New Roman"/>
              <w:color w:val="auto"/>
              <w:lang w:val="en-US" w:eastAsia="zh-CN"/>
            </w:rPr>
            <w:t>六、生态环境保护措施监督检查清单</w:t>
          </w:r>
          <w:r>
            <w:rPr>
              <w:color w:val="auto"/>
            </w:rPr>
            <w:tab/>
          </w:r>
          <w:r>
            <w:rPr>
              <w:color w:val="auto"/>
            </w:rPr>
            <w:fldChar w:fldCharType="begin"/>
          </w:r>
          <w:r>
            <w:rPr>
              <w:color w:val="auto"/>
            </w:rPr>
            <w:instrText xml:space="preserve"> PAGEREF _Toc29143 \h </w:instrText>
          </w:r>
          <w:r>
            <w:rPr>
              <w:color w:val="auto"/>
            </w:rPr>
            <w:fldChar w:fldCharType="separate"/>
          </w:r>
          <w:r>
            <w:rPr>
              <w:color w:val="auto"/>
            </w:rPr>
            <w:t>98</w:t>
          </w:r>
          <w:r>
            <w:rPr>
              <w:color w:val="auto"/>
            </w:rPr>
            <w:fldChar w:fldCharType="end"/>
          </w:r>
          <w:r>
            <w:rPr>
              <w:rFonts w:hint="eastAsia"/>
              <w:color w:val="auto"/>
              <w:lang w:val="en-US" w:eastAsia="zh-CN"/>
            </w:rPr>
            <w:fldChar w:fldCharType="end"/>
          </w:r>
        </w:p>
        <w:p>
          <w:pPr>
            <w:pStyle w:val="15"/>
            <w:tabs>
              <w:tab w:val="right" w:leader="dot" w:pos="8306"/>
            </w:tabs>
            <w:rPr>
              <w:color w:val="auto"/>
            </w:rPr>
          </w:pPr>
          <w:r>
            <w:rPr>
              <w:rFonts w:hint="eastAsia"/>
              <w:color w:val="auto"/>
              <w:lang w:val="en-US" w:eastAsia="zh-CN"/>
            </w:rPr>
            <w:fldChar w:fldCharType="begin"/>
          </w:r>
          <w:r>
            <w:rPr>
              <w:rFonts w:hint="eastAsia"/>
              <w:color w:val="auto"/>
              <w:lang w:val="en-US" w:eastAsia="zh-CN"/>
            </w:rPr>
            <w:instrText xml:space="preserve"> HYPERLINK \l _Toc18272 </w:instrText>
          </w:r>
          <w:r>
            <w:rPr>
              <w:rFonts w:hint="eastAsia"/>
              <w:color w:val="auto"/>
              <w:lang w:val="en-US" w:eastAsia="zh-CN"/>
            </w:rPr>
            <w:fldChar w:fldCharType="separate"/>
          </w:r>
          <w:r>
            <w:rPr>
              <w:rFonts w:hint="eastAsia" w:ascii="Times New Roman" w:hAnsi="Times New Roman" w:cs="Times New Roman"/>
              <w:color w:val="auto"/>
              <w:lang w:val="en-US" w:eastAsia="zh-CN"/>
            </w:rPr>
            <w:t>七、结论</w:t>
          </w:r>
          <w:r>
            <w:rPr>
              <w:color w:val="auto"/>
            </w:rPr>
            <w:tab/>
          </w:r>
          <w:r>
            <w:rPr>
              <w:color w:val="auto"/>
            </w:rPr>
            <w:fldChar w:fldCharType="begin"/>
          </w:r>
          <w:r>
            <w:rPr>
              <w:color w:val="auto"/>
            </w:rPr>
            <w:instrText xml:space="preserve"> PAGEREF _Toc18272 \h </w:instrText>
          </w:r>
          <w:r>
            <w:rPr>
              <w:color w:val="auto"/>
            </w:rPr>
            <w:fldChar w:fldCharType="separate"/>
          </w:r>
          <w:r>
            <w:rPr>
              <w:color w:val="auto"/>
            </w:rPr>
            <w:t>102</w:t>
          </w:r>
          <w:r>
            <w:rPr>
              <w:color w:val="auto"/>
            </w:rPr>
            <w:fldChar w:fldCharType="end"/>
          </w:r>
          <w:r>
            <w:rPr>
              <w:rFonts w:hint="eastAsia"/>
              <w:color w:val="auto"/>
              <w:lang w:val="en-US" w:eastAsia="zh-CN"/>
            </w:rPr>
            <w:fldChar w:fldCharType="end"/>
          </w:r>
        </w:p>
        <w:p>
          <w:pPr>
            <w:pStyle w:val="4"/>
            <w:rPr>
              <w:rFonts w:hint="eastAsia"/>
              <w:color w:val="auto"/>
              <w:lang w:val="en-US" w:eastAsia="zh-CN"/>
            </w:rPr>
          </w:pPr>
          <w:r>
            <w:rPr>
              <w:rFonts w:hint="eastAsia"/>
              <w:color w:val="auto"/>
              <w:lang w:val="en-US" w:eastAsia="zh-CN"/>
            </w:rPr>
            <w:fldChar w:fldCharType="end"/>
          </w:r>
        </w:p>
      </w:sdtContent>
    </w:sdt>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4"/>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lang w:val="en-US" w:eastAsia="zh-CN"/>
        </w:rPr>
      </w:pPr>
      <w:bookmarkStart w:id="1" w:name="_Toc12347"/>
      <w:r>
        <w:rPr>
          <w:rFonts w:hint="default" w:ascii="Times New Roman" w:hAnsi="Times New Roman" w:cs="Times New Roman"/>
          <w:color w:val="auto"/>
          <w:lang w:val="en-US" w:eastAsia="zh-CN"/>
        </w:rPr>
        <w:t>一、建设项目基本情况</w:t>
      </w:r>
      <w:bookmarkEnd w:id="1"/>
    </w:p>
    <w:tbl>
      <w:tblPr>
        <w:tblStyle w:val="22"/>
        <w:tblpPr w:leftFromText="180" w:rightFromText="180" w:vertAnchor="text" w:tblpXSpec="left" w:tblpY="1"/>
        <w:tblOverlap w:val="never"/>
        <w:tblW w:w="895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14"/>
        <w:gridCol w:w="3031"/>
        <w:gridCol w:w="1570"/>
        <w:gridCol w:w="34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建设项目名称</w:t>
            </w:r>
          </w:p>
        </w:tc>
        <w:tc>
          <w:tcPr>
            <w:tcW w:w="8038"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蓬溪县国家储备林建设及森林质量提升项目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8038"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2207-510921-99-01-754598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30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佘兵</w:t>
            </w:r>
          </w:p>
        </w:tc>
        <w:tc>
          <w:tcPr>
            <w:tcW w:w="15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highlight w:val="none"/>
                <w:lang w:val="en-US" w:eastAsia="zh-CN"/>
              </w:rPr>
            </w:pPr>
            <w:r>
              <w:rPr>
                <w:rFonts w:hint="default" w:cs="Times New Roman"/>
                <w:color w:val="auto"/>
                <w:sz w:val="24"/>
                <w:szCs w:val="24"/>
                <w:highlight w:val="none"/>
                <w:lang w:val="en-US" w:eastAsia="zh-CN"/>
              </w:rPr>
              <w:t>联系方式</w:t>
            </w:r>
          </w:p>
        </w:tc>
        <w:tc>
          <w:tcPr>
            <w:tcW w:w="34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建设地点</w:t>
            </w:r>
          </w:p>
        </w:tc>
        <w:tc>
          <w:tcPr>
            <w:tcW w:w="8038"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四川省遂宁市蓬溪县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8038"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东经105°45′28.965″，北纬30°40′32.045″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highlight w:val="none"/>
                <w:lang w:val="en-US" w:eastAsia="zh-CN"/>
              </w:rPr>
            </w:pPr>
            <w:r>
              <w:rPr>
                <w:rFonts w:hint="default" w:cs="Times New Roman"/>
                <w:color w:val="auto"/>
                <w:sz w:val="24"/>
                <w:szCs w:val="24"/>
                <w:highlight w:val="none"/>
                <w:lang w:val="en-US" w:eastAsia="zh-CN"/>
              </w:rPr>
              <w:t>建设项目行业类别</w:t>
            </w:r>
          </w:p>
        </w:tc>
        <w:tc>
          <w:tcPr>
            <w:tcW w:w="30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一、农业01、林业02中</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 农产品基地项目（含</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药材基地）</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2、经济林基地项目</w:t>
            </w:r>
          </w:p>
        </w:tc>
        <w:tc>
          <w:tcPr>
            <w:tcW w:w="15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用地面积</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tc>
        <w:tc>
          <w:tcPr>
            <w:tcW w:w="34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75330200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14" w:type="dxa"/>
            <w:noWrap w:val="0"/>
            <w:tcMar>
              <w:top w:w="16" w:type="dxa"/>
              <w:left w:w="113"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3031" w:type="dxa"/>
            <w:noWrap w:val="0"/>
            <w:tcMar>
              <w:left w:w="113"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新建（迁建）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改建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扩建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技术改造</w:t>
            </w:r>
          </w:p>
        </w:tc>
        <w:tc>
          <w:tcPr>
            <w:tcW w:w="1570" w:type="dxa"/>
            <w:noWrap w:val="0"/>
            <w:tcMar>
              <w:top w:w="0" w:type="dxa"/>
              <w:left w:w="113"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申报情形</w:t>
            </w:r>
          </w:p>
        </w:tc>
        <w:tc>
          <w:tcPr>
            <w:tcW w:w="3437" w:type="dxa"/>
            <w:noWrap w:val="0"/>
            <w:tcMar>
              <w:top w:w="0" w:type="dxa"/>
              <w:left w:w="113"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首次申报项目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不予批准后再次申报项目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超五年重新审核项目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项目备案部门</w:t>
            </w:r>
          </w:p>
        </w:tc>
        <w:tc>
          <w:tcPr>
            <w:tcW w:w="30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蓬溪县行政审批局</w:t>
            </w:r>
          </w:p>
        </w:tc>
        <w:tc>
          <w:tcPr>
            <w:tcW w:w="15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项目备案</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文号</w:t>
            </w:r>
          </w:p>
        </w:tc>
        <w:tc>
          <w:tcPr>
            <w:tcW w:w="34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川投资备【2207-510921-99-01-754598】FGQB-0104号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（万元）</w:t>
            </w:r>
          </w:p>
        </w:tc>
        <w:tc>
          <w:tcPr>
            <w:tcW w:w="3031" w:type="dxa"/>
            <w:noWrap w:val="0"/>
            <w:tcMar>
              <w:top w:w="0" w:type="dxa"/>
              <w:left w:w="57"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132387.83</w:t>
            </w:r>
          </w:p>
        </w:tc>
        <w:tc>
          <w:tcPr>
            <w:tcW w:w="157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（万元）</w:t>
            </w:r>
          </w:p>
        </w:tc>
        <w:tc>
          <w:tcPr>
            <w:tcW w:w="34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bCs/>
                <w:color w:val="auto"/>
                <w:spacing w:val="0"/>
                <w:sz w:val="24"/>
                <w:szCs w:val="21"/>
                <w:lang w:eastAsia="zh-CN"/>
              </w:rPr>
              <w:t>15660.3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14" w:type="dxa"/>
            <w:noWrap w:val="0"/>
            <w:tcMar>
              <w:top w:w="16" w:type="dxa"/>
              <w:left w:w="113"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3031" w:type="dxa"/>
            <w:noWrap w:val="0"/>
            <w:tcMar>
              <w:left w:w="113"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11.83</w:t>
            </w:r>
          </w:p>
        </w:tc>
        <w:tc>
          <w:tcPr>
            <w:tcW w:w="157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34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60个月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8038"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否</w:t>
            </w:r>
          </w:p>
          <w:p>
            <w:pPr>
              <w:keepNext w:val="0"/>
              <w:keepLines w:val="0"/>
              <w:pageBreakBefore w:val="0"/>
              <w:widowControl w:val="0"/>
              <w:kinsoku/>
              <w:wordWrap/>
              <w:overflowPunct/>
              <w:topLinePunct w:val="0"/>
              <w:autoSpaceDE/>
              <w:autoSpaceDN/>
              <w:bidi w:val="0"/>
              <w:adjustRightInd w:val="0"/>
              <w:snapToGrid w:val="0"/>
              <w:spacing w:line="240" w:lineRule="auto"/>
              <w:ind w:left="120" w:leftChars="5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专项评价设置情况</w:t>
            </w:r>
          </w:p>
        </w:tc>
        <w:tc>
          <w:tcPr>
            <w:tcW w:w="8038" w:type="dxa"/>
            <w:gridSpan w:val="3"/>
            <w:noWrap w:val="0"/>
            <w:tcMar>
              <w:top w:w="16" w:type="dxa"/>
              <w:left w:w="16" w:type="dxa"/>
              <w:right w:w="16"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按照《建设项目环境影响报告表编制技术指南》（</w:t>
            </w:r>
            <w:r>
              <w:rPr>
                <w:rFonts w:hint="eastAsia" w:eastAsia="宋体" w:cs="Times New Roman"/>
                <w:color w:val="auto"/>
                <w:kern w:val="0"/>
                <w:sz w:val="24"/>
                <w:szCs w:val="24"/>
                <w:lang w:val="en-US" w:eastAsia="zh-CN" w:bidi="ar"/>
              </w:rPr>
              <w:t>生态</w:t>
            </w:r>
            <w:r>
              <w:rPr>
                <w:rFonts w:hint="eastAsia" w:ascii="Times New Roman" w:hAnsi="Times New Roman" w:eastAsia="宋体" w:cs="Times New Roman"/>
                <w:color w:val="auto"/>
                <w:kern w:val="0"/>
                <w:sz w:val="24"/>
                <w:szCs w:val="24"/>
                <w:lang w:val="en-US" w:eastAsia="zh-CN" w:bidi="ar"/>
              </w:rPr>
              <w:t>影响类）（试行）中专项评价设置原则，具体见下表：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表1-1　专项评价设置原则表</w:t>
            </w:r>
          </w:p>
          <w:tbl>
            <w:tblPr>
              <w:tblStyle w:val="23"/>
              <w:tblW w:w="7873"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3743"/>
              <w:gridCol w:w="924"/>
              <w:gridCol w:w="204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专项评价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的类型</w:t>
                  </w:r>
                </w:p>
              </w:tc>
              <w:tc>
                <w:tcPr>
                  <w:tcW w:w="3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设置原则</w:t>
                  </w:r>
                </w:p>
              </w:tc>
              <w:tc>
                <w:tcPr>
                  <w:tcW w:w="9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专项设</w:t>
                  </w:r>
                </w:p>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置情况</w:t>
                  </w:r>
                </w:p>
              </w:tc>
              <w:tc>
                <w:tcPr>
                  <w:tcW w:w="2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本项目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地表水</w:t>
                  </w:r>
                </w:p>
              </w:tc>
              <w:tc>
                <w:tcPr>
                  <w:tcW w:w="3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水力发电：引水式发电、调峰发电的项目；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人工湖、人工湿地：全部；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水库：全部；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引水工程：全部（配套的管线工程等除外）；</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防洪除涝工程：包含水库的项目；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河湖整治：清淤且底泥存在重金属污染的项目</w:t>
                  </w:r>
                </w:p>
              </w:tc>
              <w:tc>
                <w:tcPr>
                  <w:tcW w:w="9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否</w:t>
                  </w:r>
                </w:p>
              </w:tc>
              <w:tc>
                <w:tcPr>
                  <w:tcW w:w="2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本项目</w:t>
                  </w:r>
                  <w:r>
                    <w:rPr>
                      <w:rFonts w:hint="eastAsia"/>
                      <w:color w:val="auto"/>
                      <w:sz w:val="21"/>
                      <w:szCs w:val="21"/>
                      <w:lang w:val="en-US" w:eastAsia="zh-CN"/>
                    </w:rPr>
                    <w:t>属</w:t>
                  </w:r>
                  <w:r>
                    <w:rPr>
                      <w:rFonts w:hint="eastAsia" w:eastAsia="宋体"/>
                      <w:color w:val="auto"/>
                      <w:sz w:val="21"/>
                      <w:szCs w:val="21"/>
                      <w:lang w:val="en-US" w:eastAsia="zh-CN"/>
                    </w:rPr>
                    <w:t>经济林基地</w:t>
                  </w:r>
                  <w:r>
                    <w:rPr>
                      <w:rFonts w:hint="eastAsia"/>
                      <w:color w:val="auto"/>
                      <w:sz w:val="21"/>
                      <w:szCs w:val="21"/>
                      <w:lang w:val="en-US" w:eastAsia="zh-CN"/>
                    </w:rPr>
                    <w:t>及药材基地</w:t>
                  </w:r>
                  <w:r>
                    <w:rPr>
                      <w:rFonts w:hint="eastAsia" w:eastAsia="宋体"/>
                      <w:color w:val="auto"/>
                      <w:sz w:val="21"/>
                      <w:szCs w:val="21"/>
                      <w:lang w:val="en-US" w:eastAsia="zh-CN"/>
                    </w:rPr>
                    <w:t>项目，不涉及</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地下水</w:t>
                  </w:r>
                </w:p>
              </w:tc>
              <w:tc>
                <w:tcPr>
                  <w:tcW w:w="3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陆地石油和天然气开采：全部；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地下水（含矿泉水）开采：全部；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水利、水电、交通等：含穿越可溶岩地层隧道的项目</w:t>
                  </w:r>
                </w:p>
              </w:tc>
              <w:tc>
                <w:tcPr>
                  <w:tcW w:w="9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否</w:t>
                  </w:r>
                </w:p>
              </w:tc>
              <w:tc>
                <w:tcPr>
                  <w:tcW w:w="2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本项目</w:t>
                  </w:r>
                  <w:r>
                    <w:rPr>
                      <w:rFonts w:hint="eastAsia"/>
                      <w:color w:val="auto"/>
                      <w:sz w:val="21"/>
                      <w:szCs w:val="21"/>
                      <w:lang w:val="en-US" w:eastAsia="zh-CN"/>
                    </w:rPr>
                    <w:t>属</w:t>
                  </w:r>
                  <w:r>
                    <w:rPr>
                      <w:rFonts w:hint="eastAsia" w:eastAsia="宋体"/>
                      <w:color w:val="auto"/>
                      <w:sz w:val="21"/>
                      <w:szCs w:val="21"/>
                      <w:lang w:val="en-US" w:eastAsia="zh-CN"/>
                    </w:rPr>
                    <w:t>经济林基地</w:t>
                  </w:r>
                  <w:r>
                    <w:rPr>
                      <w:rFonts w:hint="eastAsia"/>
                      <w:color w:val="auto"/>
                      <w:sz w:val="21"/>
                      <w:szCs w:val="21"/>
                      <w:lang w:val="en-US" w:eastAsia="zh-CN"/>
                    </w:rPr>
                    <w:t>及药材基地</w:t>
                  </w:r>
                  <w:r>
                    <w:rPr>
                      <w:rFonts w:hint="eastAsia" w:eastAsia="宋体"/>
                      <w:color w:val="auto"/>
                      <w:sz w:val="21"/>
                      <w:szCs w:val="21"/>
                      <w:lang w:val="en-US" w:eastAsia="zh-CN"/>
                    </w:rPr>
                    <w:t>项目，不涉及</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jc w:val="center"/>
              </w:trPr>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color w:val="auto"/>
                      <w:sz w:val="21"/>
                      <w:szCs w:val="21"/>
                    </w:rPr>
                    <w:t>生态</w:t>
                  </w:r>
                </w:p>
              </w:tc>
              <w:tc>
                <w:tcPr>
                  <w:tcW w:w="3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涉及环境敏感区（不包括饮用水水源保护区，以居住、医疗卫生、文化教育、科研、行政办公为主要功能的区域，以及文物保护单位）的项目</w:t>
                  </w:r>
                </w:p>
              </w:tc>
              <w:tc>
                <w:tcPr>
                  <w:tcW w:w="9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是</w:t>
                  </w:r>
                </w:p>
              </w:tc>
              <w:tc>
                <w:tcPr>
                  <w:tcW w:w="2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bidi="ar"/>
                    </w:rPr>
                    <w:t>本项目所在区域为遂宁市蓬溪县，属于四川省水土保持规划省级水土流失重点</w:t>
                  </w:r>
                  <w:r>
                    <w:rPr>
                      <w:rFonts w:hint="eastAsia"/>
                      <w:color w:val="auto"/>
                      <w:sz w:val="21"/>
                      <w:szCs w:val="21"/>
                      <w:lang w:val="en-US" w:eastAsia="zh-CN" w:bidi="ar"/>
                    </w:rPr>
                    <w:t>预防和重点</w:t>
                  </w:r>
                  <w:r>
                    <w:rPr>
                      <w:rFonts w:hint="eastAsia"/>
                      <w:color w:val="auto"/>
                      <w:sz w:val="21"/>
                      <w:szCs w:val="21"/>
                      <w:lang w:bidi="ar"/>
                    </w:rPr>
                    <w:t>治理区，属于环境敏感区，需开展生态专项评价</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大气</w:t>
                  </w:r>
                </w:p>
              </w:tc>
              <w:tc>
                <w:tcPr>
                  <w:tcW w:w="3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olor w:val="auto"/>
                      <w:sz w:val="21"/>
                      <w:szCs w:val="21"/>
                    </w:rPr>
                  </w:pPr>
                  <w:r>
                    <w:rPr>
                      <w:rFonts w:hint="eastAsia" w:eastAsia="宋体"/>
                      <w:color w:val="auto"/>
                      <w:sz w:val="21"/>
                      <w:szCs w:val="21"/>
                      <w:lang w:val="en-US" w:eastAsia="zh-CN"/>
                    </w:rPr>
                    <w:t>油气、液体化工码头：全部；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干散货（含煤炭、矿石）、件杂、多用途、通用码头：涉及粉尘、挥发性有机物排放的项目</w:t>
                  </w:r>
                </w:p>
              </w:tc>
              <w:tc>
                <w:tcPr>
                  <w:tcW w:w="9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否</w:t>
                  </w:r>
                </w:p>
              </w:tc>
              <w:tc>
                <w:tcPr>
                  <w:tcW w:w="2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本项目</w:t>
                  </w:r>
                  <w:r>
                    <w:rPr>
                      <w:rFonts w:hint="eastAsia"/>
                      <w:color w:val="auto"/>
                      <w:sz w:val="21"/>
                      <w:szCs w:val="21"/>
                      <w:lang w:val="en-US" w:eastAsia="zh-CN"/>
                    </w:rPr>
                    <w:t>属</w:t>
                  </w:r>
                  <w:r>
                    <w:rPr>
                      <w:rFonts w:hint="eastAsia" w:eastAsia="宋体"/>
                      <w:color w:val="auto"/>
                      <w:sz w:val="21"/>
                      <w:szCs w:val="21"/>
                      <w:lang w:val="en-US" w:eastAsia="zh-CN"/>
                    </w:rPr>
                    <w:t>林业类经济林基地</w:t>
                  </w:r>
                  <w:r>
                    <w:rPr>
                      <w:rFonts w:hint="eastAsia"/>
                      <w:color w:val="auto"/>
                      <w:sz w:val="21"/>
                      <w:szCs w:val="21"/>
                      <w:lang w:val="en-US" w:eastAsia="zh-CN"/>
                    </w:rPr>
                    <w:t>及药材基地</w:t>
                  </w:r>
                  <w:r>
                    <w:rPr>
                      <w:rFonts w:hint="eastAsia" w:eastAsia="宋体"/>
                      <w:color w:val="auto"/>
                      <w:sz w:val="21"/>
                      <w:szCs w:val="21"/>
                      <w:lang w:val="en-US" w:eastAsia="zh-CN"/>
                    </w:rPr>
                    <w:t>项目，不涉及</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噪声</w:t>
                  </w:r>
                </w:p>
              </w:tc>
              <w:tc>
                <w:tcPr>
                  <w:tcW w:w="3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公路、铁路、机场等交通运输业涉及环境敏感区（以居住、医疗卫生、文化教育、科研、行政办公为主要功能的区域）的项目；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城市道路（不含维护，不含支路、人行天桥、人行地道）：全部</w:t>
                  </w:r>
                </w:p>
              </w:tc>
              <w:tc>
                <w:tcPr>
                  <w:tcW w:w="9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否</w:t>
                  </w:r>
                </w:p>
              </w:tc>
              <w:tc>
                <w:tcPr>
                  <w:tcW w:w="2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本项目</w:t>
                  </w:r>
                  <w:r>
                    <w:rPr>
                      <w:rFonts w:hint="eastAsia"/>
                      <w:color w:val="auto"/>
                      <w:sz w:val="21"/>
                      <w:szCs w:val="21"/>
                      <w:lang w:val="en-US" w:eastAsia="zh-CN"/>
                    </w:rPr>
                    <w:t>建设为林区生产便道及巡护道路，不涉及</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环境风险</w:t>
                  </w:r>
                </w:p>
              </w:tc>
              <w:tc>
                <w:tcPr>
                  <w:tcW w:w="3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石油和天然气开采：全部；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油气、液体化工码头：全部；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sz w:val="21"/>
                      <w:szCs w:val="21"/>
                      <w:lang w:val="en-US" w:eastAsia="zh-CN"/>
                    </w:rPr>
                  </w:pPr>
                  <w:r>
                    <w:rPr>
                      <w:rFonts w:hint="eastAsia" w:eastAsia="宋体"/>
                      <w:color w:val="auto"/>
                      <w:sz w:val="21"/>
                      <w:szCs w:val="21"/>
                      <w:lang w:val="en-US" w:eastAsia="zh-CN"/>
                    </w:rPr>
                    <w:t>原油、成品油、天然气管线（不含城镇天然气管线、企业厂区内管线），危险化学品输送管线（不含企业厂区内管线）：全部</w:t>
                  </w:r>
                </w:p>
              </w:tc>
              <w:tc>
                <w:tcPr>
                  <w:tcW w:w="9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否</w:t>
                  </w:r>
                </w:p>
              </w:tc>
              <w:tc>
                <w:tcPr>
                  <w:tcW w:w="20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本项目</w:t>
                  </w:r>
                  <w:r>
                    <w:rPr>
                      <w:rFonts w:hint="eastAsia"/>
                      <w:color w:val="auto"/>
                      <w:sz w:val="21"/>
                      <w:szCs w:val="21"/>
                      <w:lang w:val="en-US" w:eastAsia="zh-CN"/>
                    </w:rPr>
                    <w:t>属</w:t>
                  </w:r>
                  <w:r>
                    <w:rPr>
                      <w:rFonts w:hint="eastAsia" w:eastAsia="宋体"/>
                      <w:color w:val="auto"/>
                      <w:sz w:val="21"/>
                      <w:szCs w:val="21"/>
                      <w:lang w:val="en-US" w:eastAsia="zh-CN"/>
                    </w:rPr>
                    <w:t>林业类经济林基地</w:t>
                  </w:r>
                  <w:r>
                    <w:rPr>
                      <w:rFonts w:hint="eastAsia"/>
                      <w:color w:val="auto"/>
                      <w:sz w:val="21"/>
                      <w:szCs w:val="21"/>
                      <w:lang w:val="en-US" w:eastAsia="zh-CN"/>
                    </w:rPr>
                    <w:t>及药材基地</w:t>
                  </w:r>
                  <w:r>
                    <w:rPr>
                      <w:rFonts w:hint="eastAsia" w:eastAsia="宋体"/>
                      <w:color w:val="auto"/>
                      <w:sz w:val="21"/>
                      <w:szCs w:val="21"/>
                      <w:lang w:val="en-US" w:eastAsia="zh-CN"/>
                    </w:rPr>
                    <w:t>项目，不涉及</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注：“涉及环境敏感区”是指建设项目位于、穿（跨）越（无害化通过的除外）环境敏感区，或环境影响范围涵盖环境敏感区。环境敏感区是指《建设项目环境影响评价分类管理名录》中该类项目所列的敏感区。</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ascii="Times New Roman" w:hAnsi="Times New Roman" w:cs="Times New Roman"/>
                <w:color w:val="auto"/>
                <w:highlight w:val="none"/>
                <w:lang w:val="en-US" w:eastAsia="zh-CN"/>
              </w:rPr>
            </w:pPr>
            <w:r>
              <w:rPr>
                <w:rFonts w:hint="eastAsia" w:cs="Times New Roman"/>
                <w:color w:val="auto"/>
                <w:kern w:val="0"/>
                <w:sz w:val="24"/>
                <w:szCs w:val="24"/>
                <w:lang w:val="en-US" w:eastAsia="zh-CN" w:bidi="ar"/>
              </w:rPr>
              <w:t>综上，本次评价</w:t>
            </w:r>
            <w:r>
              <w:rPr>
                <w:rFonts w:hint="eastAsia" w:cs="Times New Roman"/>
                <w:color w:val="auto"/>
                <w:kern w:val="0"/>
                <w:sz w:val="24"/>
                <w:szCs w:val="24"/>
                <w:lang w:val="en-US" w:eastAsia="zh-CN"/>
              </w:rPr>
              <w:t>需设置生态</w:t>
            </w:r>
            <w:r>
              <w:rPr>
                <w:rFonts w:hint="default" w:ascii="Times New Roman" w:hAnsi="Times New Roman" w:cs="Times New Roman"/>
                <w:color w:val="auto"/>
                <w:kern w:val="0"/>
                <w:sz w:val="24"/>
                <w:szCs w:val="24"/>
              </w:rPr>
              <w:t>专项评价</w:t>
            </w:r>
            <w:r>
              <w:rPr>
                <w:rFonts w:hint="eastAsia" w:cs="Times New Roman"/>
                <w:color w:val="auto"/>
                <w:kern w:val="0"/>
                <w:sz w:val="24"/>
                <w:szCs w:val="24"/>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83"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规划情况</w:t>
            </w:r>
          </w:p>
        </w:tc>
        <w:tc>
          <w:tcPr>
            <w:tcW w:w="8038" w:type="dxa"/>
            <w:gridSpan w:val="3"/>
            <w:noWrap w:val="0"/>
            <w:tcMar>
              <w:top w:w="16" w:type="dxa"/>
              <w:left w:w="16" w:type="dxa"/>
              <w:right w:w="16" w:type="dxa"/>
            </w:tcMar>
            <w:vAlign w:val="center"/>
          </w:tcPr>
          <w:p>
            <w:pPr>
              <w:bidi w:val="0"/>
              <w:jc w:val="center"/>
              <w:rPr>
                <w:rFonts w:hint="default" w:ascii="Times New Roman" w:hAnsi="Times New Roman" w:cs="Times New Roman"/>
                <w:color w:val="auto"/>
                <w:highlight w:val="none"/>
                <w:lang w:val="en-US" w:eastAsia="zh-CN"/>
              </w:rPr>
            </w:pPr>
            <w:r>
              <w:rPr>
                <w:rFonts w:hint="eastAsia"/>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52"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规划环境影响评价情况</w:t>
            </w:r>
          </w:p>
        </w:tc>
        <w:tc>
          <w:tcPr>
            <w:tcW w:w="8038" w:type="dxa"/>
            <w:gridSpan w:val="3"/>
            <w:noWrap w:val="0"/>
            <w:tcMar>
              <w:top w:w="16" w:type="dxa"/>
              <w:left w:w="16" w:type="dxa"/>
              <w:right w:w="16" w:type="dxa"/>
            </w:tcMar>
            <w:vAlign w:val="center"/>
          </w:tcPr>
          <w:p>
            <w:pPr>
              <w:bidi w:val="0"/>
              <w:jc w:val="center"/>
              <w:rPr>
                <w:rFonts w:hint="default" w:ascii="Times New Roman" w:hAnsi="Times New Roman" w:eastAsia="宋体" w:cs="Times New Roman"/>
                <w:color w:val="auto"/>
                <w:kern w:val="0"/>
                <w:sz w:val="24"/>
                <w:szCs w:val="24"/>
                <w:highlight w:val="none"/>
                <w:lang w:val="en-US" w:eastAsia="zh-CN"/>
              </w:rPr>
            </w:pPr>
            <w:r>
              <w:rPr>
                <w:rFonts w:hint="eastAsia"/>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4"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规划及规划环境影响评价符合性分析</w:t>
            </w:r>
          </w:p>
        </w:tc>
        <w:tc>
          <w:tcPr>
            <w:tcW w:w="8038" w:type="dxa"/>
            <w:gridSpan w:val="3"/>
            <w:noWrap w:val="0"/>
            <w:tcMar>
              <w:top w:w="16" w:type="dxa"/>
              <w:left w:w="16" w:type="dxa"/>
              <w:right w:w="16" w:type="dxa"/>
            </w:tcMar>
            <w:vAlign w:val="center"/>
          </w:tcPr>
          <w:p>
            <w:pPr>
              <w:autoSpaceDE w:val="0"/>
              <w:autoSpaceDN w:val="0"/>
              <w:adjustRightInd w:val="0"/>
              <w:snapToGrid w:val="0"/>
              <w:spacing w:line="360" w:lineRule="auto"/>
              <w:jc w:val="center"/>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914"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bookmarkStart w:id="2" w:name="_Hlk56690880"/>
            <w:r>
              <w:rPr>
                <w:rFonts w:hint="eastAsia" w:ascii="宋体" w:hAnsi="宋体" w:cs="宋体"/>
                <w:color w:val="auto"/>
                <w:kern w:val="0"/>
                <w:szCs w:val="21"/>
              </w:rPr>
              <w:t>其他符合性分析</w:t>
            </w:r>
            <w:bookmarkEnd w:id="2"/>
          </w:p>
        </w:tc>
        <w:tc>
          <w:tcPr>
            <w:tcW w:w="8038" w:type="dxa"/>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2" w:firstLineChars="200"/>
              <w:textAlignment w:val="auto"/>
              <w:rPr>
                <w:rFonts w:hint="default" w:cs="Times New Roman"/>
                <w:b/>
                <w:bCs/>
                <w:color w:val="auto"/>
                <w:kern w:val="0"/>
                <w:sz w:val="24"/>
                <w:szCs w:val="24"/>
                <w:highlight w:val="none"/>
                <w:lang w:val="en-US" w:eastAsia="zh-CN" w:bidi="ar-SA"/>
              </w:rPr>
            </w:pPr>
            <w:r>
              <w:rPr>
                <w:rFonts w:hint="eastAsia" w:cs="Times New Roman"/>
                <w:b/>
                <w:bCs/>
                <w:color w:val="auto"/>
                <w:kern w:val="0"/>
                <w:sz w:val="24"/>
                <w:szCs w:val="24"/>
                <w:highlight w:val="none"/>
                <w:lang w:val="en-US" w:eastAsia="zh-CN" w:bidi="ar-SA"/>
              </w:rPr>
              <w:t>1、</w:t>
            </w:r>
            <w:r>
              <w:rPr>
                <w:rFonts w:hint="default" w:cs="Times New Roman"/>
                <w:b/>
                <w:bCs/>
                <w:color w:val="auto"/>
                <w:kern w:val="0"/>
                <w:sz w:val="24"/>
                <w:szCs w:val="24"/>
                <w:highlight w:val="none"/>
                <w:lang w:val="en-US" w:eastAsia="zh-CN" w:bidi="ar-SA"/>
              </w:rPr>
              <w:t>产业政策符合性分析</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eastAsia" w:cs="Times New Roman"/>
                <w:b w:val="0"/>
                <w:bCs w:val="0"/>
                <w:color w:val="auto"/>
                <w:kern w:val="0"/>
                <w:sz w:val="24"/>
                <w:szCs w:val="24"/>
                <w:highlight w:val="none"/>
                <w:lang w:val="en-US" w:eastAsia="zh-CN" w:bidi="ar-SA"/>
              </w:rPr>
            </w:pPr>
            <w:r>
              <w:rPr>
                <w:rFonts w:hint="default" w:cs="Times New Roman"/>
                <w:b w:val="0"/>
                <w:bCs w:val="0"/>
                <w:color w:val="auto"/>
                <w:kern w:val="0"/>
                <w:sz w:val="24"/>
                <w:szCs w:val="24"/>
                <w:highlight w:val="none"/>
                <w:lang w:val="en-US" w:eastAsia="zh-CN" w:bidi="ar-SA"/>
              </w:rPr>
              <w:t>本项目</w:t>
            </w:r>
            <w:r>
              <w:rPr>
                <w:rFonts w:hint="eastAsia" w:cs="Times New Roman"/>
                <w:b w:val="0"/>
                <w:bCs w:val="0"/>
                <w:color w:val="auto"/>
                <w:kern w:val="0"/>
                <w:sz w:val="24"/>
                <w:szCs w:val="24"/>
                <w:highlight w:val="none"/>
                <w:lang w:val="en-US" w:eastAsia="zh-CN" w:bidi="ar-SA"/>
              </w:rPr>
              <w:t>为</w:t>
            </w:r>
            <w:r>
              <w:rPr>
                <w:rFonts w:hint="eastAsia" w:cs="Times New Roman"/>
                <w:color w:val="auto"/>
                <w:sz w:val="24"/>
                <w:szCs w:val="24"/>
                <w:highlight w:val="none"/>
                <w:lang w:val="en-US" w:eastAsia="zh-CN"/>
              </w:rPr>
              <w:t>蓬溪县国家储备林建设及林下药材、菌类种植</w:t>
            </w:r>
            <w:r>
              <w:rPr>
                <w:rFonts w:hint="eastAsia" w:cs="Times New Roman"/>
                <w:b w:val="0"/>
                <w:bCs w:val="0"/>
                <w:color w:val="auto"/>
                <w:kern w:val="0"/>
                <w:sz w:val="24"/>
                <w:szCs w:val="24"/>
                <w:highlight w:val="none"/>
                <w:lang w:val="en-US" w:eastAsia="zh-CN" w:bidi="ar-SA"/>
              </w:rPr>
              <w:t>，</w:t>
            </w:r>
            <w:r>
              <w:rPr>
                <w:rFonts w:hint="eastAsia" w:cs="Times New Roman"/>
                <w:color w:val="auto"/>
                <w:sz w:val="24"/>
                <w:szCs w:val="24"/>
                <w:highlight w:val="none"/>
                <w:lang w:val="en-US" w:eastAsia="zh-CN"/>
              </w:rPr>
              <w:t>储备林建设包含集约人工林栽培、现有林改造、中幼林抚育，</w:t>
            </w:r>
            <w:r>
              <w:rPr>
                <w:rFonts w:hint="default" w:cs="Times New Roman"/>
                <w:b w:val="0"/>
                <w:bCs w:val="0"/>
                <w:color w:val="auto"/>
                <w:kern w:val="0"/>
                <w:sz w:val="24"/>
                <w:szCs w:val="24"/>
                <w:highlight w:val="none"/>
                <w:lang w:val="en-US" w:eastAsia="zh-CN" w:bidi="ar-SA"/>
              </w:rPr>
              <w:t>属于</w:t>
            </w:r>
            <w:r>
              <w:rPr>
                <w:rFonts w:hint="eastAsia" w:cs="Times New Roman"/>
                <w:b w:val="0"/>
                <w:bCs w:val="0"/>
                <w:color w:val="auto"/>
                <w:kern w:val="0"/>
                <w:sz w:val="24"/>
                <w:szCs w:val="24"/>
                <w:highlight w:val="none"/>
                <w:lang w:val="en-US" w:eastAsia="zh-CN" w:bidi="ar-SA"/>
              </w:rPr>
              <w:t>《</w:t>
            </w:r>
            <w:r>
              <w:rPr>
                <w:rFonts w:hint="default" w:cs="Times New Roman"/>
                <w:b w:val="0"/>
                <w:bCs w:val="0"/>
                <w:color w:val="auto"/>
                <w:kern w:val="0"/>
                <w:sz w:val="24"/>
                <w:szCs w:val="24"/>
                <w:highlight w:val="none"/>
                <w:lang w:val="en-US" w:eastAsia="zh-CN" w:bidi="ar-SA"/>
              </w:rPr>
              <w:t>国民经济行业分类</w:t>
            </w:r>
            <w:r>
              <w:rPr>
                <w:rFonts w:hint="eastAsia" w:cs="Times New Roman"/>
                <w:b w:val="0"/>
                <w:bCs w:val="0"/>
                <w:color w:val="auto"/>
                <w:kern w:val="0"/>
                <w:sz w:val="24"/>
                <w:szCs w:val="24"/>
                <w:highlight w:val="none"/>
                <w:lang w:val="en-US" w:eastAsia="zh-CN" w:bidi="ar-SA"/>
              </w:rPr>
              <w:t>》（</w:t>
            </w:r>
            <w:r>
              <w:rPr>
                <w:rFonts w:hint="default" w:cs="Times New Roman"/>
                <w:b w:val="0"/>
                <w:bCs w:val="0"/>
                <w:color w:val="auto"/>
                <w:kern w:val="0"/>
                <w:sz w:val="24"/>
                <w:szCs w:val="24"/>
                <w:highlight w:val="none"/>
                <w:lang w:val="en-US" w:eastAsia="zh-CN" w:bidi="ar-SA"/>
              </w:rPr>
              <w:t>GBT4754-2017</w:t>
            </w:r>
            <w:r>
              <w:rPr>
                <w:rFonts w:hint="eastAsia" w:cs="Times New Roman"/>
                <w:b w:val="0"/>
                <w:bCs w:val="0"/>
                <w:color w:val="auto"/>
                <w:kern w:val="0"/>
                <w:sz w:val="24"/>
                <w:szCs w:val="24"/>
                <w:highlight w:val="none"/>
                <w:lang w:val="en-US" w:eastAsia="zh-CN" w:bidi="ar-SA"/>
              </w:rPr>
              <w:t>）中的造林和更新（A0220）、森林改培（A0232）</w:t>
            </w:r>
            <w:r>
              <w:rPr>
                <w:rFonts w:hint="default" w:cs="Times New Roman"/>
                <w:b w:val="0"/>
                <w:bCs w:val="0"/>
                <w:color w:val="auto"/>
                <w:kern w:val="0"/>
                <w:sz w:val="24"/>
                <w:szCs w:val="24"/>
                <w:highlight w:val="none"/>
                <w:lang w:val="en-US" w:eastAsia="zh-CN" w:bidi="ar-SA"/>
              </w:rPr>
              <w:t>，</w:t>
            </w:r>
            <w:r>
              <w:rPr>
                <w:rFonts w:hint="eastAsia" w:cs="Times New Roman"/>
                <w:color w:val="auto"/>
                <w:sz w:val="24"/>
                <w:szCs w:val="24"/>
                <w:highlight w:val="none"/>
                <w:lang w:val="en-US" w:eastAsia="zh-CN"/>
              </w:rPr>
              <w:t>林下药材、菌类种植</w:t>
            </w:r>
            <w:r>
              <w:rPr>
                <w:rFonts w:hint="default" w:cs="Times New Roman"/>
                <w:b w:val="0"/>
                <w:bCs w:val="0"/>
                <w:color w:val="auto"/>
                <w:kern w:val="0"/>
                <w:sz w:val="24"/>
                <w:szCs w:val="24"/>
                <w:highlight w:val="none"/>
                <w:lang w:val="en-US" w:eastAsia="zh-CN" w:bidi="ar-SA"/>
              </w:rPr>
              <w:t>属于</w:t>
            </w:r>
            <w:r>
              <w:rPr>
                <w:rFonts w:hint="eastAsia" w:cs="Times New Roman"/>
                <w:b w:val="0"/>
                <w:bCs w:val="0"/>
                <w:color w:val="auto"/>
                <w:kern w:val="0"/>
                <w:sz w:val="24"/>
                <w:szCs w:val="24"/>
                <w:highlight w:val="none"/>
                <w:lang w:val="en-US" w:eastAsia="zh-CN" w:bidi="ar-SA"/>
              </w:rPr>
              <w:t>《</w:t>
            </w:r>
            <w:r>
              <w:rPr>
                <w:rFonts w:hint="default" w:cs="Times New Roman"/>
                <w:b w:val="0"/>
                <w:bCs w:val="0"/>
                <w:color w:val="auto"/>
                <w:kern w:val="0"/>
                <w:sz w:val="24"/>
                <w:szCs w:val="24"/>
                <w:highlight w:val="none"/>
                <w:lang w:val="en-US" w:eastAsia="zh-CN" w:bidi="ar-SA"/>
              </w:rPr>
              <w:t>国民经济行业分类</w:t>
            </w:r>
            <w:r>
              <w:rPr>
                <w:rFonts w:hint="eastAsia" w:cs="Times New Roman"/>
                <w:b w:val="0"/>
                <w:bCs w:val="0"/>
                <w:color w:val="auto"/>
                <w:kern w:val="0"/>
                <w:sz w:val="24"/>
                <w:szCs w:val="24"/>
                <w:highlight w:val="none"/>
                <w:lang w:val="en-US" w:eastAsia="zh-CN" w:bidi="ar-SA"/>
              </w:rPr>
              <w:t>》（</w:t>
            </w:r>
            <w:r>
              <w:rPr>
                <w:rFonts w:hint="default" w:cs="Times New Roman"/>
                <w:b w:val="0"/>
                <w:bCs w:val="0"/>
                <w:color w:val="auto"/>
                <w:kern w:val="0"/>
                <w:sz w:val="24"/>
                <w:szCs w:val="24"/>
                <w:highlight w:val="none"/>
                <w:lang w:val="en-US" w:eastAsia="zh-CN" w:bidi="ar-SA"/>
              </w:rPr>
              <w:t>GBT4754-2017</w:t>
            </w:r>
            <w:r>
              <w:rPr>
                <w:rFonts w:hint="eastAsia" w:cs="Times New Roman"/>
                <w:b w:val="0"/>
                <w:bCs w:val="0"/>
                <w:color w:val="auto"/>
                <w:kern w:val="0"/>
                <w:sz w:val="24"/>
                <w:szCs w:val="24"/>
                <w:highlight w:val="none"/>
                <w:lang w:val="en-US" w:eastAsia="zh-CN" w:bidi="ar-SA"/>
              </w:rPr>
              <w:t>）中的食用菌种植（A0142）、中药材种植（A0171）。</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cs="Times New Roman"/>
                <w:b w:val="0"/>
                <w:bCs w:val="0"/>
                <w:color w:val="auto"/>
                <w:kern w:val="0"/>
                <w:sz w:val="24"/>
                <w:szCs w:val="24"/>
                <w:highlight w:val="none"/>
                <w:lang w:val="en-US" w:eastAsia="zh-CN" w:bidi="ar-SA"/>
              </w:rPr>
            </w:pPr>
            <w:r>
              <w:rPr>
                <w:rFonts w:hint="default" w:cs="Times New Roman"/>
                <w:b w:val="0"/>
                <w:bCs w:val="0"/>
                <w:color w:val="auto"/>
                <w:kern w:val="0"/>
                <w:sz w:val="24"/>
                <w:szCs w:val="24"/>
                <w:highlight w:val="none"/>
                <w:lang w:val="en-US" w:eastAsia="zh-CN" w:bidi="ar-SA"/>
              </w:rPr>
              <w:t>根据《产业结构调整指导名录（20</w:t>
            </w:r>
            <w:r>
              <w:rPr>
                <w:rFonts w:hint="eastAsia" w:cs="Times New Roman"/>
                <w:b w:val="0"/>
                <w:bCs w:val="0"/>
                <w:color w:val="auto"/>
                <w:kern w:val="0"/>
                <w:sz w:val="24"/>
                <w:szCs w:val="24"/>
                <w:highlight w:val="none"/>
                <w:lang w:val="en-US" w:eastAsia="zh-CN" w:bidi="ar-SA"/>
              </w:rPr>
              <w:t>24</w:t>
            </w:r>
            <w:r>
              <w:rPr>
                <w:rFonts w:hint="default" w:cs="Times New Roman"/>
                <w:b w:val="0"/>
                <w:bCs w:val="0"/>
                <w:color w:val="auto"/>
                <w:kern w:val="0"/>
                <w:sz w:val="24"/>
                <w:szCs w:val="24"/>
                <w:highlight w:val="none"/>
                <w:lang w:val="en-US" w:eastAsia="zh-CN" w:bidi="ar-SA"/>
              </w:rPr>
              <w:t>年本）》，</w:t>
            </w:r>
            <w:r>
              <w:rPr>
                <w:rFonts w:hint="eastAsia" w:cs="Times New Roman"/>
                <w:b w:val="0"/>
                <w:bCs w:val="0"/>
                <w:color w:val="auto"/>
                <w:kern w:val="0"/>
                <w:sz w:val="24"/>
                <w:szCs w:val="24"/>
                <w:highlight w:val="none"/>
                <w:lang w:val="en-US" w:eastAsia="zh-CN" w:bidi="ar-SA"/>
              </w:rPr>
              <w:t>本项目</w:t>
            </w:r>
            <w:r>
              <w:rPr>
                <w:rFonts w:hint="default" w:cs="Times New Roman"/>
                <w:b w:val="0"/>
                <w:bCs w:val="0"/>
                <w:color w:val="auto"/>
                <w:kern w:val="0"/>
                <w:sz w:val="24"/>
                <w:szCs w:val="24"/>
                <w:highlight w:val="none"/>
                <w:lang w:val="en-US" w:eastAsia="zh-CN" w:bidi="ar-SA"/>
              </w:rPr>
              <w:t>属于其中鼓励类</w:t>
            </w:r>
            <w:r>
              <w:rPr>
                <w:rFonts w:hint="eastAsia" w:cs="Times New Roman"/>
                <w:b w:val="0"/>
                <w:bCs w:val="0"/>
                <w:color w:val="auto"/>
                <w:kern w:val="0"/>
                <w:sz w:val="24"/>
                <w:szCs w:val="24"/>
                <w:highlight w:val="none"/>
                <w:lang w:val="en-US" w:eastAsia="zh-CN" w:bidi="ar-SA"/>
              </w:rPr>
              <w:t>中的“一、农林牧渔业”中“15．林果业：</w:t>
            </w:r>
            <w:r>
              <w:rPr>
                <w:rFonts w:hint="eastAsia" w:cs="Times New Roman"/>
                <w:b/>
                <w:bCs/>
                <w:color w:val="auto"/>
                <w:kern w:val="0"/>
                <w:sz w:val="24"/>
                <w:szCs w:val="24"/>
                <w:highlight w:val="none"/>
                <w:lang w:val="en-US" w:eastAsia="zh-CN" w:bidi="ar-SA"/>
              </w:rPr>
              <w:t>国家储备林建设</w:t>
            </w:r>
            <w:r>
              <w:rPr>
                <w:rFonts w:hint="eastAsia" w:cs="Times New Roman"/>
                <w:b w:val="0"/>
                <w:bCs w:val="0"/>
                <w:color w:val="auto"/>
                <w:kern w:val="0"/>
                <w:sz w:val="24"/>
                <w:szCs w:val="24"/>
                <w:highlight w:val="none"/>
                <w:lang w:val="en-US" w:eastAsia="zh-CN" w:bidi="ar-SA"/>
              </w:rPr>
              <w:t>，特色经济林建设，碳汇林建设，植树种草工程，林草种苗工程，油茶、核桃、油橄榄、仁用杏、榛子、油棕等木本粮油基地建设，生物质能源林和用材林定向培育与产业化，森林资源培育（速生丰产用材林、大径级用材林等）”以及“16.中药材种植与养殖：中药材生态种植、野生抚育和仿野生栽培，珍稀濒危动植物药材培育与养殖，天然橡胶及杜仲种植生产，林下种养殖技术开发及应用”，属于鼓励类建设项目。</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cs="Times New Roman"/>
                <w:b w:val="0"/>
                <w:bCs w:val="0"/>
                <w:color w:val="auto"/>
                <w:kern w:val="0"/>
                <w:sz w:val="24"/>
                <w:szCs w:val="24"/>
                <w:highlight w:val="none"/>
                <w:lang w:val="en-US" w:eastAsia="zh-CN" w:bidi="ar-SA"/>
              </w:rPr>
            </w:pPr>
            <w:r>
              <w:rPr>
                <w:rFonts w:hint="default" w:cs="Times New Roman"/>
                <w:b w:val="0"/>
                <w:bCs w:val="0"/>
                <w:color w:val="auto"/>
                <w:kern w:val="0"/>
                <w:sz w:val="24"/>
                <w:szCs w:val="24"/>
                <w:highlight w:val="none"/>
                <w:lang w:val="en-US" w:eastAsia="zh-CN" w:bidi="ar-SA"/>
              </w:rPr>
              <w:t>本项目使用的各种生产设备均不属于《产业结构调整指导目录（20</w:t>
            </w:r>
            <w:r>
              <w:rPr>
                <w:rFonts w:hint="eastAsia" w:cs="Times New Roman"/>
                <w:b w:val="0"/>
                <w:bCs w:val="0"/>
                <w:color w:val="auto"/>
                <w:kern w:val="0"/>
                <w:sz w:val="24"/>
                <w:szCs w:val="24"/>
                <w:highlight w:val="none"/>
                <w:lang w:val="en-US" w:eastAsia="zh-CN" w:bidi="ar-SA"/>
              </w:rPr>
              <w:t>24</w:t>
            </w:r>
            <w:r>
              <w:rPr>
                <w:rFonts w:hint="default" w:cs="Times New Roman"/>
                <w:b w:val="0"/>
                <w:bCs w:val="0"/>
                <w:color w:val="auto"/>
                <w:kern w:val="0"/>
                <w:sz w:val="24"/>
                <w:szCs w:val="24"/>
                <w:highlight w:val="none"/>
                <w:lang w:val="en-US" w:eastAsia="zh-CN" w:bidi="ar-SA"/>
              </w:rPr>
              <w:t>年本）》中的限制类和淘汰类设备。</w:t>
            </w:r>
            <w:r>
              <w:rPr>
                <w:rFonts w:hint="eastAsia" w:cs="Times New Roman"/>
                <w:b w:val="0"/>
                <w:bCs w:val="0"/>
                <w:color w:val="auto"/>
                <w:kern w:val="0"/>
                <w:sz w:val="24"/>
                <w:szCs w:val="24"/>
                <w:highlight w:val="none"/>
                <w:lang w:val="en-US" w:eastAsia="zh-CN" w:bidi="ar-SA"/>
              </w:rPr>
              <w:t>2022年11月，项目取得了蓬溪县发展和改革局《蓬溪县国家储备林建设及森林质量提升项目可行性研究报告的批复》（蓬发改审[2022]332号），同意项目建设。同时，项目取得了蓬溪县行政审批局四川省固定资产投资项目备案表（</w:t>
            </w:r>
            <w:r>
              <w:rPr>
                <w:rFonts w:hint="eastAsia" w:cs="Times New Roman"/>
                <w:color w:val="auto"/>
                <w:sz w:val="24"/>
                <w:szCs w:val="24"/>
                <w:highlight w:val="none"/>
                <w:lang w:val="en-US" w:eastAsia="zh-CN"/>
              </w:rPr>
              <w:t>川投资备【2207-510921-99-01-754598】FGQB-0104号</w:t>
            </w:r>
            <w:r>
              <w:rPr>
                <w:rFonts w:hint="eastAsia" w:cs="Times New Roman"/>
                <w:b w:val="0"/>
                <w:bCs w:val="0"/>
                <w:color w:val="auto"/>
                <w:kern w:val="0"/>
                <w:sz w:val="24"/>
                <w:szCs w:val="24"/>
                <w:highlight w:val="none"/>
                <w:lang w:val="en-US" w:eastAsia="zh-CN" w:bidi="ar-SA"/>
              </w:rPr>
              <w:t>），并于2023年12月变更建设内容及规模。</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eastAsia="宋体" w:cs="Times New Roman"/>
                <w:b w:val="0"/>
                <w:bCs w:val="0"/>
                <w:color w:val="auto"/>
                <w:kern w:val="0"/>
                <w:sz w:val="24"/>
                <w:szCs w:val="24"/>
                <w:highlight w:val="none"/>
                <w:lang w:val="en-US" w:eastAsia="zh-CN" w:bidi="ar-SA"/>
              </w:rPr>
            </w:pPr>
            <w:r>
              <w:rPr>
                <w:rFonts w:hint="default" w:eastAsia="宋体" w:cs="Times New Roman"/>
                <w:b w:val="0"/>
                <w:bCs w:val="0"/>
                <w:color w:val="auto"/>
                <w:kern w:val="0"/>
                <w:sz w:val="24"/>
                <w:szCs w:val="24"/>
                <w:highlight w:val="none"/>
                <w:lang w:val="en-US" w:eastAsia="zh-CN" w:bidi="ar-SA"/>
              </w:rPr>
              <w:t>综上所述，本项目的建设符合国家现行产业政策。</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8" w:leftChars="20" w:right="48" w:rightChars="20" w:firstLine="482" w:firstLineChars="200"/>
              <w:textAlignment w:val="auto"/>
              <w:rPr>
                <w:rFonts w:hint="eastAsia" w:cs="Times New Roman"/>
                <w:b/>
                <w:bCs/>
                <w:color w:val="auto"/>
                <w:kern w:val="0"/>
                <w:sz w:val="24"/>
                <w:szCs w:val="24"/>
                <w:highlight w:val="none"/>
                <w:lang w:val="en-US" w:eastAsia="zh-CN" w:bidi="ar-SA"/>
              </w:rPr>
            </w:pPr>
            <w:r>
              <w:rPr>
                <w:rFonts w:hint="eastAsia" w:cs="Times New Roman"/>
                <w:b/>
                <w:bCs/>
                <w:color w:val="auto"/>
                <w:kern w:val="0"/>
                <w:sz w:val="24"/>
                <w:szCs w:val="24"/>
                <w:highlight w:val="none"/>
                <w:lang w:val="en-US" w:eastAsia="zh-CN" w:bidi="ar-SA"/>
              </w:rPr>
              <w:t>用地规划符合性</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48" w:rightChars="20" w:firstLine="480" w:firstLineChars="200"/>
              <w:textAlignment w:val="auto"/>
              <w:rPr>
                <w:rFonts w:hint="eastAsia" w:cs="Times New Roman"/>
                <w:b w:val="0"/>
                <w:bCs w:val="0"/>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rPr>
              <w:t>本项目建设</w:t>
            </w:r>
            <w:r>
              <w:rPr>
                <w:rFonts w:hint="eastAsia" w:ascii="Times New Roman" w:hAnsi="Times New Roman" w:eastAsia="宋体" w:cs="Times New Roman"/>
                <w:color w:val="auto"/>
                <w:kern w:val="0"/>
                <w:sz w:val="24"/>
                <w:szCs w:val="24"/>
                <w:highlight w:val="none"/>
                <w:lang w:val="en-US" w:eastAsia="zh-CN"/>
              </w:rPr>
              <w:t>地点</w:t>
            </w:r>
            <w:r>
              <w:rPr>
                <w:rFonts w:hint="default" w:ascii="Times New Roman" w:hAnsi="Times New Roman" w:eastAsia="宋体" w:cs="Times New Roman"/>
                <w:color w:val="auto"/>
                <w:kern w:val="0"/>
                <w:sz w:val="24"/>
                <w:szCs w:val="24"/>
                <w:highlight w:val="none"/>
                <w:lang w:val="en-US" w:eastAsia="zh-CN"/>
              </w:rPr>
              <w:t>为遂宁市蓬溪县，</w:t>
            </w:r>
            <w:r>
              <w:rPr>
                <w:rFonts w:hint="eastAsia" w:cs="Times New Roman"/>
                <w:b w:val="0"/>
                <w:bCs w:val="0"/>
                <w:color w:val="auto"/>
                <w:kern w:val="0"/>
                <w:sz w:val="24"/>
                <w:szCs w:val="24"/>
                <w:highlight w:val="none"/>
                <w:lang w:val="en-US" w:eastAsia="zh-CN" w:bidi="ar-SA"/>
              </w:rPr>
              <w:t>根据蓬溪县自然资源和规划局《关于蓬溪县国家储备林建设及森林质量提升项目用地相关情况的说明》(蓬自然资规函〔2022〕77号)：蓬溪县国家储备林建设及森林质量提升项目拟将在项目区范围内进行造林绿化。该项目主要涉及造林绿化及森林防火通道等配套设施用地。根据《中华人民共和国森林法(2019年修订)》第六章第五十二条“在林地上修筑直接为林业生产经营服务的工程设施，符合国家有关部门规定的标准的，由县级以上人民政府林业主管部门批准，不需要办理建设用地审批手续”的规定，该项目无需办理用地预审以及建设用地需提供的建设用地规划许可证、建设工程规划许可证等相关手续。</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48" w:rightChars="20" w:firstLine="480" w:firstLineChars="200"/>
              <w:textAlignment w:val="auto"/>
              <w:rPr>
                <w:rFonts w:hint="default"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且根据</w:t>
            </w:r>
            <w:r>
              <w:rPr>
                <w:rFonts w:hint="default" w:cs="Times New Roman"/>
                <w:b w:val="0"/>
                <w:bCs w:val="0"/>
                <w:color w:val="auto"/>
                <w:kern w:val="0"/>
                <w:sz w:val="24"/>
                <w:szCs w:val="24"/>
                <w:highlight w:val="none"/>
                <w:lang w:val="en-US" w:eastAsia="zh-CN" w:bidi="ar-SA"/>
              </w:rPr>
              <w:t>蓬溪县自然资源和规划局</w:t>
            </w:r>
            <w:r>
              <w:rPr>
                <w:rFonts w:hint="eastAsia" w:cs="Times New Roman"/>
                <w:b w:val="0"/>
                <w:bCs w:val="0"/>
                <w:color w:val="auto"/>
                <w:kern w:val="0"/>
                <w:sz w:val="24"/>
                <w:szCs w:val="24"/>
                <w:highlight w:val="none"/>
                <w:lang w:val="en-US" w:eastAsia="zh-CN" w:bidi="ar-SA"/>
              </w:rPr>
              <w:t>《</w:t>
            </w:r>
            <w:r>
              <w:rPr>
                <w:rFonts w:hint="default" w:cs="Times New Roman"/>
                <w:b w:val="0"/>
                <w:bCs w:val="0"/>
                <w:color w:val="auto"/>
                <w:kern w:val="0"/>
                <w:sz w:val="24"/>
                <w:szCs w:val="24"/>
                <w:highlight w:val="none"/>
                <w:lang w:val="en-US" w:eastAsia="zh-CN" w:bidi="ar-SA"/>
              </w:rPr>
              <w:t>关于蓬溪县国家储备林建设及森林质量提升项目(基础设施)部分初步设计的批复</w:t>
            </w:r>
            <w:r>
              <w:rPr>
                <w:rFonts w:hint="eastAsia" w:cs="Times New Roman"/>
                <w:b w:val="0"/>
                <w:bCs w:val="0"/>
                <w:color w:val="auto"/>
                <w:kern w:val="0"/>
                <w:sz w:val="24"/>
                <w:szCs w:val="24"/>
                <w:highlight w:val="none"/>
                <w:lang w:val="en-US" w:eastAsia="zh-CN" w:bidi="ar-SA"/>
              </w:rPr>
              <w:t>》（</w:t>
            </w:r>
            <w:r>
              <w:rPr>
                <w:rFonts w:hint="default" w:cs="Times New Roman"/>
                <w:b w:val="0"/>
                <w:bCs w:val="0"/>
                <w:color w:val="auto"/>
                <w:kern w:val="0"/>
                <w:sz w:val="24"/>
                <w:szCs w:val="24"/>
                <w:highlight w:val="none"/>
                <w:lang w:val="en-US" w:eastAsia="zh-CN" w:bidi="ar-SA"/>
              </w:rPr>
              <w:t>蓬自然资规函</w:t>
            </w:r>
            <w:r>
              <w:rPr>
                <w:rFonts w:hint="eastAsia" w:cs="Times New Roman"/>
                <w:b w:val="0"/>
                <w:bCs w:val="0"/>
                <w:color w:val="auto"/>
                <w:kern w:val="0"/>
                <w:sz w:val="24"/>
                <w:szCs w:val="24"/>
                <w:highlight w:val="none"/>
                <w:lang w:val="en-US" w:eastAsia="zh-CN" w:bidi="ar-SA"/>
              </w:rPr>
              <w:t>〔2024〕186号）、遂宁市林业局《关于蓬溪县国家储备林建设及森林质量提升项目(营造林和林业产业)初步设计的批复》，项目初步设计已取得</w:t>
            </w:r>
            <w:r>
              <w:rPr>
                <w:rFonts w:hint="default" w:cs="Times New Roman"/>
                <w:b w:val="0"/>
                <w:bCs w:val="0"/>
                <w:color w:val="auto"/>
                <w:kern w:val="0"/>
                <w:sz w:val="24"/>
                <w:szCs w:val="24"/>
                <w:highlight w:val="none"/>
                <w:lang w:val="en-US" w:eastAsia="zh-CN" w:bidi="ar-SA"/>
              </w:rPr>
              <w:t>蓬溪县自然资源和规划局</w:t>
            </w:r>
            <w:r>
              <w:rPr>
                <w:rFonts w:hint="eastAsia" w:cs="Times New Roman"/>
                <w:b w:val="0"/>
                <w:bCs w:val="0"/>
                <w:color w:val="auto"/>
                <w:kern w:val="0"/>
                <w:sz w:val="24"/>
                <w:szCs w:val="24"/>
                <w:highlight w:val="none"/>
                <w:lang w:val="en-US" w:eastAsia="zh-CN" w:bidi="ar-SA"/>
              </w:rPr>
              <w:t>、遂宁市林业局批复。根据《蓬溪县自然资源和规划局关于明确蓬溪县国家储备林建设及森林质量提升项目用地性质的复函》，项目占地不涉及永久基本农田、生态保护红线、自然保护区、国家公益林等限制用地。</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48" w:rightChars="20" w:firstLine="480" w:firstLineChars="200"/>
              <w:textAlignment w:val="auto"/>
              <w:rPr>
                <w:rFonts w:hint="default"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综上，项目用地符合规划。</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8" w:leftChars="20" w:right="48" w:rightChars="20" w:firstLine="482" w:firstLineChars="200"/>
              <w:textAlignment w:val="auto"/>
              <w:rPr>
                <w:rFonts w:hint="default" w:eastAsia="宋体" w:cs="Times New Roman"/>
                <w:b/>
                <w:bCs/>
                <w:color w:val="auto"/>
                <w:kern w:val="0"/>
                <w:sz w:val="24"/>
                <w:szCs w:val="24"/>
                <w:highlight w:val="none"/>
                <w:lang w:val="en-US" w:eastAsia="zh-CN" w:bidi="ar-SA"/>
              </w:rPr>
            </w:pPr>
            <w:r>
              <w:rPr>
                <w:rFonts w:hint="default" w:eastAsia="宋体" w:cs="Times New Roman"/>
                <w:b/>
                <w:bCs/>
                <w:color w:val="auto"/>
                <w:kern w:val="0"/>
                <w:sz w:val="24"/>
                <w:szCs w:val="24"/>
                <w:highlight w:val="none"/>
                <w:lang w:val="en-US" w:eastAsia="zh-CN" w:bidi="ar-SA"/>
              </w:rPr>
              <w:t>与</w:t>
            </w:r>
            <w:r>
              <w:rPr>
                <w:rFonts w:hint="eastAsia" w:cs="Times New Roman"/>
                <w:b/>
                <w:bCs/>
                <w:color w:val="auto"/>
                <w:kern w:val="0"/>
                <w:sz w:val="24"/>
                <w:szCs w:val="24"/>
                <w:highlight w:val="none"/>
                <w:lang w:val="en-US" w:eastAsia="zh-CN" w:bidi="ar-SA"/>
              </w:rPr>
              <w:t>国家</w:t>
            </w:r>
            <w:r>
              <w:rPr>
                <w:rFonts w:hint="default" w:eastAsia="宋体" w:cs="Times New Roman"/>
                <w:b/>
                <w:bCs/>
                <w:color w:val="auto"/>
                <w:kern w:val="0"/>
                <w:sz w:val="24"/>
                <w:szCs w:val="24"/>
                <w:highlight w:val="none"/>
                <w:lang w:val="en-US" w:eastAsia="zh-CN" w:bidi="ar-SA"/>
              </w:rPr>
              <w:t>储备林规划的符合性分析</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eastAsia="宋体" w:cs="Times New Roman"/>
                <w:b w:val="0"/>
                <w:bCs w:val="0"/>
                <w:color w:val="auto"/>
                <w:kern w:val="0"/>
                <w:sz w:val="24"/>
                <w:szCs w:val="24"/>
                <w:highlight w:val="none"/>
                <w:lang w:val="en-US" w:eastAsia="zh-CN" w:bidi="ar-SA"/>
              </w:rPr>
            </w:pPr>
            <w:r>
              <w:rPr>
                <w:rFonts w:hint="default" w:eastAsia="宋体" w:cs="Times New Roman"/>
                <w:b w:val="0"/>
                <w:bCs w:val="0"/>
                <w:color w:val="auto"/>
                <w:kern w:val="0"/>
                <w:sz w:val="24"/>
                <w:szCs w:val="24"/>
                <w:highlight w:val="none"/>
                <w:lang w:val="en-US" w:eastAsia="zh-CN" w:bidi="ar-SA"/>
              </w:rPr>
              <w:t>《国家储备林建设规划（2018-2035年）》（林规发〔2018〕33号）提出，国家储备林建设将以满足人民美好生活对优质木材的需求为主要任务，以创新投融资机制为动力，坚持政府引导、市场运作、平台承贷、项目管理、持续经营，建设功能多样的国家储备林。国家储备林建设涉及29个省</w:t>
            </w:r>
            <w:r>
              <w:rPr>
                <w:rFonts w:hint="eastAsia" w:eastAsia="宋体" w:cs="Times New Roman"/>
                <w:b w:val="0"/>
                <w:bCs w:val="0"/>
                <w:color w:val="auto"/>
                <w:kern w:val="0"/>
                <w:sz w:val="24"/>
                <w:szCs w:val="24"/>
                <w:highlight w:val="none"/>
                <w:lang w:val="en-US" w:eastAsia="zh-CN" w:bidi="ar-SA"/>
              </w:rPr>
              <w:t>（</w:t>
            </w:r>
            <w:r>
              <w:rPr>
                <w:rFonts w:hint="default" w:eastAsia="宋体" w:cs="Times New Roman"/>
                <w:b w:val="0"/>
                <w:bCs w:val="0"/>
                <w:color w:val="auto"/>
                <w:kern w:val="0"/>
                <w:sz w:val="24"/>
                <w:szCs w:val="24"/>
                <w:highlight w:val="none"/>
                <w:lang w:val="en-US" w:eastAsia="zh-CN" w:bidi="ar-SA"/>
              </w:rPr>
              <w:t>区、市</w:t>
            </w:r>
            <w:r>
              <w:rPr>
                <w:rFonts w:hint="eastAsia" w:eastAsia="宋体" w:cs="Times New Roman"/>
                <w:b w:val="0"/>
                <w:bCs w:val="0"/>
                <w:color w:val="auto"/>
                <w:kern w:val="0"/>
                <w:sz w:val="24"/>
                <w:szCs w:val="24"/>
                <w:highlight w:val="none"/>
                <w:lang w:val="en-US" w:eastAsia="zh-CN" w:bidi="ar-SA"/>
              </w:rPr>
              <w:t>）</w:t>
            </w:r>
            <w:r>
              <w:rPr>
                <w:rFonts w:hint="default" w:eastAsia="宋体" w:cs="Times New Roman"/>
                <w:b w:val="0"/>
                <w:bCs w:val="0"/>
                <w:color w:val="auto"/>
                <w:kern w:val="0"/>
                <w:sz w:val="24"/>
                <w:szCs w:val="24"/>
                <w:highlight w:val="none"/>
                <w:lang w:val="en-US" w:eastAsia="zh-CN" w:bidi="ar-SA"/>
              </w:rPr>
              <w:t>、5个森工</w:t>
            </w:r>
            <w:r>
              <w:rPr>
                <w:rFonts w:hint="eastAsia" w:eastAsia="宋体" w:cs="Times New Roman"/>
                <w:b w:val="0"/>
                <w:bCs w:val="0"/>
                <w:color w:val="auto"/>
                <w:kern w:val="0"/>
                <w:sz w:val="24"/>
                <w:szCs w:val="24"/>
                <w:highlight w:val="none"/>
                <w:lang w:val="en-US" w:eastAsia="zh-CN" w:bidi="ar-SA"/>
              </w:rPr>
              <w:t>（</w:t>
            </w:r>
            <w:r>
              <w:rPr>
                <w:rFonts w:hint="default" w:eastAsia="宋体" w:cs="Times New Roman"/>
                <w:b w:val="0"/>
                <w:bCs w:val="0"/>
                <w:color w:val="auto"/>
                <w:kern w:val="0"/>
                <w:sz w:val="24"/>
                <w:szCs w:val="24"/>
                <w:highlight w:val="none"/>
                <w:lang w:val="en-US" w:eastAsia="zh-CN" w:bidi="ar-SA"/>
              </w:rPr>
              <w:t>林业</w:t>
            </w:r>
            <w:r>
              <w:rPr>
                <w:rFonts w:hint="eastAsia" w:eastAsia="宋体" w:cs="Times New Roman"/>
                <w:b w:val="0"/>
                <w:bCs w:val="0"/>
                <w:color w:val="auto"/>
                <w:kern w:val="0"/>
                <w:sz w:val="24"/>
                <w:szCs w:val="24"/>
                <w:highlight w:val="none"/>
                <w:lang w:val="en-US" w:eastAsia="zh-CN" w:bidi="ar-SA"/>
              </w:rPr>
              <w:t>）</w:t>
            </w:r>
            <w:r>
              <w:rPr>
                <w:rFonts w:hint="default" w:eastAsia="宋体" w:cs="Times New Roman"/>
                <w:b w:val="0"/>
                <w:bCs w:val="0"/>
                <w:color w:val="auto"/>
                <w:kern w:val="0"/>
                <w:sz w:val="24"/>
                <w:szCs w:val="24"/>
                <w:highlight w:val="none"/>
                <w:lang w:val="en-US" w:eastAsia="zh-CN" w:bidi="ar-SA"/>
              </w:rPr>
              <w:t>集团、新疆生产建设兵团，共1897个县</w:t>
            </w:r>
            <w:r>
              <w:rPr>
                <w:rFonts w:hint="eastAsia" w:eastAsia="宋体" w:cs="Times New Roman"/>
                <w:b w:val="0"/>
                <w:bCs w:val="0"/>
                <w:color w:val="auto"/>
                <w:kern w:val="0"/>
                <w:sz w:val="24"/>
                <w:szCs w:val="24"/>
                <w:highlight w:val="none"/>
                <w:lang w:val="en-US" w:eastAsia="zh-CN" w:bidi="ar-SA"/>
              </w:rPr>
              <w:t>（</w:t>
            </w:r>
            <w:r>
              <w:rPr>
                <w:rFonts w:hint="default" w:eastAsia="宋体" w:cs="Times New Roman"/>
                <w:b w:val="0"/>
                <w:bCs w:val="0"/>
                <w:color w:val="auto"/>
                <w:kern w:val="0"/>
                <w:sz w:val="24"/>
                <w:szCs w:val="24"/>
                <w:highlight w:val="none"/>
                <w:lang w:val="en-US" w:eastAsia="zh-CN" w:bidi="ar-SA"/>
              </w:rPr>
              <w:t>市、区、旗</w:t>
            </w:r>
            <w:r>
              <w:rPr>
                <w:rFonts w:hint="eastAsia" w:eastAsia="宋体" w:cs="Times New Roman"/>
                <w:b w:val="0"/>
                <w:bCs w:val="0"/>
                <w:color w:val="auto"/>
                <w:kern w:val="0"/>
                <w:sz w:val="24"/>
                <w:szCs w:val="24"/>
                <w:highlight w:val="none"/>
                <w:lang w:val="en-US" w:eastAsia="zh-CN" w:bidi="ar-SA"/>
              </w:rPr>
              <w:t>）</w:t>
            </w:r>
            <w:r>
              <w:rPr>
                <w:rFonts w:hint="default" w:eastAsia="宋体" w:cs="Times New Roman"/>
                <w:b w:val="0"/>
                <w:bCs w:val="0"/>
                <w:color w:val="auto"/>
                <w:kern w:val="0"/>
                <w:sz w:val="24"/>
                <w:szCs w:val="24"/>
                <w:highlight w:val="none"/>
                <w:lang w:val="en-US" w:eastAsia="zh-CN" w:bidi="ar-SA"/>
              </w:rPr>
              <w:t>、国有林场</w:t>
            </w:r>
            <w:r>
              <w:rPr>
                <w:rFonts w:hint="eastAsia" w:eastAsia="宋体" w:cs="Times New Roman"/>
                <w:b w:val="0"/>
                <w:bCs w:val="0"/>
                <w:color w:val="auto"/>
                <w:kern w:val="0"/>
                <w:sz w:val="24"/>
                <w:szCs w:val="24"/>
                <w:highlight w:val="none"/>
                <w:lang w:val="en-US" w:eastAsia="zh-CN" w:bidi="ar-SA"/>
              </w:rPr>
              <w:t>（</w:t>
            </w:r>
            <w:r>
              <w:rPr>
                <w:rFonts w:hint="default" w:eastAsia="宋体" w:cs="Times New Roman"/>
                <w:b w:val="0"/>
                <w:bCs w:val="0"/>
                <w:color w:val="auto"/>
                <w:kern w:val="0"/>
                <w:sz w:val="24"/>
                <w:szCs w:val="24"/>
                <w:highlight w:val="none"/>
                <w:lang w:val="en-US" w:eastAsia="zh-CN" w:bidi="ar-SA"/>
              </w:rPr>
              <w:t>局</w:t>
            </w:r>
            <w:r>
              <w:rPr>
                <w:rFonts w:hint="eastAsia" w:eastAsia="宋体" w:cs="Times New Roman"/>
                <w:b w:val="0"/>
                <w:bCs w:val="0"/>
                <w:color w:val="auto"/>
                <w:kern w:val="0"/>
                <w:sz w:val="24"/>
                <w:szCs w:val="24"/>
                <w:highlight w:val="none"/>
                <w:lang w:val="en-US" w:eastAsia="zh-CN" w:bidi="ar-SA"/>
              </w:rPr>
              <w:t>）</w:t>
            </w:r>
            <w:r>
              <w:rPr>
                <w:rFonts w:hint="default" w:eastAsia="宋体" w:cs="Times New Roman"/>
                <w:b w:val="0"/>
                <w:bCs w:val="0"/>
                <w:color w:val="auto"/>
                <w:kern w:val="0"/>
                <w:sz w:val="24"/>
                <w:szCs w:val="24"/>
                <w:highlight w:val="none"/>
                <w:lang w:val="en-US" w:eastAsia="zh-CN" w:bidi="ar-SA"/>
              </w:rPr>
              <w:t>和兵团团场。按照自然条件、培育树种和培育方式相似的原则，共划分为东南沿海地区、长江中下游地区、黄淮海地区、西南适宜地区、京津冀地区、东北地区、西北地区等七大区域，并确定不同发展方向和重点。</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eastAsia="宋体"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根据规划内容，到2035年，规划在东南沿海地区、长江中下游地区、黄淮海地区、西南适宜地区、京津冀地区、东北地区、西北地区等七大区域建设国家储备林2000万公顷，年平均蓄积净增2亿立方米，年均增加乡土珍稀树种和大径材蓄积6300万立方米。</w:t>
            </w:r>
            <w:r>
              <w:rPr>
                <w:rFonts w:hint="eastAsia" w:eastAsia="宋体" w:cs="Times New Roman"/>
                <w:b w:val="0"/>
                <w:bCs w:val="0"/>
                <w:color w:val="auto"/>
                <w:kern w:val="0"/>
                <w:sz w:val="24"/>
                <w:szCs w:val="24"/>
                <w:highlight w:val="none"/>
                <w:lang w:val="en-US" w:eastAsia="zh-CN" w:bidi="ar-SA"/>
              </w:rPr>
              <w:t>四川省</w:t>
            </w:r>
            <w:r>
              <w:rPr>
                <w:rFonts w:hint="default" w:eastAsia="宋体" w:cs="Times New Roman"/>
                <w:b w:val="0"/>
                <w:bCs w:val="0"/>
                <w:color w:val="auto"/>
                <w:kern w:val="0"/>
                <w:sz w:val="24"/>
                <w:szCs w:val="24"/>
                <w:highlight w:val="none"/>
                <w:lang w:val="en-US" w:eastAsia="zh-CN" w:bidi="ar-SA"/>
              </w:rPr>
              <w:t>属于国家储备林7大区域的西南适宜地区，是国家生态文明试验区之一，是国家储备林建设重要组成省份，</w:t>
            </w:r>
            <w:r>
              <w:rPr>
                <w:rFonts w:hint="eastAsia" w:eastAsia="宋体" w:cs="Times New Roman"/>
                <w:b w:val="0"/>
                <w:bCs w:val="0"/>
                <w:color w:val="auto"/>
                <w:kern w:val="0"/>
                <w:sz w:val="24"/>
                <w:szCs w:val="24"/>
                <w:highlight w:val="none"/>
                <w:lang w:val="en-US" w:eastAsia="zh-CN" w:bidi="ar-SA"/>
              </w:rPr>
              <w:t>四川</w:t>
            </w:r>
            <w:r>
              <w:rPr>
                <w:rFonts w:hint="default" w:eastAsia="宋体" w:cs="Times New Roman"/>
                <w:b w:val="0"/>
                <w:bCs w:val="0"/>
                <w:color w:val="auto"/>
                <w:kern w:val="0"/>
                <w:sz w:val="24"/>
                <w:szCs w:val="24"/>
                <w:highlight w:val="none"/>
                <w:lang w:val="en-US" w:eastAsia="zh-CN" w:bidi="ar-SA"/>
              </w:rPr>
              <w:t>省21个市（州）的146个县（市、区）纳入</w:t>
            </w:r>
            <w:r>
              <w:rPr>
                <w:rFonts w:hint="eastAsia" w:eastAsia="宋体" w:cs="Times New Roman"/>
                <w:b w:val="0"/>
                <w:bCs w:val="0"/>
                <w:color w:val="auto"/>
                <w:kern w:val="0"/>
                <w:sz w:val="24"/>
                <w:szCs w:val="24"/>
                <w:highlight w:val="none"/>
                <w:lang w:val="en-US" w:eastAsia="zh-CN" w:bidi="ar-SA"/>
              </w:rPr>
              <w:t>规划</w:t>
            </w:r>
            <w:r>
              <w:rPr>
                <w:rFonts w:hint="default" w:eastAsia="宋体" w:cs="Times New Roman"/>
                <w:b w:val="0"/>
                <w:bCs w:val="0"/>
                <w:color w:val="auto"/>
                <w:kern w:val="0"/>
                <w:sz w:val="24"/>
                <w:szCs w:val="24"/>
                <w:highlight w:val="none"/>
                <w:lang w:val="en-US" w:eastAsia="zh-CN" w:bidi="ar-SA"/>
              </w:rPr>
              <w:t>范围，规划在川建设国家储备林1018万亩，其中集约人工林栽培500万亩、现有林改培291万亩、中幼林抚育227万亩。</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eastAsia="宋体"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蓬溪县地处西南适宜地区，气候、土壤等自然条件优越，属于《国家储备林建设规划（2018-2035年）》确定的“鄂渝川陕甘秦岭大巴山国家储备林建设工程片区”重点区域。</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eastAsia" w:eastAsia="宋体" w:cs="Times New Roman"/>
                <w:b w:val="0"/>
                <w:bCs w:val="0"/>
                <w:color w:val="auto"/>
                <w:kern w:val="0"/>
                <w:sz w:val="24"/>
                <w:szCs w:val="24"/>
                <w:highlight w:val="none"/>
                <w:lang w:val="en-US" w:eastAsia="zh-CN" w:bidi="ar-SA"/>
              </w:rPr>
            </w:pPr>
            <w:r>
              <w:rPr>
                <w:rFonts w:hint="eastAsia" w:eastAsia="宋体" w:cs="Times New Roman"/>
                <w:b w:val="0"/>
                <w:bCs w:val="0"/>
                <w:color w:val="auto"/>
                <w:kern w:val="0"/>
                <w:sz w:val="24"/>
                <w:szCs w:val="24"/>
                <w:highlight w:val="none"/>
                <w:lang w:val="en-US" w:eastAsia="zh-CN" w:bidi="ar-SA"/>
              </w:rPr>
              <w:t>202</w:t>
            </w:r>
            <w:r>
              <w:rPr>
                <w:rFonts w:hint="eastAsia" w:cs="Times New Roman"/>
                <w:b w:val="0"/>
                <w:bCs w:val="0"/>
                <w:color w:val="auto"/>
                <w:kern w:val="0"/>
                <w:sz w:val="24"/>
                <w:szCs w:val="24"/>
                <w:highlight w:val="none"/>
                <w:lang w:val="en-US" w:eastAsia="zh-CN" w:bidi="ar-SA"/>
              </w:rPr>
              <w:t>3</w:t>
            </w:r>
            <w:r>
              <w:rPr>
                <w:rFonts w:hint="eastAsia" w:eastAsia="宋体" w:cs="Times New Roman"/>
                <w:b w:val="0"/>
                <w:bCs w:val="0"/>
                <w:color w:val="auto"/>
                <w:kern w:val="0"/>
                <w:sz w:val="24"/>
                <w:szCs w:val="24"/>
                <w:highlight w:val="none"/>
                <w:lang w:val="en-US" w:eastAsia="zh-CN" w:bidi="ar-SA"/>
              </w:rPr>
              <w:t>年</w:t>
            </w:r>
            <w:r>
              <w:rPr>
                <w:rFonts w:hint="eastAsia" w:cs="Times New Roman"/>
                <w:b w:val="0"/>
                <w:bCs w:val="0"/>
                <w:color w:val="auto"/>
                <w:kern w:val="0"/>
                <w:sz w:val="24"/>
                <w:szCs w:val="24"/>
                <w:highlight w:val="none"/>
                <w:lang w:val="en-US" w:eastAsia="zh-CN" w:bidi="ar-SA"/>
              </w:rPr>
              <w:t>11</w:t>
            </w:r>
            <w:r>
              <w:rPr>
                <w:rFonts w:hint="eastAsia" w:eastAsia="宋体" w:cs="Times New Roman"/>
                <w:b w:val="0"/>
                <w:bCs w:val="0"/>
                <w:color w:val="auto"/>
                <w:kern w:val="0"/>
                <w:sz w:val="24"/>
                <w:szCs w:val="24"/>
                <w:highlight w:val="none"/>
                <w:lang w:val="en-US" w:eastAsia="zh-CN" w:bidi="ar-SA"/>
              </w:rPr>
              <w:t>月</w:t>
            </w:r>
            <w:r>
              <w:rPr>
                <w:rFonts w:hint="eastAsia" w:cs="Times New Roman"/>
                <w:b w:val="0"/>
                <w:bCs w:val="0"/>
                <w:color w:val="auto"/>
                <w:kern w:val="0"/>
                <w:sz w:val="24"/>
                <w:szCs w:val="24"/>
                <w:highlight w:val="none"/>
                <w:lang w:val="en-US" w:eastAsia="zh-CN" w:bidi="ar-SA"/>
              </w:rPr>
              <w:t>1</w:t>
            </w:r>
            <w:r>
              <w:rPr>
                <w:rFonts w:hint="eastAsia" w:eastAsia="宋体" w:cs="Times New Roman"/>
                <w:b w:val="0"/>
                <w:bCs w:val="0"/>
                <w:color w:val="auto"/>
                <w:kern w:val="0"/>
                <w:sz w:val="24"/>
                <w:szCs w:val="24"/>
                <w:highlight w:val="none"/>
                <w:lang w:val="en-US" w:eastAsia="zh-CN" w:bidi="ar-SA"/>
              </w:rPr>
              <w:t>3日，遂宁市林业局出具了《关于蓬溪县国家储备林建设及森林质量提升项目（营造林和林业产业）初步设计的批复》</w:t>
            </w:r>
            <w:r>
              <w:rPr>
                <w:rFonts w:hint="eastAsia" w:cs="Times New Roman"/>
                <w:b w:val="0"/>
                <w:bCs w:val="0"/>
                <w:color w:val="auto"/>
                <w:kern w:val="0"/>
                <w:sz w:val="24"/>
                <w:szCs w:val="24"/>
                <w:highlight w:val="none"/>
                <w:lang w:val="en-US" w:eastAsia="zh-CN" w:bidi="ar-SA"/>
              </w:rPr>
              <w:t>（见附件3）</w:t>
            </w:r>
            <w:r>
              <w:rPr>
                <w:rFonts w:hint="eastAsia" w:eastAsia="宋体" w:cs="Times New Roman"/>
                <w:b w:val="0"/>
                <w:bCs w:val="0"/>
                <w:color w:val="auto"/>
                <w:kern w:val="0"/>
                <w:sz w:val="24"/>
                <w:szCs w:val="24"/>
                <w:highlight w:val="none"/>
                <w:lang w:val="en-US" w:eastAsia="zh-CN" w:bidi="ar-SA"/>
              </w:rPr>
              <w:t>，认定《蓬溪县国家储备林建设及森林质量提升项目(营造林和林业产业)初步设计》符合四川省林草局批复的建设方案及蓬溪县发展和改革局批复的可行性研究报告的建设内容及规模，通过专家组的评审，请加快推进项目建设。</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eastAsia="宋体" w:cs="Times New Roman"/>
                <w:b w:val="0"/>
                <w:bCs w:val="0"/>
                <w:color w:val="auto"/>
                <w:kern w:val="0"/>
                <w:sz w:val="24"/>
                <w:szCs w:val="24"/>
                <w:highlight w:val="none"/>
                <w:lang w:val="en-US" w:eastAsia="zh-CN" w:bidi="ar-SA"/>
              </w:rPr>
            </w:pPr>
            <w:r>
              <w:rPr>
                <w:rFonts w:hint="default" w:eastAsia="宋体" w:cs="Times New Roman"/>
                <w:b w:val="0"/>
                <w:bCs w:val="0"/>
                <w:color w:val="auto"/>
                <w:kern w:val="0"/>
                <w:sz w:val="24"/>
                <w:szCs w:val="24"/>
                <w:highlight w:val="none"/>
                <w:lang w:val="en-US" w:eastAsia="zh-CN" w:bidi="ar-SA"/>
              </w:rPr>
              <w:t>因此本项目符合规划的要求。</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8" w:leftChars="20" w:right="48" w:rightChars="20" w:firstLine="482" w:firstLineChars="200"/>
              <w:textAlignment w:val="auto"/>
              <w:rPr>
                <w:rFonts w:hint="default" w:eastAsia="宋体" w:cs="Times New Roman"/>
                <w:b/>
                <w:bCs/>
                <w:color w:val="auto"/>
                <w:kern w:val="0"/>
                <w:sz w:val="24"/>
                <w:szCs w:val="24"/>
                <w:highlight w:val="none"/>
                <w:lang w:val="en-US" w:eastAsia="zh-CN" w:bidi="ar-SA"/>
              </w:rPr>
            </w:pPr>
            <w:r>
              <w:rPr>
                <w:rFonts w:hint="eastAsia" w:cs="Times New Roman"/>
                <w:b/>
                <w:bCs/>
                <w:color w:val="auto"/>
                <w:kern w:val="0"/>
                <w:sz w:val="24"/>
                <w:szCs w:val="24"/>
                <w:highlight w:val="none"/>
                <w:lang w:val="en-US" w:eastAsia="zh-CN" w:bidi="ar-SA"/>
              </w:rPr>
              <w:t>与《国家储备林建设管理办法》符合性</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eastAsia"/>
                <w:color w:val="auto"/>
                <w:lang w:val="en-US" w:eastAsia="zh-CN"/>
              </w:rPr>
            </w:pPr>
            <w:r>
              <w:rPr>
                <w:rFonts w:hint="eastAsia"/>
                <w:color w:val="auto"/>
                <w:lang w:val="en-US" w:eastAsia="zh-CN"/>
              </w:rPr>
              <w:t>2025年3月6日，国家林业和草原局关于印发《国家储备林建设管理办法》的通知（林规规〔2025〕1号），根据管理办法要求：第六条 国家储备林建设范围原则上位于自然条件适宜、年平均降水量600毫米以上地区的适应区域。第七条 国家储备林建设用地应当具备良好立地条件，严禁占用各类自然保护地、草地、重要湿地、野生动物栖息地、野生植物保护点、耕地、国家级公益林，以及生态保护红线内和国家法律法规政策规定明确禁止造林的土地开展国家储备林建设。第八条 国家储备林项目包括集约人工林栽培、现有林改培、中幼林抚育等营造林活动，配套产业以及基础设施建设，具体按照相关技术规程执行。第九条 国家储备林建设树种原则上应当符合国家储备林树种目录要求，鼓励培育乡土树种、珍贵树种、防火树种。</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color w:val="auto"/>
                <w:lang w:val="en-US" w:eastAsia="zh-CN"/>
              </w:rPr>
            </w:pPr>
            <w:r>
              <w:rPr>
                <w:rFonts w:hint="eastAsia"/>
                <w:color w:val="auto"/>
                <w:lang w:val="en-US" w:eastAsia="zh-CN"/>
              </w:rPr>
              <w:t>本项目选址蓬溪县，</w:t>
            </w:r>
            <w:r>
              <w:rPr>
                <w:rFonts w:hint="default" w:ascii="Times New Roman" w:hAnsi="Times New Roman" w:cs="Times New Roman"/>
                <w:color w:val="auto"/>
                <w:lang w:val="en-US" w:eastAsia="zh-CN"/>
              </w:rPr>
              <w:t>属亚热带温湿季风气候，气候温和</w:t>
            </w:r>
            <w:r>
              <w:rPr>
                <w:rFonts w:hint="eastAsia" w:cs="Times New Roman"/>
                <w:color w:val="auto"/>
                <w:lang w:val="en-US" w:eastAsia="zh-CN"/>
              </w:rPr>
              <w:t>，</w:t>
            </w:r>
            <w:r>
              <w:rPr>
                <w:rFonts w:hint="default" w:ascii="Times New Roman" w:hAnsi="Times New Roman" w:cs="Times New Roman"/>
                <w:color w:val="auto"/>
                <w:lang w:val="en-US" w:eastAsia="zh-CN"/>
              </w:rPr>
              <w:t>雨量充沛</w:t>
            </w:r>
            <w:r>
              <w:rPr>
                <w:rFonts w:hint="eastAsia" w:cs="Times New Roman"/>
                <w:color w:val="auto"/>
                <w:lang w:val="en-US" w:eastAsia="zh-CN"/>
              </w:rPr>
              <w:t>，</w:t>
            </w:r>
            <w:r>
              <w:rPr>
                <w:rFonts w:hint="default" w:ascii="Times New Roman" w:hAnsi="Times New Roman" w:cs="Times New Roman"/>
                <w:color w:val="auto"/>
                <w:lang w:val="en-US" w:eastAsia="zh-CN"/>
              </w:rPr>
              <w:t>境内常年降水量为919.4毫米</w:t>
            </w:r>
            <w:r>
              <w:rPr>
                <w:rFonts w:hint="eastAsia" w:cs="Times New Roman"/>
                <w:color w:val="auto"/>
                <w:lang w:val="en-US" w:eastAsia="zh-CN"/>
              </w:rPr>
              <w:t>，属适应区域。</w:t>
            </w:r>
            <w:r>
              <w:rPr>
                <w:rFonts w:hint="eastAsia" w:cs="Times New Roman"/>
                <w:color w:val="auto"/>
                <w:sz w:val="24"/>
                <w:szCs w:val="24"/>
                <w:highlight w:val="none"/>
                <w:lang w:val="en-US" w:eastAsia="zh-CN"/>
              </w:rPr>
              <w:t>储备林建设包含集约人工林栽培、现有林改造、中幼林抚育，该部分占地不涉及基本农田、生态保护红线、自然保护区、国家公益林等；造林树种选择以《国家储备林树种目录（2025年版）》和《四川省储备林树种目录》（川林规函〔2023〕759 号）为指导，选择</w:t>
            </w:r>
            <w:r>
              <w:rPr>
                <w:rFonts w:hint="eastAsia"/>
                <w:color w:val="auto"/>
                <w:lang w:val="en-US" w:eastAsia="zh-CN"/>
              </w:rPr>
              <w:t>适宜蓬溪县本地生长的</w:t>
            </w:r>
            <w:r>
              <w:rPr>
                <w:rFonts w:hint="eastAsia" w:cs="Times New Roman"/>
                <w:color w:val="auto"/>
                <w:sz w:val="24"/>
                <w:szCs w:val="24"/>
                <w:highlight w:val="none"/>
                <w:lang w:val="en-US" w:eastAsia="zh-CN"/>
              </w:rPr>
              <w:t>香桂、栾树、香椿、黄连木、刺槐、山合欢等</w:t>
            </w:r>
            <w:r>
              <w:rPr>
                <w:rFonts w:hint="eastAsia"/>
                <w:color w:val="auto"/>
                <w:lang w:val="en-US" w:eastAsia="zh-CN"/>
              </w:rPr>
              <w:t>树种；集约人工林栽培、现有林改培、中幼林抚育均按照相关技术规程进行。因此，项目符合《国家储备林建设管理办法（试行）》相关要求。</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8" w:leftChars="20" w:right="48" w:rightChars="20" w:firstLine="482" w:firstLineChars="200"/>
              <w:textAlignment w:val="auto"/>
              <w:rPr>
                <w:rFonts w:hint="default" w:eastAsia="宋体" w:cs="Times New Roman"/>
                <w:b/>
                <w:bCs/>
                <w:color w:val="auto"/>
                <w:kern w:val="0"/>
                <w:sz w:val="24"/>
                <w:szCs w:val="24"/>
                <w:highlight w:val="none"/>
                <w:lang w:val="en-US" w:eastAsia="zh-CN" w:bidi="ar-SA"/>
              </w:rPr>
            </w:pPr>
            <w:r>
              <w:rPr>
                <w:rFonts w:hint="eastAsia" w:eastAsia="宋体" w:cs="Times New Roman"/>
                <w:b/>
                <w:bCs/>
                <w:color w:val="auto"/>
                <w:kern w:val="0"/>
                <w:sz w:val="24"/>
                <w:szCs w:val="24"/>
                <w:highlight w:val="none"/>
                <w:lang w:val="en-US" w:eastAsia="zh-CN" w:bidi="ar-SA"/>
              </w:rPr>
              <w:t>与《四川省林业和草原“十四五”规划》</w:t>
            </w:r>
            <w:r>
              <w:rPr>
                <w:rFonts w:hint="default" w:eastAsia="宋体" w:cs="Times New Roman"/>
                <w:b/>
                <w:bCs/>
                <w:color w:val="auto"/>
                <w:kern w:val="0"/>
                <w:sz w:val="24"/>
                <w:szCs w:val="24"/>
                <w:highlight w:val="none"/>
                <w:lang w:val="en-US" w:eastAsia="zh-CN" w:bidi="ar-SA"/>
              </w:rPr>
              <w:t>符合性分析</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eastAsia" w:eastAsia="宋体" w:cs="Times New Roman"/>
                <w:b w:val="0"/>
                <w:bCs w:val="0"/>
                <w:color w:val="auto"/>
                <w:kern w:val="0"/>
                <w:sz w:val="24"/>
                <w:szCs w:val="24"/>
                <w:highlight w:val="none"/>
                <w:lang w:val="en-US" w:eastAsia="zh-CN" w:bidi="ar-SA"/>
              </w:rPr>
            </w:pPr>
            <w:r>
              <w:rPr>
                <w:rFonts w:hint="default" w:eastAsia="宋体" w:cs="Times New Roman"/>
                <w:b w:val="0"/>
                <w:bCs w:val="0"/>
                <w:color w:val="auto"/>
                <w:kern w:val="0"/>
                <w:sz w:val="24"/>
                <w:szCs w:val="24"/>
                <w:highlight w:val="none"/>
                <w:lang w:val="en-US" w:eastAsia="zh-CN" w:bidi="ar-SA"/>
              </w:rPr>
              <w:t>四川省林草局（大熊猫国家公园四川省管理局）于2021年11月编制印发了《四川省林业草原发展“十四五”规划》（简称“规划”）</w:t>
            </w:r>
            <w:r>
              <w:rPr>
                <w:rFonts w:hint="eastAsia" w:eastAsia="宋体" w:cs="Times New Roman"/>
                <w:b w:val="0"/>
                <w:bCs w:val="0"/>
                <w:color w:val="auto"/>
                <w:kern w:val="0"/>
                <w:sz w:val="24"/>
                <w:szCs w:val="24"/>
                <w:highlight w:val="none"/>
                <w:lang w:val="en-US" w:eastAsia="zh-CN" w:bidi="ar-SA"/>
              </w:rPr>
              <w:t>，规划围绕生态保护修复、自然保护地体系、特色林草产业、高品质生态宜居、生态产品价值实现、林草资源安全、科技创新等7个重点方面，统筹谋划我省林草保护、发展和安全。</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eastAsia="宋体" w:cs="Times New Roman"/>
                <w:b w:val="0"/>
                <w:bCs w:val="0"/>
                <w:color w:val="auto"/>
                <w:kern w:val="0"/>
                <w:sz w:val="24"/>
                <w:szCs w:val="24"/>
                <w:highlight w:val="none"/>
                <w:lang w:val="en-US" w:eastAsia="zh-CN" w:bidi="ar-SA"/>
              </w:rPr>
            </w:pPr>
            <w:r>
              <w:rPr>
                <w:rFonts w:hint="eastAsia" w:eastAsia="宋体" w:cs="Times New Roman"/>
                <w:b w:val="0"/>
                <w:bCs w:val="0"/>
                <w:color w:val="auto"/>
                <w:kern w:val="0"/>
                <w:sz w:val="24"/>
                <w:szCs w:val="24"/>
                <w:highlight w:val="none"/>
                <w:lang w:val="en-US" w:eastAsia="zh-CN" w:bidi="ar-SA"/>
              </w:rPr>
              <w:t>《规划》到2025年，森林覆盖率达到41%，森林蓄积量达到21亿立方米，草原综合植被盖度达到86%，治理沙化土地48万亩，草原保有量不低于1.45亿亩，湿地保有量不低于2600万亩，林草产业总产值突破5000亿元。主要举措包括：大力建设国家储备林</w:t>
            </w:r>
            <w:r>
              <w:rPr>
                <w:rFonts w:hint="eastAsia" w:cs="Times New Roman"/>
                <w:b w:val="0"/>
                <w:bCs w:val="0"/>
                <w:color w:val="auto"/>
                <w:kern w:val="0"/>
                <w:sz w:val="24"/>
                <w:szCs w:val="24"/>
                <w:highlight w:val="none"/>
                <w:lang w:val="en-US" w:eastAsia="zh-CN" w:bidi="ar-SA"/>
              </w:rPr>
              <w:t>，</w:t>
            </w:r>
            <w:r>
              <w:rPr>
                <w:rFonts w:hint="eastAsia" w:eastAsia="宋体" w:cs="Times New Roman"/>
                <w:b w:val="0"/>
                <w:bCs w:val="0"/>
                <w:color w:val="auto"/>
                <w:kern w:val="0"/>
                <w:sz w:val="24"/>
                <w:szCs w:val="24"/>
                <w:highlight w:val="none"/>
                <w:lang w:val="en-US" w:eastAsia="zh-CN" w:bidi="ar-SA"/>
              </w:rPr>
              <w:t>在川东北、攀西、盆周山区、川南四大片区布局储备林建设，实施人工林培育50万亩、现有林改培150万亩、中幼林抚育100万亩</w:t>
            </w:r>
            <w:r>
              <w:rPr>
                <w:rFonts w:hint="eastAsia" w:cs="Times New Roman"/>
                <w:b w:val="0"/>
                <w:bCs w:val="0"/>
                <w:color w:val="auto"/>
                <w:kern w:val="0"/>
                <w:sz w:val="24"/>
                <w:szCs w:val="24"/>
                <w:highlight w:val="none"/>
                <w:lang w:val="en-US" w:eastAsia="zh-CN" w:bidi="ar-SA"/>
              </w:rPr>
              <w:t>。</w:t>
            </w:r>
            <w:r>
              <w:rPr>
                <w:rFonts w:hint="eastAsia" w:eastAsia="宋体" w:cs="Times New Roman"/>
                <w:b w:val="0"/>
                <w:bCs w:val="0"/>
                <w:color w:val="auto"/>
                <w:kern w:val="0"/>
                <w:sz w:val="24"/>
                <w:szCs w:val="24"/>
                <w:highlight w:val="none"/>
                <w:lang w:val="en-US" w:eastAsia="zh-CN" w:bidi="ar-SA"/>
              </w:rPr>
              <w:t>《规划》</w:t>
            </w:r>
            <w:r>
              <w:rPr>
                <w:rFonts w:hint="eastAsia" w:cs="Times New Roman"/>
                <w:b w:val="0"/>
                <w:bCs w:val="0"/>
                <w:color w:val="auto"/>
                <w:kern w:val="0"/>
                <w:sz w:val="24"/>
                <w:szCs w:val="24"/>
                <w:highlight w:val="none"/>
                <w:lang w:val="en-US" w:eastAsia="zh-CN" w:bidi="ar-SA"/>
              </w:rPr>
              <w:t>提出：“川东北储备林片区：围绕成渝地区双城经济圈建设，在遂宁、广安、达州、南充、巴中、广元等地重点建设马尾松、柏木低产低效改造储备林项目”。蓬溪县正处于规划提出的储备林建设区域。</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eastAsia="宋体" w:cs="Times New Roman"/>
                <w:b w:val="0"/>
                <w:bCs w:val="0"/>
                <w:color w:val="auto"/>
                <w:kern w:val="0"/>
                <w:sz w:val="24"/>
                <w:szCs w:val="24"/>
                <w:highlight w:val="none"/>
                <w:lang w:val="en-US" w:eastAsia="zh-CN" w:bidi="ar-SA"/>
              </w:rPr>
            </w:pPr>
            <w:r>
              <w:rPr>
                <w:rFonts w:hint="eastAsia" w:eastAsia="宋体" w:cs="Times New Roman"/>
                <w:b w:val="0"/>
                <w:bCs w:val="0"/>
                <w:color w:val="auto"/>
                <w:kern w:val="0"/>
                <w:sz w:val="24"/>
                <w:szCs w:val="24"/>
                <w:highlight w:val="none"/>
                <w:lang w:val="en-US" w:eastAsia="zh-CN" w:bidi="ar-SA"/>
              </w:rPr>
              <w:t>本项目属于</w:t>
            </w:r>
            <w:r>
              <w:rPr>
                <w:rFonts w:hint="eastAsia" w:cs="Times New Roman"/>
                <w:b w:val="0"/>
                <w:bCs w:val="0"/>
                <w:color w:val="auto"/>
                <w:kern w:val="0"/>
                <w:sz w:val="24"/>
                <w:szCs w:val="24"/>
                <w:highlight w:val="none"/>
                <w:lang w:val="en-US" w:eastAsia="zh-CN" w:bidi="ar-SA"/>
              </w:rPr>
              <w:t>川</w:t>
            </w:r>
            <w:r>
              <w:rPr>
                <w:rFonts w:hint="eastAsia" w:eastAsia="宋体" w:cs="Times New Roman"/>
                <w:b w:val="0"/>
                <w:bCs w:val="0"/>
                <w:color w:val="auto"/>
                <w:kern w:val="0"/>
                <w:sz w:val="24"/>
                <w:szCs w:val="24"/>
                <w:highlight w:val="none"/>
                <w:lang w:val="en-US" w:eastAsia="zh-CN" w:bidi="ar-SA"/>
              </w:rPr>
              <w:t>东北储备林建设范围，符合《四川省林业和草原“十四五”规划》。</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8" w:leftChars="20" w:right="48" w:rightChars="20" w:firstLine="482" w:firstLineChars="200"/>
              <w:textAlignment w:val="auto"/>
              <w:rPr>
                <w:rFonts w:hint="default" w:eastAsia="宋体" w:cs="Times New Roman"/>
                <w:b/>
                <w:bCs/>
                <w:color w:val="auto"/>
                <w:kern w:val="0"/>
                <w:sz w:val="24"/>
                <w:szCs w:val="24"/>
                <w:highlight w:val="none"/>
                <w:lang w:val="en-US" w:eastAsia="zh-CN" w:bidi="ar-SA"/>
              </w:rPr>
            </w:pPr>
            <w:r>
              <w:rPr>
                <w:rFonts w:hint="default" w:eastAsia="宋体" w:cs="Times New Roman"/>
                <w:b/>
                <w:bCs/>
                <w:color w:val="auto"/>
                <w:kern w:val="0"/>
                <w:sz w:val="24"/>
                <w:szCs w:val="24"/>
                <w:highlight w:val="none"/>
                <w:lang w:val="en-US" w:eastAsia="zh-CN" w:bidi="ar-SA"/>
              </w:rPr>
              <w:t>与《国家重点生态功能保护区规划纲要》符合性分析</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eastAsia="宋体" w:cs="Times New Roman"/>
                <w:b w:val="0"/>
                <w:bCs w:val="0"/>
                <w:color w:val="auto"/>
                <w:kern w:val="0"/>
                <w:sz w:val="24"/>
                <w:szCs w:val="24"/>
                <w:highlight w:val="none"/>
                <w:lang w:val="en-US" w:eastAsia="zh-CN" w:bidi="ar-SA"/>
              </w:rPr>
            </w:pPr>
            <w:r>
              <w:rPr>
                <w:rFonts w:hint="default" w:eastAsia="宋体" w:cs="Times New Roman"/>
                <w:b w:val="0"/>
                <w:bCs w:val="0"/>
                <w:color w:val="auto"/>
                <w:kern w:val="0"/>
                <w:sz w:val="24"/>
                <w:szCs w:val="24"/>
                <w:highlight w:val="none"/>
                <w:lang w:val="en-US" w:eastAsia="zh-CN" w:bidi="ar-SA"/>
              </w:rPr>
              <w:t>《国家重点生态功能保护区规划纲要》规定：</w:t>
            </w:r>
            <w:r>
              <w:rPr>
                <w:rFonts w:hint="eastAsia" w:cs="Times New Roman"/>
                <w:b w:val="0"/>
                <w:bCs w:val="0"/>
                <w:color w:val="auto"/>
                <w:kern w:val="0"/>
                <w:sz w:val="24"/>
                <w:szCs w:val="24"/>
                <w:highlight w:val="none"/>
                <w:lang w:val="en-US" w:eastAsia="zh-CN" w:bidi="ar-SA"/>
              </w:rPr>
              <w:t>“</w:t>
            </w:r>
            <w:r>
              <w:rPr>
                <w:rFonts w:hint="default" w:eastAsia="宋体" w:cs="Times New Roman"/>
                <w:b w:val="0"/>
                <w:bCs w:val="0"/>
                <w:color w:val="auto"/>
                <w:kern w:val="0"/>
                <w:sz w:val="24"/>
                <w:szCs w:val="24"/>
                <w:highlight w:val="none"/>
                <w:lang w:val="en-US" w:eastAsia="zh-CN" w:bidi="ar-SA"/>
              </w:rPr>
              <w:t>强化生态环境监管：通过加强法律法规和监管能力建设，提高环境执法能力，避免边建设边破坏；通过强化监测和科研，提高区内生态环境监测、预报、预警水平，及时准确掌握区内主导生态功能的动态变化情况，为生态功能保护区的建设和管理提供决策依据；通过强化宣传教育，增强区内广大群众对区域生态功能重要性的认识，自觉维护区域和流域生态安全。</w:t>
            </w:r>
            <w:r>
              <w:rPr>
                <w:rFonts w:hint="eastAsia" w:cs="Times New Roman"/>
                <w:b w:val="0"/>
                <w:bCs w:val="0"/>
                <w:color w:val="auto"/>
                <w:kern w:val="0"/>
                <w:sz w:val="24"/>
                <w:szCs w:val="24"/>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eastAsia="宋体" w:cs="Times New Roman"/>
                <w:b w:val="0"/>
                <w:bCs w:val="0"/>
                <w:color w:val="auto"/>
                <w:kern w:val="0"/>
                <w:sz w:val="24"/>
                <w:szCs w:val="24"/>
                <w:highlight w:val="none"/>
                <w:lang w:val="en-US" w:eastAsia="zh-CN" w:bidi="ar-SA"/>
              </w:rPr>
            </w:pPr>
            <w:r>
              <w:rPr>
                <w:rFonts w:hint="default" w:eastAsia="宋体" w:cs="Times New Roman"/>
                <w:b w:val="0"/>
                <w:bCs w:val="0"/>
                <w:color w:val="auto"/>
                <w:kern w:val="0"/>
                <w:sz w:val="24"/>
                <w:szCs w:val="24"/>
                <w:highlight w:val="none"/>
                <w:lang w:val="en-US" w:eastAsia="zh-CN" w:bidi="ar-SA"/>
              </w:rPr>
              <w:t>本项目在</w:t>
            </w:r>
            <w:r>
              <w:rPr>
                <w:rFonts w:hint="eastAsia" w:eastAsia="宋体" w:cs="Times New Roman"/>
                <w:b w:val="0"/>
                <w:bCs w:val="0"/>
                <w:color w:val="auto"/>
                <w:kern w:val="0"/>
                <w:sz w:val="24"/>
                <w:szCs w:val="24"/>
                <w:highlight w:val="none"/>
                <w:lang w:val="en-US" w:eastAsia="zh-CN" w:bidi="ar-SA"/>
              </w:rPr>
              <w:t>建设</w:t>
            </w:r>
            <w:r>
              <w:rPr>
                <w:rFonts w:hint="default" w:eastAsia="宋体" w:cs="Times New Roman"/>
                <w:b w:val="0"/>
                <w:bCs w:val="0"/>
                <w:color w:val="auto"/>
                <w:kern w:val="0"/>
                <w:sz w:val="24"/>
                <w:szCs w:val="24"/>
                <w:highlight w:val="none"/>
                <w:lang w:val="en-US" w:eastAsia="zh-CN" w:bidi="ar-SA"/>
              </w:rPr>
              <w:t>过程中进行环境监测，及时准确掌握区域内主导生态功能的动态变化情况。同时对管理人员进行培训，对当地群众进行宣传教育，增强区内广大群众对区域生态功能重要性的认识，自觉维护区域生态环境。符合《国家重点生态功能保护区规划纲要》相关要求。</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8" w:leftChars="20" w:right="48" w:rightChars="20" w:firstLine="482" w:firstLineChars="200"/>
              <w:textAlignment w:val="auto"/>
              <w:rPr>
                <w:rFonts w:hint="default" w:eastAsia="宋体" w:cs="Times New Roman"/>
                <w:b/>
                <w:bCs/>
                <w:color w:val="auto"/>
                <w:kern w:val="0"/>
                <w:sz w:val="24"/>
                <w:szCs w:val="24"/>
                <w:highlight w:val="none"/>
                <w:lang w:val="en-US" w:eastAsia="zh-CN" w:bidi="ar-SA"/>
              </w:rPr>
            </w:pPr>
            <w:r>
              <w:rPr>
                <w:rFonts w:hint="default" w:eastAsia="宋体" w:cs="Times New Roman"/>
                <w:b/>
                <w:bCs/>
                <w:color w:val="auto"/>
                <w:kern w:val="0"/>
                <w:sz w:val="24"/>
                <w:szCs w:val="24"/>
                <w:highlight w:val="none"/>
                <w:lang w:val="en-US" w:eastAsia="zh-CN" w:bidi="ar-SA"/>
              </w:rPr>
              <w:t>与《全国生态功能区划》符合性分析</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《全国生态</w:t>
            </w:r>
            <w:r>
              <w:rPr>
                <w:rFonts w:hint="default" w:eastAsia="宋体" w:cs="Times New Roman"/>
                <w:b w:val="0"/>
                <w:bCs w:val="0"/>
                <w:color w:val="auto"/>
                <w:kern w:val="0"/>
                <w:sz w:val="24"/>
                <w:szCs w:val="24"/>
                <w:highlight w:val="none"/>
                <w:lang w:val="en-US" w:eastAsia="zh-CN" w:bidi="ar-SA"/>
              </w:rPr>
              <w:t>功能</w:t>
            </w:r>
            <w:r>
              <w:rPr>
                <w:rFonts w:hint="default" w:ascii="Times New Roman" w:hAnsi="Times New Roman" w:eastAsia="宋体" w:cs="Times New Roman"/>
                <w:color w:val="auto"/>
                <w:kern w:val="2"/>
                <w:sz w:val="24"/>
                <w:szCs w:val="24"/>
                <w:highlight w:val="none"/>
                <w:lang w:val="en-US" w:eastAsia="zh-CN" w:bidi="ar-SA"/>
              </w:rPr>
              <w:t>区划》规定：</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（1）加强</w:t>
            </w:r>
            <w:r>
              <w:rPr>
                <w:rFonts w:hint="default" w:eastAsia="宋体" w:cs="Times New Roman"/>
                <w:b w:val="0"/>
                <w:bCs w:val="0"/>
                <w:color w:val="auto"/>
                <w:kern w:val="0"/>
                <w:sz w:val="24"/>
                <w:szCs w:val="24"/>
                <w:highlight w:val="none"/>
                <w:lang w:val="en-US" w:eastAsia="zh-CN" w:bidi="ar-SA"/>
              </w:rPr>
              <w:t>自然保护区</w:t>
            </w:r>
            <w:r>
              <w:rPr>
                <w:rFonts w:hint="default" w:ascii="Times New Roman" w:hAnsi="Times New Roman" w:eastAsia="宋体" w:cs="Times New Roman"/>
                <w:color w:val="auto"/>
                <w:kern w:val="2"/>
                <w:sz w:val="24"/>
                <w:szCs w:val="24"/>
                <w:highlight w:val="none"/>
                <w:lang w:val="en-US" w:eastAsia="zh-CN" w:bidi="ar-SA"/>
              </w:rPr>
              <w:t>建设和管理，尤其自然保护区群的建设；（2）不得改变自然保护区的土地用途，禁止在自然保护区内开发建设，实施重大工程对生物多样性影响的生态影响评价；（3）禁止对野生动植物进行滥捕、乱采、乱猎；（4）加强对外来物种入侵的控制，禁止在自然保护区引进外来物种；（5）保护自然生态系统与重要物种栖息地，防止生态建设导致栖息环境的改变。</w:t>
            </w:r>
            <w:r>
              <w:rPr>
                <w:rFonts w:hint="eastAsia"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本项目不在周边各级自然保护区划定的范围内，</w:t>
            </w:r>
            <w:r>
              <w:rPr>
                <w:rFonts w:hint="eastAsia" w:cs="Times New Roman"/>
                <w:color w:val="auto"/>
                <w:kern w:val="2"/>
                <w:sz w:val="24"/>
                <w:szCs w:val="24"/>
                <w:highlight w:val="none"/>
                <w:lang w:val="en-US" w:eastAsia="zh-CN" w:bidi="ar-SA"/>
              </w:rPr>
              <w:t>储备林建设</w:t>
            </w:r>
            <w:r>
              <w:rPr>
                <w:rFonts w:hint="default" w:ascii="Times New Roman" w:hAnsi="Times New Roman" w:eastAsia="宋体" w:cs="Times New Roman"/>
                <w:color w:val="auto"/>
                <w:kern w:val="2"/>
                <w:sz w:val="24"/>
                <w:szCs w:val="24"/>
                <w:highlight w:val="none"/>
                <w:lang w:val="en-US" w:eastAsia="zh-CN" w:bidi="ar-SA"/>
              </w:rPr>
              <w:t>过程中通过采取有针对性的防治、补偿、恢复等生态治理措施，对自然生态系统</w:t>
            </w:r>
            <w:r>
              <w:rPr>
                <w:rFonts w:hint="eastAsia" w:cs="Times New Roman"/>
                <w:color w:val="auto"/>
                <w:kern w:val="2"/>
                <w:sz w:val="24"/>
                <w:szCs w:val="24"/>
                <w:highlight w:val="none"/>
                <w:lang w:val="en-US" w:eastAsia="zh-CN" w:bidi="ar-SA"/>
              </w:rPr>
              <w:t>有明显的生态环境正效应</w:t>
            </w:r>
            <w:r>
              <w:rPr>
                <w:rFonts w:hint="default" w:ascii="Times New Roman" w:hAnsi="Times New Roman" w:eastAsia="宋体" w:cs="Times New Roman"/>
                <w:color w:val="auto"/>
                <w:kern w:val="2"/>
                <w:sz w:val="24"/>
                <w:szCs w:val="24"/>
                <w:highlight w:val="none"/>
                <w:lang w:val="en-US" w:eastAsia="zh-CN" w:bidi="ar-SA"/>
              </w:rPr>
              <w:t>，符合《全国生态功能区划》相关要求。</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8" w:leftChars="20" w:right="48" w:rightChars="20" w:firstLine="482" w:firstLineChars="200"/>
              <w:textAlignment w:val="auto"/>
              <w:rPr>
                <w:rFonts w:hint="default" w:eastAsia="宋体" w:cs="Times New Roman"/>
                <w:b/>
                <w:bCs/>
                <w:color w:val="auto"/>
                <w:kern w:val="0"/>
                <w:sz w:val="24"/>
                <w:szCs w:val="24"/>
                <w:highlight w:val="none"/>
                <w:lang w:val="en-US" w:eastAsia="zh-CN" w:bidi="ar-SA"/>
              </w:rPr>
            </w:pPr>
            <w:r>
              <w:rPr>
                <w:rFonts w:hint="default" w:eastAsia="宋体" w:cs="Times New Roman"/>
                <w:b/>
                <w:bCs/>
                <w:color w:val="auto"/>
                <w:kern w:val="0"/>
                <w:sz w:val="24"/>
                <w:szCs w:val="24"/>
                <w:highlight w:val="none"/>
                <w:lang w:val="en-US" w:eastAsia="zh-CN" w:bidi="ar-SA"/>
              </w:rPr>
              <w:t>与《全国生态脆弱区保护规划纲要》符合性分析</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《全国生态脆弱区保护规划纲要》</w:t>
            </w:r>
            <w:r>
              <w:rPr>
                <w:rFonts w:hint="eastAsia" w:ascii="Times New Roman" w:hAnsi="Times New Roman" w:eastAsia="宋体" w:cs="Times New Roman"/>
                <w:color w:val="auto"/>
                <w:kern w:val="2"/>
                <w:sz w:val="24"/>
                <w:szCs w:val="24"/>
                <w:highlight w:val="none"/>
                <w:lang w:val="en-US" w:eastAsia="zh-CN" w:bidi="ar-SA"/>
              </w:rPr>
              <w:t>我国生态脆弱区主要分布在北方干旱半干旱区、南方丘陵区、西南山地区、青藏高原区及东部沿海水陆交接地区，其中包括西南岩溶山地石漠化生态脆弱区，</w:t>
            </w:r>
            <w:r>
              <w:rPr>
                <w:rFonts w:hint="eastAsia" w:cs="Times New Roman"/>
                <w:color w:val="auto"/>
                <w:kern w:val="2"/>
                <w:sz w:val="24"/>
                <w:szCs w:val="24"/>
                <w:highlight w:val="none"/>
                <w:lang w:val="en-US" w:eastAsia="zh-CN" w:bidi="ar-SA"/>
              </w:rPr>
              <w:t>主</w:t>
            </w:r>
            <w:r>
              <w:rPr>
                <w:rFonts w:hint="eastAsia" w:ascii="Times New Roman" w:hAnsi="Times New Roman" w:eastAsia="宋体" w:cs="Times New Roman"/>
                <w:color w:val="auto"/>
                <w:kern w:val="2"/>
                <w:sz w:val="24"/>
                <w:szCs w:val="24"/>
                <w:highlight w:val="none"/>
                <w:lang w:val="en-US" w:eastAsia="zh-CN" w:bidi="ar-SA"/>
              </w:rPr>
              <w:t>要分布于我国西南石灰岩岩溶山地区域，行政区域涉及川、黔、滇、渝、桂等省市。生态环境脆弱性表现为：全年降水量大，融水侵蚀严重，而且岩溶山地土层薄，成土过程缓慢，加之过度砍伐山体林木资源，植被覆盖度低，造成严重水土流失，山体滑坡、泥石流灾害频繁发生。重要生态系统类型包括：典型喀斯特岩溶地貌景观生态系统，喀斯特森林生态系统，喀斯特河流、湖泊水体生态系统，喀斯特岩溶山地</w:t>
            </w:r>
            <w:r>
              <w:rPr>
                <w:rFonts w:hint="eastAsia" w:eastAsia="宋体" w:cs="Times New Roman"/>
                <w:b w:val="0"/>
                <w:bCs w:val="0"/>
                <w:color w:val="auto"/>
                <w:kern w:val="0"/>
                <w:sz w:val="24"/>
                <w:szCs w:val="24"/>
                <w:highlight w:val="none"/>
                <w:lang w:val="en-US" w:eastAsia="zh-CN" w:bidi="ar-SA"/>
              </w:rPr>
              <w:t>特有</w:t>
            </w:r>
            <w:r>
              <w:rPr>
                <w:rFonts w:hint="eastAsia" w:ascii="Times New Roman" w:hAnsi="Times New Roman" w:eastAsia="宋体" w:cs="Times New Roman"/>
                <w:color w:val="auto"/>
                <w:kern w:val="2"/>
                <w:sz w:val="24"/>
                <w:szCs w:val="24"/>
                <w:highlight w:val="none"/>
                <w:lang w:val="en-US" w:eastAsia="zh-CN" w:bidi="ar-SA"/>
              </w:rPr>
              <w:t>和濒危动植物栖息地等。具体保护措施：全面改造坡耕地，严格退耕还林、封山育林政策，严禁破坏山体植被，保护天然林资源；开展小流域和山体综合治理，采用补播方式播种优良灌草植物，提高山体林草植被覆盖度，控制水土流失。选择典型地域，建立野外生态监测站，加强区域石漠化生态监测与预警；</w:t>
            </w:r>
            <w:r>
              <w:rPr>
                <w:rFonts w:hint="eastAsia" w:eastAsia="宋体" w:cs="Times New Roman"/>
                <w:b w:val="0"/>
                <w:bCs w:val="0"/>
                <w:color w:val="auto"/>
                <w:kern w:val="0"/>
                <w:sz w:val="24"/>
                <w:szCs w:val="24"/>
                <w:highlight w:val="none"/>
                <w:lang w:val="en-US" w:eastAsia="zh-CN" w:bidi="ar-SA"/>
              </w:rPr>
              <w:t>同时</w:t>
            </w:r>
            <w:r>
              <w:rPr>
                <w:rFonts w:hint="eastAsia" w:ascii="Times New Roman" w:hAnsi="Times New Roman" w:eastAsia="宋体" w:cs="Times New Roman"/>
                <w:color w:val="auto"/>
                <w:kern w:val="2"/>
                <w:sz w:val="24"/>
                <w:szCs w:val="24"/>
                <w:highlight w:val="none"/>
                <w:lang w:val="en-US" w:eastAsia="zh-CN" w:bidi="ar-SA"/>
              </w:rPr>
              <w:t>，合理调整产业结构，发展林果业、营养</w:t>
            </w:r>
            <w:r>
              <w:rPr>
                <w:rFonts w:hint="eastAsia" w:cs="Times New Roman"/>
                <w:color w:val="auto"/>
                <w:kern w:val="2"/>
                <w:sz w:val="24"/>
                <w:szCs w:val="24"/>
                <w:highlight w:val="none"/>
                <w:lang w:val="en-US" w:eastAsia="zh-CN" w:bidi="ar-SA"/>
              </w:rPr>
              <w:t>型</w:t>
            </w:r>
            <w:r>
              <w:rPr>
                <w:rFonts w:hint="eastAsia" w:ascii="Times New Roman" w:hAnsi="Times New Roman" w:eastAsia="宋体" w:cs="Times New Roman"/>
                <w:color w:val="auto"/>
                <w:kern w:val="2"/>
                <w:sz w:val="24"/>
                <w:szCs w:val="24"/>
                <w:highlight w:val="none"/>
                <w:lang w:val="en-US" w:eastAsia="zh-CN" w:bidi="ar-SA"/>
              </w:rPr>
              <w:t>农业和生态旅游业为主的特色产业，促进地区经济发展；强化生态保护监管力度，快速恢复山体植被，逐步实现石漠化区生态系统的良性循环。</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本项目为国家储备林建设项目，项目建设有利于提高山体林草植被覆盖度，控制水土流失，快速恢复山体植被。项目建设</w:t>
            </w:r>
            <w:r>
              <w:rPr>
                <w:rFonts w:hint="default" w:ascii="Times New Roman" w:hAnsi="Times New Roman" w:eastAsia="宋体" w:cs="Times New Roman"/>
                <w:color w:val="auto"/>
                <w:kern w:val="2"/>
                <w:sz w:val="24"/>
                <w:szCs w:val="24"/>
                <w:highlight w:val="none"/>
                <w:lang w:val="en-US" w:eastAsia="zh-CN" w:bidi="ar-SA"/>
              </w:rPr>
              <w:t>符合《全国生态脆弱区保护规划纲要》相关要求。</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8" w:leftChars="20" w:right="48" w:rightChars="20" w:firstLine="482" w:firstLineChars="200"/>
              <w:textAlignment w:val="auto"/>
              <w:rPr>
                <w:rFonts w:hint="default" w:eastAsia="宋体" w:cs="Times New Roman"/>
                <w:b/>
                <w:bCs/>
                <w:color w:val="auto"/>
                <w:kern w:val="0"/>
                <w:sz w:val="24"/>
                <w:szCs w:val="24"/>
                <w:highlight w:val="none"/>
                <w:lang w:val="en-US" w:eastAsia="zh-CN" w:bidi="ar-SA"/>
              </w:rPr>
            </w:pPr>
            <w:r>
              <w:rPr>
                <w:rFonts w:hint="eastAsia" w:cs="Times New Roman"/>
                <w:b/>
                <w:bCs/>
                <w:color w:val="auto"/>
                <w:kern w:val="0"/>
                <w:sz w:val="24"/>
                <w:szCs w:val="24"/>
                <w:highlight w:val="none"/>
                <w:lang w:val="en-US" w:eastAsia="zh-CN" w:bidi="ar-SA"/>
              </w:rPr>
              <w:t>与《蓬溪县国民经济和社会发展第十四个五年规划和二〇三五年远景目标纲要》符合性分析</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《蓬溪县国民经济和社会发展第十四个五年规划和二</w:t>
            </w:r>
            <w:r>
              <w:rPr>
                <w:rFonts w:hint="eastAsia" w:cs="Times New Roman"/>
                <w:color w:val="auto"/>
                <w:kern w:val="2"/>
                <w:sz w:val="24"/>
                <w:szCs w:val="24"/>
                <w:highlight w:val="none"/>
                <w:lang w:val="en-US" w:eastAsia="zh-CN" w:bidi="ar-SA"/>
              </w:rPr>
              <w:t>〇</w:t>
            </w:r>
            <w:r>
              <w:rPr>
                <w:rFonts w:hint="eastAsia" w:ascii="Times New Roman" w:hAnsi="Times New Roman" w:eastAsia="宋体" w:cs="Times New Roman"/>
                <w:color w:val="auto"/>
                <w:kern w:val="2"/>
                <w:sz w:val="24"/>
                <w:szCs w:val="24"/>
                <w:highlight w:val="none"/>
                <w:lang w:val="en-US" w:eastAsia="zh-CN" w:bidi="ar-SA"/>
              </w:rPr>
              <w:t>三五年远景目标纲要》明确了蓬溪县“十四五”时期经济社会发展的指导思想，明确了“追赶跨越、绿色崛起”的新理念，明确了融入双城记、迈进现代化的新阶段，明确了“建设新型工业化产业示范县和乡村振兴示范县，打造川渝毗邻地区城乡融合发展示范区”的新定位，并明确了主攻“一节点、一强县、一空间、一高地”实施路径。其中“一空间”指成渝地区山水田园康养空间。县域充分利用生态本底，强力推进乡村建设行动，勾画</w:t>
            </w:r>
            <w:bookmarkStart w:id="15" w:name="_GoBack"/>
            <w:bookmarkEnd w:id="15"/>
            <w:r>
              <w:rPr>
                <w:rFonts w:hint="eastAsia" w:ascii="Times New Roman" w:hAnsi="Times New Roman" w:eastAsia="宋体" w:cs="Times New Roman"/>
                <w:color w:val="auto"/>
                <w:kern w:val="2"/>
                <w:sz w:val="24"/>
                <w:szCs w:val="24"/>
                <w:highlight w:val="none"/>
                <w:lang w:val="en-US" w:eastAsia="zh-CN" w:bidi="ar-SA"/>
              </w:rPr>
              <w:t>蓬山溪水宜居空间，打造成渝地区周末康养地。县城按照公园城市理念，勾画“一体两翼、一河六园”生态宜居城，实现新城造绿、老城增绿。</w:t>
            </w:r>
          </w:p>
          <w:p>
            <w:pPr>
              <w:keepNext w:val="0"/>
              <w:keepLines w:val="0"/>
              <w:pageBreakBefore w:val="0"/>
              <w:widowControl w:val="0"/>
              <w:kinsoku/>
              <w:wordWrap/>
              <w:overflowPunct/>
              <w:topLinePunct w:val="0"/>
              <w:autoSpaceDE w:val="0"/>
              <w:autoSpaceDN w:val="0"/>
              <w:bidi w:val="0"/>
              <w:adjustRightInd w:val="0"/>
              <w:snapToGrid/>
              <w:spacing w:line="360" w:lineRule="auto"/>
              <w:ind w:left="48" w:leftChars="20" w:right="48" w:rightChars="2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目前，蓬溪县公园数量不足，生态本底营造还具有较大空间。项目建设既能提升蓬溪县的生态本底，又能完善该区域的各项基础设施，满足市民休闲、康养、体育等各项需求。未来，随着生态本底的逐步向好，现代林业、现代都市农业加速发展，逐步带动近郊旅游、森林康养、体育健身等产业，既为市民提供多样的绿色空间，也能带动蓬溪县的经济融合发展、可持续的发展，进而实现蓬溪县国民经济及社会发展目标。</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8" w:leftChars="20" w:right="48" w:rightChars="20" w:firstLine="482" w:firstLineChars="200"/>
              <w:textAlignment w:val="auto"/>
              <w:rPr>
                <w:rFonts w:hint="default" w:eastAsia="宋体" w:cs="Times New Roman"/>
                <w:b/>
                <w:bCs/>
                <w:color w:val="auto"/>
                <w:kern w:val="0"/>
                <w:sz w:val="24"/>
                <w:szCs w:val="24"/>
                <w:highlight w:val="none"/>
                <w:lang w:val="en-US" w:eastAsia="zh-CN" w:bidi="ar-SA"/>
              </w:rPr>
            </w:pPr>
            <w:r>
              <w:rPr>
                <w:rFonts w:hint="default" w:eastAsia="宋体" w:cs="Times New Roman"/>
                <w:b/>
                <w:bCs/>
                <w:color w:val="auto"/>
                <w:kern w:val="0"/>
                <w:sz w:val="24"/>
                <w:szCs w:val="24"/>
                <w:highlight w:val="none"/>
                <w:lang w:val="en-US" w:eastAsia="zh-CN" w:bidi="ar-SA"/>
              </w:rPr>
              <w:t>项目</w:t>
            </w:r>
            <w:r>
              <w:rPr>
                <w:rFonts w:hint="eastAsia" w:eastAsia="宋体" w:cs="Times New Roman"/>
                <w:b/>
                <w:bCs/>
                <w:color w:val="auto"/>
                <w:kern w:val="0"/>
                <w:sz w:val="24"/>
                <w:szCs w:val="24"/>
                <w:highlight w:val="none"/>
                <w:lang w:val="en-US" w:eastAsia="zh-CN" w:bidi="ar-SA"/>
              </w:rPr>
              <w:t>与生态环境分区管控符合性分析</w:t>
            </w:r>
          </w:p>
          <w:p>
            <w:pPr>
              <w:pStyle w:val="64"/>
              <w:widowControl w:val="0"/>
              <w:snapToGrid w:val="0"/>
              <w:spacing w:line="360" w:lineRule="auto"/>
              <w:ind w:firstLine="480"/>
              <w:rPr>
                <w:color w:val="auto"/>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kern w:val="0"/>
                <w:sz w:val="24"/>
              </w:rPr>
              <w:t>项目所在环境管控单元</w:t>
            </w:r>
          </w:p>
          <w:p>
            <w:pPr>
              <w:pStyle w:val="64"/>
              <w:widowControl w:val="0"/>
              <w:snapToGrid w:val="0"/>
              <w:spacing w:line="360" w:lineRule="auto"/>
              <w:ind w:firstLine="480"/>
              <w:rPr>
                <w:color w:val="auto"/>
              </w:rPr>
            </w:pPr>
            <w:r>
              <w:rPr>
                <w:color w:val="auto"/>
              </w:rPr>
              <w:t>根据《</w:t>
            </w:r>
            <w:r>
              <w:rPr>
                <w:rFonts w:hint="eastAsia"/>
                <w:color w:val="auto"/>
              </w:rPr>
              <w:t>遂宁市生态环境保护委员会关于印发遂宁市2023年生态环境分区管控动态更新成果的通知</w:t>
            </w:r>
            <w:r>
              <w:rPr>
                <w:color w:val="auto"/>
              </w:rPr>
              <w:t>》（遂</w:t>
            </w:r>
            <w:r>
              <w:rPr>
                <w:rFonts w:hint="eastAsia"/>
                <w:color w:val="auto"/>
              </w:rPr>
              <w:t>环委</w:t>
            </w:r>
            <w:r>
              <w:rPr>
                <w:color w:val="auto"/>
              </w:rPr>
              <w:t>〔2024〕2号）以及《</w:t>
            </w:r>
            <w:r>
              <w:rPr>
                <w:rFonts w:hint="eastAsia"/>
                <w:color w:val="auto"/>
              </w:rPr>
              <w:t>遂宁市生态环境管控单元分布图</w:t>
            </w:r>
            <w:r>
              <w:rPr>
                <w:color w:val="auto"/>
              </w:rPr>
              <w:t>》，遂宁市</w:t>
            </w:r>
            <w:r>
              <w:rPr>
                <w:rFonts w:hint="eastAsia"/>
                <w:color w:val="auto"/>
              </w:rPr>
              <w:t>全市划分优先保护、重点管控、一般管控三大类共</w:t>
            </w:r>
            <w:r>
              <w:rPr>
                <w:color w:val="auto"/>
              </w:rPr>
              <w:t>47</w:t>
            </w:r>
            <w:r>
              <w:rPr>
                <w:rFonts w:hint="eastAsia"/>
                <w:color w:val="auto"/>
              </w:rPr>
              <w:t>个环境管控单元</w:t>
            </w:r>
            <w:r>
              <w:rPr>
                <w:color w:val="auto"/>
              </w:rPr>
              <w:t>。其中优先保护单元19个，重点管控单元26个，一般管控单元2个。</w:t>
            </w:r>
          </w:p>
          <w:p>
            <w:pPr>
              <w:pStyle w:val="64"/>
              <w:widowControl w:val="0"/>
              <w:snapToGrid w:val="0"/>
              <w:spacing w:line="360" w:lineRule="auto"/>
              <w:ind w:left="0" w:leftChars="0" w:firstLine="0" w:firstLineChars="0"/>
              <w:jc w:val="center"/>
              <w:rPr>
                <w:color w:val="auto"/>
              </w:rPr>
            </w:pPr>
            <w:r>
              <w:rPr>
                <w:color w:val="auto"/>
              </w:rPr>
              <w:drawing>
                <wp:inline distT="0" distB="0" distL="114300" distR="114300">
                  <wp:extent cx="4968875" cy="3528060"/>
                  <wp:effectExtent l="0" t="0" r="3175" b="152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
                          <a:stretch>
                            <a:fillRect/>
                          </a:stretch>
                        </pic:blipFill>
                        <pic:spPr>
                          <a:xfrm>
                            <a:off x="0" y="0"/>
                            <a:ext cx="4968875" cy="35280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图1-</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遂宁市</w:t>
            </w:r>
            <w:r>
              <w:rPr>
                <w:rFonts w:hint="default" w:ascii="Times New Roman" w:hAnsi="Times New Roman" w:eastAsia="宋体" w:cs="Times New Roman"/>
                <w:b/>
                <w:bCs/>
                <w:color w:val="auto"/>
                <w:sz w:val="21"/>
                <w:szCs w:val="21"/>
                <w:lang w:val="en-US" w:eastAsia="zh-CN"/>
              </w:rPr>
              <w:t>环境管控单元分布图</w:t>
            </w:r>
          </w:p>
          <w:p>
            <w:pPr>
              <w:spacing w:line="240" w:lineRule="auto"/>
              <w:ind w:left="0" w:leftChars="0" w:firstLine="0" w:firstLineChars="0"/>
              <w:jc w:val="center"/>
              <w:rPr>
                <w:color w:val="auto"/>
                <w:kern w:val="0"/>
                <w:sz w:val="24"/>
              </w:rPr>
            </w:pPr>
            <w:r>
              <w:rPr>
                <w:rFonts w:eastAsia="黑体"/>
                <w:color w:val="auto"/>
                <w:sz w:val="30"/>
                <w:szCs w:val="30"/>
              </w:rPr>
              <w:drawing>
                <wp:inline distT="0" distB="0" distL="114300" distR="114300">
                  <wp:extent cx="4996815" cy="4015105"/>
                  <wp:effectExtent l="9525" t="9525" r="22860" b="13970"/>
                  <wp:docPr id="12" name="图片 12" descr="蓬溪县生态环境分区管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蓬溪县生态环境分区管控"/>
                          <pic:cNvPicPr>
                            <a:picLocks noChangeAspect="1"/>
                          </pic:cNvPicPr>
                        </pic:nvPicPr>
                        <pic:blipFill>
                          <a:blip r:embed="rId8"/>
                          <a:stretch>
                            <a:fillRect/>
                          </a:stretch>
                        </pic:blipFill>
                        <pic:spPr>
                          <a:xfrm>
                            <a:off x="0" y="0"/>
                            <a:ext cx="4996815" cy="4015105"/>
                          </a:xfrm>
                          <a:prstGeom prst="rect">
                            <a:avLst/>
                          </a:prstGeom>
                          <a:ln w="6350" cmpd="sng">
                            <a:solidFill>
                              <a:schemeClr val="tx1"/>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图1-2  </w:t>
            </w:r>
            <w:r>
              <w:rPr>
                <w:rFonts w:hint="eastAsia" w:ascii="Times New Roman" w:hAnsi="Times New Roman" w:eastAsia="宋体" w:cs="Times New Roman"/>
                <w:b/>
                <w:bCs/>
                <w:color w:val="auto"/>
                <w:sz w:val="21"/>
                <w:szCs w:val="21"/>
                <w:lang w:val="en-US" w:eastAsia="zh-CN"/>
              </w:rPr>
              <w:t>蓬溪县</w:t>
            </w:r>
            <w:r>
              <w:rPr>
                <w:rFonts w:hint="default" w:ascii="Times New Roman" w:hAnsi="Times New Roman" w:eastAsia="宋体" w:cs="Times New Roman"/>
                <w:b/>
                <w:bCs/>
                <w:color w:val="auto"/>
                <w:sz w:val="21"/>
                <w:szCs w:val="21"/>
                <w:lang w:val="en-US" w:eastAsia="zh-CN"/>
              </w:rPr>
              <w:t>环境管控单元分布图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bCs/>
                <w:color w:val="auto"/>
                <w:sz w:val="21"/>
                <w:szCs w:val="21"/>
                <w:lang w:val="en-US" w:eastAsia="zh-CN"/>
              </w:rPr>
            </w:pPr>
            <w:r>
              <w:rPr>
                <w:rFonts w:hint="eastAsia"/>
                <w:color w:val="auto"/>
                <w:lang w:val="en-US" w:eastAsia="zh-CN"/>
              </w:rPr>
              <w:t>根据遂宁市生态保护红线分布情况，本项目不在生态保护红线范围内。根据</w:t>
            </w:r>
            <w:r>
              <w:rPr>
                <w:rFonts w:hint="eastAsia"/>
                <w:color w:val="auto"/>
              </w:rPr>
              <w:t>遂宁市</w:t>
            </w:r>
            <w:r>
              <w:rPr>
                <w:rFonts w:hint="eastAsia"/>
                <w:color w:val="auto"/>
                <w:lang w:eastAsia="zh-CN"/>
              </w:rPr>
              <w:t>、</w:t>
            </w:r>
            <w:r>
              <w:rPr>
                <w:rFonts w:hint="eastAsia"/>
                <w:color w:val="auto"/>
                <w:lang w:val="en-US" w:eastAsia="zh-CN"/>
              </w:rPr>
              <w:t>蓬溪县</w:t>
            </w:r>
            <w:r>
              <w:rPr>
                <w:rFonts w:hint="eastAsia"/>
                <w:color w:val="auto"/>
              </w:rPr>
              <w:t>生态环境管控单元分布图</w:t>
            </w:r>
            <w:r>
              <w:rPr>
                <w:rFonts w:hint="eastAsia"/>
                <w:color w:val="auto"/>
                <w:lang w:eastAsia="zh-CN"/>
              </w:rPr>
              <w:t>（</w:t>
            </w:r>
            <w:r>
              <w:rPr>
                <w:color w:val="auto"/>
              </w:rPr>
              <w:t>见</w:t>
            </w:r>
            <w:r>
              <w:rPr>
                <w:rFonts w:hint="eastAsia"/>
                <w:color w:val="auto"/>
                <w:lang w:val="en-US" w:eastAsia="zh-CN"/>
              </w:rPr>
              <w:t>上</w:t>
            </w:r>
            <w:r>
              <w:rPr>
                <w:color w:val="auto"/>
              </w:rPr>
              <w:t>图所示</w:t>
            </w:r>
            <w:r>
              <w:rPr>
                <w:rFonts w:hint="eastAsia"/>
                <w:color w:val="auto"/>
                <w:lang w:eastAsia="zh-CN"/>
              </w:rPr>
              <w:t>），</w:t>
            </w:r>
            <w:r>
              <w:rPr>
                <w:rFonts w:hint="eastAsia"/>
                <w:color w:val="auto"/>
                <w:lang w:val="en-US" w:eastAsia="zh-CN"/>
              </w:rPr>
              <w:t>本项目分布范围较大，涉及管控单元较多，主要为一般管控单元，项目与总体管控要求符合性如下</w:t>
            </w:r>
            <w:r>
              <w:rPr>
                <w:color w:val="auto"/>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　本项目与总体管控要求符合性分析一览表</w:t>
            </w:r>
          </w:p>
          <w:tbl>
            <w:tblPr>
              <w:tblStyle w:val="23"/>
              <w:tblpPr w:leftFromText="180" w:rightFromText="180" w:vertAnchor="text" w:horzAnchor="page" w:tblpXSpec="center" w:tblpY="408"/>
              <w:tblOverlap w:val="never"/>
              <w:tblW w:w="74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653"/>
              <w:gridCol w:w="1295"/>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vertAlign w:val="baseline"/>
                    </w:rPr>
                  </w:pPr>
                  <w:r>
                    <w:rPr>
                      <w:rFonts w:hint="eastAsia" w:ascii="Times New Roman" w:hAnsi="Times New Roman" w:eastAsia="宋体" w:cs="Times New Roman"/>
                      <w:bCs/>
                      <w:color w:val="auto"/>
                      <w:kern w:val="0"/>
                      <w:sz w:val="21"/>
                      <w:szCs w:val="21"/>
                    </w:rPr>
                    <w:t>行政区划</w:t>
                  </w:r>
                </w:p>
              </w:tc>
              <w:tc>
                <w:tcPr>
                  <w:tcW w:w="46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vertAlign w:val="baseline"/>
                    </w:rPr>
                  </w:pPr>
                  <w:r>
                    <w:rPr>
                      <w:rFonts w:hint="eastAsia" w:ascii="Times New Roman" w:hAnsi="Times New Roman" w:eastAsia="宋体" w:cs="Times New Roman"/>
                      <w:bCs/>
                      <w:color w:val="auto"/>
                      <w:kern w:val="0"/>
                      <w:sz w:val="21"/>
                      <w:szCs w:val="21"/>
                    </w:rPr>
                    <w:t>生态环境管控要求</w:t>
                  </w:r>
                </w:p>
              </w:tc>
              <w:tc>
                <w:tcPr>
                  <w:tcW w:w="12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vertAlign w:val="baseline"/>
                    </w:rPr>
                  </w:pPr>
                  <w:r>
                    <w:rPr>
                      <w:rFonts w:hint="eastAsia" w:ascii="Times New Roman" w:hAnsi="Times New Roman" w:eastAsia="宋体" w:cs="Times New Roman"/>
                      <w:bCs/>
                      <w:color w:val="auto"/>
                      <w:kern w:val="0"/>
                      <w:sz w:val="21"/>
                      <w:szCs w:val="21"/>
                    </w:rPr>
                    <w:t>本项目情况</w:t>
                  </w:r>
                </w:p>
              </w:tc>
              <w:tc>
                <w:tcPr>
                  <w:tcW w:w="7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vertAlign w:val="baseline"/>
                    </w:rPr>
                  </w:pPr>
                  <w:r>
                    <w:rPr>
                      <w:rFonts w:hint="eastAsia" w:ascii="Times New Roman" w:hAnsi="Times New Roman" w:eastAsia="宋体" w:cs="Times New Roman"/>
                      <w:bCs/>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遂宁市</w:t>
                  </w:r>
                </w:p>
              </w:tc>
              <w:tc>
                <w:tcPr>
                  <w:tcW w:w="46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（2）锂电产业中锂离子电池行业引入，参考执行其行业资源环境绩效指标准入要求；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（3）全市大气污染物排放执行《四川省生态环境厅关于执行大气污染物特别排放限值的公告》相关要求；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（4）强化沿江化工企业与园区的污染治理与风险管控，细化突发环境事件风险管控措施，严控流域</w:t>
                  </w:r>
                  <w:r>
                    <w:rPr>
                      <w:rFonts w:hint="eastAsia" w:cs="Times New Roman"/>
                      <w:color w:val="auto"/>
                      <w:kern w:val="2"/>
                      <w:sz w:val="21"/>
                      <w:szCs w:val="21"/>
                      <w:lang w:val="en-US" w:eastAsia="zh-CN" w:bidi="ar-SA"/>
                    </w:rPr>
                    <w:t>性</w:t>
                  </w:r>
                  <w:r>
                    <w:rPr>
                      <w:rFonts w:hint="eastAsia" w:ascii="Times New Roman" w:hAnsi="Times New Roman" w:eastAsia="宋体" w:cs="Times New Roman"/>
                      <w:color w:val="auto"/>
                      <w:kern w:val="2"/>
                      <w:sz w:val="21"/>
                      <w:szCs w:val="21"/>
                      <w:lang w:val="en-US" w:eastAsia="zh-CN" w:bidi="ar-SA"/>
                    </w:rPr>
                    <w:t>环境风险</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严格落实《生态环境部水利部关于建立跨省流域上下游突发水污染事件联防联控机制的指导意见》；</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（5）优化中心城区园区布局；</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（6）深化成都平原、川东北地区大气污染联防联控工作机制，加强川渝地区联防联控。强化重污染天气区域应急联动机制，深化区域重污染天气联合应对。</w:t>
                  </w:r>
                </w:p>
              </w:tc>
              <w:tc>
                <w:tcPr>
                  <w:tcW w:w="12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w:t>
                  </w:r>
                  <w:r>
                    <w:rPr>
                      <w:rFonts w:hint="eastAsia" w:cs="Times New Roman"/>
                      <w:color w:val="auto"/>
                      <w:kern w:val="2"/>
                      <w:sz w:val="21"/>
                      <w:szCs w:val="21"/>
                      <w:lang w:val="en-US" w:eastAsia="zh-CN" w:bidi="ar-SA"/>
                    </w:rPr>
                    <w:t>为国家储备林建设及林下药材、菌类种植，不属于污染影响类项目，</w:t>
                  </w:r>
                  <w:r>
                    <w:rPr>
                      <w:rFonts w:hint="eastAsia" w:ascii="Times New Roman" w:hAnsi="Times New Roman" w:eastAsia="宋体" w:cs="Times New Roman"/>
                      <w:color w:val="auto"/>
                      <w:kern w:val="2"/>
                      <w:sz w:val="21"/>
                      <w:szCs w:val="21"/>
                      <w:lang w:val="en-US" w:eastAsia="zh-CN" w:bidi="ar-SA"/>
                    </w:rPr>
                    <w:t>不涉及重点重金属排放，不属于电池行业</w:t>
                  </w:r>
                  <w:r>
                    <w:rPr>
                      <w:rFonts w:hint="eastAsia" w:cs="Times New Roman"/>
                      <w:color w:val="auto"/>
                      <w:kern w:val="2"/>
                      <w:sz w:val="21"/>
                      <w:szCs w:val="21"/>
                      <w:lang w:val="en-US" w:eastAsia="zh-CN" w:bidi="ar-SA"/>
                    </w:rPr>
                    <w:t>。</w:t>
                  </w:r>
                </w:p>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7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蓬溪县</w:t>
                  </w:r>
                </w:p>
              </w:tc>
              <w:tc>
                <w:tcPr>
                  <w:tcW w:w="46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（1）实施化肥、农药使用“零增长”行动。加大农作物秸秆禁烧及综合利用力度；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（2）加快完善城乡生态环境保护设施建设；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（3）保障下游河流的生态用水需求，有效推动河流水质持续改善。</w:t>
                  </w:r>
                </w:p>
              </w:tc>
              <w:tc>
                <w:tcPr>
                  <w:tcW w:w="12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本项目</w:t>
                  </w:r>
                  <w:r>
                    <w:rPr>
                      <w:rFonts w:hint="eastAsia" w:cs="Times New Roman"/>
                      <w:b w:val="0"/>
                      <w:bCs w:val="0"/>
                      <w:color w:val="auto"/>
                      <w:kern w:val="0"/>
                      <w:sz w:val="21"/>
                      <w:szCs w:val="21"/>
                      <w:vertAlign w:val="baseline"/>
                      <w:lang w:val="en-US" w:eastAsia="zh-CN" w:bidi="ar-SA"/>
                    </w:rPr>
                    <w:t>将</w:t>
                  </w:r>
                  <w:r>
                    <w:rPr>
                      <w:rFonts w:hint="eastAsia" w:ascii="Times New Roman" w:hAnsi="Times New Roman" w:eastAsia="宋体" w:cs="Times New Roman"/>
                      <w:b w:val="0"/>
                      <w:bCs w:val="0"/>
                      <w:color w:val="auto"/>
                      <w:kern w:val="0"/>
                      <w:sz w:val="21"/>
                      <w:szCs w:val="21"/>
                      <w:vertAlign w:val="baseline"/>
                      <w:lang w:val="en-US" w:eastAsia="zh-CN" w:bidi="ar-SA"/>
                    </w:rPr>
                    <w:t>严格控制化肥、农药使用量</w:t>
                  </w:r>
                </w:p>
              </w:tc>
              <w:tc>
                <w:tcPr>
                  <w:tcW w:w="7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b/>
                      <w:bCs/>
                      <w:color w:val="auto"/>
                      <w:kern w:val="0"/>
                      <w:sz w:val="21"/>
                      <w:szCs w:val="21"/>
                      <w:vertAlign w:val="baseline"/>
                      <w:lang w:val="en-US" w:eastAsia="zh-CN" w:bidi="ar-SA"/>
                    </w:rPr>
                    <w:t>/</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由上可知，项目符合遂宁市及蓬溪县生态环境分区管控要求。</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48" w:leftChars="20" w:right="48" w:rightChars="20" w:firstLine="482" w:firstLineChars="200"/>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项目</w:t>
            </w:r>
            <w:r>
              <w:rPr>
                <w:rFonts w:hint="eastAsia" w:ascii="Times New Roman" w:hAnsi="Times New Roman" w:eastAsia="宋体" w:cs="Times New Roman"/>
                <w:b/>
                <w:bCs/>
                <w:color w:val="auto"/>
                <w:kern w:val="0"/>
                <w:sz w:val="24"/>
                <w:szCs w:val="24"/>
                <w:highlight w:val="none"/>
                <w:lang w:val="en-US" w:eastAsia="zh-CN" w:bidi="ar-SA"/>
              </w:rPr>
              <w:t>与饮用水源保护区相关要求符合性分析</w:t>
            </w:r>
          </w:p>
          <w:p>
            <w:pPr>
              <w:widowControl w:val="0"/>
              <w:adjustRightInd w:val="0"/>
              <w:spacing w:line="360" w:lineRule="auto"/>
              <w:ind w:firstLine="472" w:firstLineChars="0"/>
              <w:jc w:val="both"/>
              <w:textAlignment w:val="baseline"/>
              <w:rPr>
                <w:rFonts w:hint="default" w:ascii="宋体" w:hAnsi="宋体" w:eastAsia="宋体" w:cs="宋体"/>
                <w:color w:val="auto"/>
                <w:spacing w:val="-2"/>
                <w:kern w:val="0"/>
                <w:sz w:val="24"/>
                <w:szCs w:val="24"/>
                <w:lang w:val="en-US" w:eastAsia="zh-CN" w:bidi="ar"/>
              </w:rPr>
            </w:pPr>
            <w:r>
              <w:rPr>
                <w:rFonts w:hint="default" w:ascii="Times New Roman" w:hAnsi="Times New Roman" w:eastAsia="宋体" w:cs="Times New Roman"/>
                <w:color w:val="auto"/>
                <w:spacing w:val="-2"/>
                <w:kern w:val="0"/>
                <w:sz w:val="24"/>
                <w:szCs w:val="24"/>
                <w:lang w:val="en-US" w:eastAsia="zh-CN" w:bidi="ar"/>
              </w:rPr>
              <w:t>（1）</w:t>
            </w:r>
            <w:r>
              <w:rPr>
                <w:rFonts w:hint="eastAsia" w:ascii="宋体" w:hAnsi="宋体" w:eastAsia="宋体" w:cs="宋体"/>
                <w:color w:val="auto"/>
                <w:spacing w:val="-2"/>
                <w:kern w:val="0"/>
                <w:sz w:val="24"/>
                <w:szCs w:val="24"/>
                <w:lang w:val="en-US" w:eastAsia="zh-CN" w:bidi="ar"/>
              </w:rPr>
              <w:t>饮用水源保护区范围</w:t>
            </w:r>
          </w:p>
          <w:p>
            <w:pPr>
              <w:widowControl w:val="0"/>
              <w:adjustRightInd w:val="0"/>
              <w:spacing w:line="360" w:lineRule="auto"/>
              <w:ind w:firstLine="472" w:firstLineChars="0"/>
              <w:jc w:val="both"/>
              <w:textAlignment w:val="baseline"/>
              <w:rPr>
                <w:rFonts w:hint="default" w:ascii="Times New Roman" w:hAnsi="Times New Roman" w:eastAsia="宋体" w:cs="Times New Roman"/>
                <w:color w:val="auto"/>
                <w:spacing w:val="-2"/>
                <w:kern w:val="0"/>
                <w:sz w:val="24"/>
                <w:szCs w:val="24"/>
                <w:lang w:val="en-US" w:eastAsia="zh-CN" w:bidi="ar"/>
              </w:rPr>
            </w:pPr>
            <w:r>
              <w:rPr>
                <w:rFonts w:hint="default" w:ascii="Times New Roman" w:hAnsi="Times New Roman" w:eastAsia="宋体" w:cs="Times New Roman"/>
                <w:color w:val="auto"/>
                <w:spacing w:val="-2"/>
                <w:kern w:val="0"/>
                <w:sz w:val="24"/>
                <w:szCs w:val="24"/>
                <w:lang w:val="en-US" w:eastAsia="zh-CN" w:bidi="ar"/>
              </w:rPr>
              <w:t>根据《四川省人民政府关于同意划定、调整、撤销泸州等九市（州）部分饮用水水源保护区的批复》（川府函〔2018〕29号），赤城湖水库为蓬溪县集中式饮用水水源保护区。根据《四川省人民政府关于同意遂宁市城区等集中式饮用水水源保护区划定、调整和撤销的批复》（川府函〔2016〕14号），遂宁市黑龙凼水库为遂宁市应急备用饮用水水源保护区。项目涉及饮用水水源地划分情况如下。</w:t>
            </w:r>
          </w:p>
          <w:p>
            <w:pPr>
              <w:widowControl w:val="0"/>
              <w:adjustRightInd w:val="0"/>
              <w:spacing w:line="240" w:lineRule="auto"/>
              <w:ind w:firstLine="472" w:firstLineChars="0"/>
              <w:jc w:val="both"/>
              <w:textAlignment w:val="baseline"/>
              <w:rPr>
                <w:rFonts w:hint="default" w:ascii="Times New Roman" w:hAnsi="Times New Roman" w:eastAsia="宋体" w:cs="Times New Roman"/>
                <w:color w:val="auto"/>
                <w:spacing w:val="-2"/>
                <w:kern w:val="0"/>
                <w:sz w:val="18"/>
                <w:szCs w:val="18"/>
                <w:lang w:val="en-US" w:eastAsia="zh-CN" w:bidi="ar"/>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饮用水水源地划分情况一览表</w:t>
            </w:r>
          </w:p>
          <w:tbl>
            <w:tblPr>
              <w:tblStyle w:val="23"/>
              <w:tblW w:w="7859"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41"/>
              <w:gridCol w:w="619"/>
              <w:gridCol w:w="757"/>
              <w:gridCol w:w="1790"/>
              <w:gridCol w:w="2782"/>
              <w:gridCol w:w="107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1"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bCs/>
                      <w:color w:val="auto"/>
                      <w:spacing w:val="0"/>
                      <w:kern w:val="2"/>
                      <w:sz w:val="21"/>
                      <w:szCs w:val="21"/>
                      <w:shd w:val="clear" w:color="auto" w:fill="FFFFFF"/>
                      <w:lang w:val="en-US" w:eastAsia="zh-CN" w:bidi="ar-SA"/>
                    </w:rPr>
                  </w:pPr>
                  <w:r>
                    <w:rPr>
                      <w:rFonts w:hint="eastAsia" w:ascii="Times New Roman" w:hAnsi="Times New Roman" w:eastAsia="宋体" w:cs="Times New Roman"/>
                      <w:b/>
                      <w:bCs/>
                      <w:color w:val="auto"/>
                      <w:spacing w:val="0"/>
                      <w:kern w:val="2"/>
                      <w:sz w:val="21"/>
                      <w:szCs w:val="21"/>
                      <w:shd w:val="clear" w:color="auto" w:fill="FFFFFF"/>
                      <w:lang w:val="en-US" w:eastAsia="zh-CN" w:bidi="ar-SA"/>
                    </w:rPr>
                    <w:t>水源地名称</w:t>
                  </w:r>
                </w:p>
              </w:tc>
              <w:tc>
                <w:tcPr>
                  <w:tcW w:w="619"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bCs/>
                      <w:color w:val="auto"/>
                      <w:spacing w:val="0"/>
                      <w:kern w:val="2"/>
                      <w:sz w:val="21"/>
                      <w:szCs w:val="21"/>
                      <w:shd w:val="clear" w:color="auto" w:fill="FFFFFF"/>
                      <w:lang w:val="en-US" w:eastAsia="zh-CN" w:bidi="ar-SA"/>
                    </w:rPr>
                  </w:pPr>
                  <w:r>
                    <w:rPr>
                      <w:rFonts w:hint="eastAsia" w:ascii="Times New Roman" w:hAnsi="Times New Roman" w:eastAsia="宋体" w:cs="Times New Roman"/>
                      <w:b/>
                      <w:bCs/>
                      <w:color w:val="auto"/>
                      <w:spacing w:val="0"/>
                      <w:kern w:val="2"/>
                      <w:sz w:val="21"/>
                      <w:szCs w:val="21"/>
                      <w:shd w:val="clear" w:color="auto" w:fill="FFFFFF"/>
                      <w:lang w:val="en-US" w:eastAsia="zh-CN" w:bidi="ar-SA"/>
                    </w:rPr>
                    <w:t>所在乡镇</w:t>
                  </w:r>
                </w:p>
              </w:tc>
              <w:tc>
                <w:tcPr>
                  <w:tcW w:w="757"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bCs/>
                      <w:color w:val="auto"/>
                      <w:spacing w:val="0"/>
                      <w:kern w:val="2"/>
                      <w:sz w:val="21"/>
                      <w:szCs w:val="21"/>
                      <w:shd w:val="clear" w:color="auto" w:fill="FFFFFF"/>
                      <w:lang w:val="en-US" w:eastAsia="zh-CN" w:bidi="ar-SA"/>
                    </w:rPr>
                  </w:pPr>
                  <w:r>
                    <w:rPr>
                      <w:rFonts w:hint="eastAsia" w:ascii="Times New Roman" w:hAnsi="Times New Roman" w:eastAsia="宋体" w:cs="Times New Roman"/>
                      <w:b/>
                      <w:bCs/>
                      <w:color w:val="auto"/>
                      <w:spacing w:val="0"/>
                      <w:kern w:val="2"/>
                      <w:sz w:val="21"/>
                      <w:szCs w:val="21"/>
                      <w:shd w:val="clear" w:color="auto" w:fill="FFFFFF"/>
                      <w:lang w:val="en-US" w:eastAsia="zh-CN" w:bidi="ar-SA"/>
                    </w:rPr>
                    <w:t>取水口位置</w:t>
                  </w:r>
                </w:p>
              </w:tc>
              <w:tc>
                <w:tcPr>
                  <w:tcW w:w="1790"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bCs/>
                      <w:color w:val="auto"/>
                      <w:spacing w:val="0"/>
                      <w:kern w:val="2"/>
                      <w:sz w:val="21"/>
                      <w:szCs w:val="21"/>
                      <w:shd w:val="clear" w:color="auto" w:fill="FFFFFF"/>
                      <w:lang w:val="en-US" w:eastAsia="zh-CN" w:bidi="ar-SA"/>
                    </w:rPr>
                  </w:pPr>
                  <w:r>
                    <w:rPr>
                      <w:rFonts w:hint="eastAsia" w:ascii="Times New Roman" w:hAnsi="Times New Roman" w:eastAsia="宋体" w:cs="Times New Roman"/>
                      <w:b/>
                      <w:bCs/>
                      <w:color w:val="auto"/>
                      <w:spacing w:val="0"/>
                      <w:kern w:val="2"/>
                      <w:sz w:val="21"/>
                      <w:szCs w:val="21"/>
                      <w:shd w:val="clear" w:color="auto" w:fill="FFFFFF"/>
                      <w:lang w:val="en-US" w:eastAsia="zh-CN" w:bidi="ar-SA"/>
                    </w:rPr>
                    <w:t>一级保护区</w:t>
                  </w:r>
                </w:p>
              </w:tc>
              <w:tc>
                <w:tcPr>
                  <w:tcW w:w="2782"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bCs/>
                      <w:color w:val="auto"/>
                      <w:spacing w:val="0"/>
                      <w:kern w:val="2"/>
                      <w:sz w:val="21"/>
                      <w:szCs w:val="21"/>
                      <w:shd w:val="clear" w:color="auto" w:fill="FFFFFF"/>
                      <w:lang w:val="en-US" w:eastAsia="zh-CN" w:bidi="ar-SA"/>
                    </w:rPr>
                  </w:pPr>
                  <w:r>
                    <w:rPr>
                      <w:rFonts w:hint="eastAsia" w:ascii="Times New Roman" w:hAnsi="Times New Roman" w:eastAsia="宋体" w:cs="Times New Roman"/>
                      <w:b/>
                      <w:bCs/>
                      <w:color w:val="auto"/>
                      <w:spacing w:val="0"/>
                      <w:kern w:val="2"/>
                      <w:sz w:val="21"/>
                      <w:szCs w:val="21"/>
                      <w:shd w:val="clear" w:color="auto" w:fill="FFFFFF"/>
                      <w:lang w:val="en-US" w:eastAsia="zh-CN" w:bidi="ar-SA"/>
                    </w:rPr>
                    <w:t>二级保护区</w:t>
                  </w:r>
                </w:p>
              </w:tc>
              <w:tc>
                <w:tcPr>
                  <w:tcW w:w="1070"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bCs/>
                      <w:color w:val="auto"/>
                      <w:spacing w:val="0"/>
                      <w:kern w:val="2"/>
                      <w:sz w:val="21"/>
                      <w:szCs w:val="21"/>
                      <w:shd w:val="clear" w:color="auto" w:fill="FFFFFF"/>
                      <w:lang w:val="en-US" w:eastAsia="zh-CN" w:bidi="ar-SA"/>
                    </w:rPr>
                  </w:pPr>
                  <w:r>
                    <w:rPr>
                      <w:rFonts w:hint="eastAsia" w:ascii="Times New Roman" w:hAnsi="Times New Roman" w:eastAsia="宋体" w:cs="Times New Roman"/>
                      <w:b/>
                      <w:bCs/>
                      <w:color w:val="auto"/>
                      <w:spacing w:val="0"/>
                      <w:kern w:val="2"/>
                      <w:sz w:val="21"/>
                      <w:szCs w:val="21"/>
                      <w:shd w:val="clear" w:color="auto" w:fill="FFFFFF"/>
                      <w:lang w:val="en-US" w:eastAsia="zh-CN" w:bidi="ar-SA"/>
                    </w:rPr>
                    <w:t>准保护区</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1"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赤城湖水库水源地</w:t>
                  </w:r>
                </w:p>
              </w:tc>
              <w:tc>
                <w:tcPr>
                  <w:tcW w:w="619"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赤城镇</w:t>
                  </w:r>
                </w:p>
              </w:tc>
              <w:tc>
                <w:tcPr>
                  <w:tcW w:w="757" w:type="dxa"/>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赤城湖水库川祖庙泵房</w:t>
                  </w:r>
                </w:p>
              </w:tc>
              <w:tc>
                <w:tcPr>
                  <w:tcW w:w="1790" w:type="dxa"/>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取水口正常水位线（361米）半径300米范围内的全部水域。取水口正常水位线（361米）以上沿陆域纵深200米不超过第一重山脊线的全部陆域范围</w:t>
                  </w:r>
                </w:p>
              </w:tc>
              <w:tc>
                <w:tcPr>
                  <w:tcW w:w="2782" w:type="dxa"/>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取水口正常水位线（361米）以下除一级保护区外的全部水域，以及各支流河流上溯3000米水域（马桑溪河流游家坝至印盒山3000米水域、玉清庵河流即附北河左支流青家湾至王家沟3000米水域、附北河右支流青家湾至朱家咀3000米水域）。赤城湖水库周边第一重山脊线以内除一级保护区外的所有汇水区域，以及马桑河和附北河从入库处上溯3000米的汇水区域</w:t>
                  </w:r>
                </w:p>
              </w:tc>
              <w:tc>
                <w:tcPr>
                  <w:tcW w:w="1070" w:type="dxa"/>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宋体" w:cs="Times New Roman"/>
                      <w:color w:val="auto"/>
                      <w:spacing w:val="-2"/>
                      <w:kern w:val="0"/>
                      <w:sz w:val="21"/>
                      <w:szCs w:val="21"/>
                      <w:lang w:val="en-US" w:eastAsia="zh-CN" w:bidi="ar"/>
                    </w:rPr>
                  </w:pPr>
                  <w:r>
                    <w:rPr>
                      <w:rFonts w:hint="eastAsia" w:ascii="宋体" w:hAnsi="宋体" w:eastAsia="宋体" w:cs="宋体"/>
                      <w:color w:val="auto"/>
                      <w:spacing w:val="-2"/>
                      <w:kern w:val="0"/>
                      <w:sz w:val="21"/>
                      <w:szCs w:val="21"/>
                      <w:lang w:val="en-US" w:eastAsia="zh-CN" w:bidi="ar-SA"/>
                    </w:rPr>
                    <w:t>赤城湖水库坝址以上蓬溪县行政区内除一、二级保护区外的全部汇水区域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1"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遂宁市黑龙凼水库水源地</w:t>
                  </w:r>
                </w:p>
              </w:tc>
              <w:tc>
                <w:tcPr>
                  <w:tcW w:w="619"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天福镇</w:t>
                  </w:r>
                  <w:r>
                    <w:rPr>
                      <w:rFonts w:hint="eastAsia" w:ascii="Times New Roman" w:hAnsi="Times New Roman" w:eastAsia="宋体" w:cs="Times New Roman"/>
                      <w:color w:val="auto"/>
                      <w:spacing w:val="-2"/>
                      <w:kern w:val="0"/>
                      <w:sz w:val="21"/>
                      <w:szCs w:val="21"/>
                      <w:lang w:val="en-US" w:eastAsia="zh-CN" w:bidi="ar"/>
                    </w:rPr>
                    <w:t>、常乐镇、回水乡</w:t>
                  </w:r>
                </w:p>
              </w:tc>
              <w:tc>
                <w:tcPr>
                  <w:tcW w:w="757"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遂宁市黑龙凼水库左放水洞进水口</w:t>
                  </w:r>
                </w:p>
              </w:tc>
              <w:tc>
                <w:tcPr>
                  <w:tcW w:w="1790"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取水口半径300米范围内的全部水域（西至黑龙凼水库坝址处，南至南面正常蓄水位线，东至东面正常蓄水位线，北至取水口上游300米水库断面）；一级保护区水域正常蓄水位线（352米）以上200米范围内的全部陆域（西至黑龙凼水库大坝及坝顶以西200米处，南至南面正常蓄水位线以南200米处，东至东面正常蓄水位线以东200米处，北侧无陆域一级保护区）</w:t>
                  </w:r>
                </w:p>
              </w:tc>
              <w:tc>
                <w:tcPr>
                  <w:tcW w:w="2782"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水库汇水区域内除一级保护区外的全部水域；水库汇水区域内，除一级保护区陆域和由水源防护堤隔离出的常乐镇区域外的全部陆域（西至甘草坪以东分水线，南至一级保护区陆域边界，东至韩婆岭以西分水线，北至白鹤林以南分水线）</w:t>
                  </w:r>
                </w:p>
              </w:tc>
              <w:tc>
                <w:tcPr>
                  <w:tcW w:w="1070"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宋体" w:hAnsi="宋体" w:eastAsia="宋体" w:cs="宋体"/>
                      <w:color w:val="auto"/>
                      <w:spacing w:val="-2"/>
                      <w:kern w:val="0"/>
                      <w:sz w:val="21"/>
                      <w:szCs w:val="21"/>
                      <w:lang w:val="en-US" w:eastAsia="zh-CN" w:bidi="ar-SA"/>
                    </w:rPr>
                  </w:pPr>
                  <w:r>
                    <w:rPr>
                      <w:rFonts w:hint="eastAsia" w:ascii="宋体" w:hAnsi="宋体" w:eastAsia="宋体" w:cs="宋体"/>
                      <w:color w:val="auto"/>
                      <w:spacing w:val="-2"/>
                      <w:kern w:val="0"/>
                      <w:sz w:val="21"/>
                      <w:szCs w:val="21"/>
                      <w:lang w:val="en-US" w:eastAsia="zh-CN" w:bidi="ar-SA"/>
                    </w:rPr>
                    <w:t>/</w:t>
                  </w:r>
                </w:p>
              </w:tc>
            </w:tr>
          </w:tbl>
          <w:p>
            <w:pPr>
              <w:widowControl w:val="0"/>
              <w:adjustRightInd w:val="0"/>
              <w:spacing w:line="360" w:lineRule="auto"/>
              <w:ind w:firstLine="472" w:firstLineChars="0"/>
              <w:jc w:val="both"/>
              <w:textAlignment w:val="baseline"/>
              <w:rPr>
                <w:rFonts w:hint="default" w:ascii="宋体" w:hAnsi="宋体" w:eastAsia="宋体" w:cs="宋体"/>
                <w:color w:val="auto"/>
                <w:spacing w:val="-2"/>
                <w:kern w:val="0"/>
                <w:sz w:val="24"/>
                <w:szCs w:val="24"/>
                <w:lang w:val="en-US" w:eastAsia="zh-CN" w:bidi="ar"/>
              </w:rPr>
            </w:pPr>
            <w:r>
              <w:rPr>
                <w:rFonts w:hint="eastAsia" w:ascii="宋体" w:hAnsi="宋体" w:eastAsia="宋体" w:cs="宋体"/>
                <w:color w:val="auto"/>
                <w:spacing w:val="-2"/>
                <w:kern w:val="0"/>
                <w:sz w:val="24"/>
                <w:szCs w:val="24"/>
                <w:lang w:val="en-US" w:eastAsia="zh-CN" w:bidi="ar"/>
              </w:rPr>
              <w:t>项目线路与饮用水源地保护区关系如图所示：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1"/>
                <w:highlight w:val="none"/>
                <w:lang w:val="en-US" w:eastAsia="zh-CN" w:bidi="ar-SA"/>
              </w:rPr>
            </w:pPr>
            <w:r>
              <w:rPr>
                <w:color w:val="auto"/>
              </w:rPr>
              <w:drawing>
                <wp:anchor distT="0" distB="0" distL="114300" distR="114300" simplePos="0" relativeHeight="251662336" behindDoc="0" locked="0" layoutInCell="1" allowOverlap="1">
                  <wp:simplePos x="0" y="0"/>
                  <wp:positionH relativeFrom="column">
                    <wp:posOffset>316865</wp:posOffset>
                  </wp:positionH>
                  <wp:positionV relativeFrom="paragraph">
                    <wp:posOffset>2360295</wp:posOffset>
                  </wp:positionV>
                  <wp:extent cx="1296035" cy="1373505"/>
                  <wp:effectExtent l="0" t="0" r="18415" b="1714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1296035" cy="1373505"/>
                          </a:xfrm>
                          <a:prstGeom prst="rect">
                            <a:avLst/>
                          </a:prstGeom>
                          <a:noFill/>
                          <a:ln>
                            <a:noFill/>
                          </a:ln>
                        </pic:spPr>
                      </pic:pic>
                    </a:graphicData>
                  </a:graphic>
                </wp:anchor>
              </w:drawing>
            </w:r>
            <w:r>
              <w:rPr>
                <w:color w:val="auto"/>
              </w:rPr>
              <w:drawing>
                <wp:inline distT="0" distB="0" distL="114300" distR="114300">
                  <wp:extent cx="4467225" cy="3733165"/>
                  <wp:effectExtent l="9525" t="9525" r="19050" b="1016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4467225" cy="3733165"/>
                          </a:xfrm>
                          <a:prstGeom prst="rect">
                            <a:avLst/>
                          </a:prstGeom>
                          <a:noFill/>
                          <a:ln w="6350">
                            <a:solidFill>
                              <a:schemeClr val="tx1"/>
                            </a:solidFill>
                          </a:ln>
                        </pic:spPr>
                      </pic:pic>
                    </a:graphicData>
                  </a:graphic>
                </wp:inline>
              </w:drawing>
            </w:r>
          </w:p>
          <w:p>
            <w:pPr>
              <w:pStyle w:val="28"/>
              <w:keepNext w:val="0"/>
              <w:keepLines w:val="0"/>
              <w:pageBreakBefore w:val="0"/>
              <w:widowControl w:val="0"/>
              <w:numPr>
                <w:ilvl w:val="0"/>
                <w:numId w:val="0"/>
              </w:numPr>
              <w:tabs>
                <w:tab w:val="left" w:pos="756"/>
              </w:tabs>
              <w:kinsoku/>
              <w:wordWrap/>
              <w:overflowPunct/>
              <w:topLinePunct w:val="0"/>
              <w:autoSpaceDE w:val="0"/>
              <w:autoSpaceDN w:val="0"/>
              <w:bidi w:val="0"/>
              <w:adjustRightInd/>
              <w:snapToGrid/>
              <w:spacing w:beforeLines="0" w:afterLines="0" w:line="360" w:lineRule="auto"/>
              <w:ind w:leftChars="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本项目</w:t>
            </w:r>
            <w:r>
              <w:rPr>
                <w:rFonts w:hint="eastAsia" w:ascii="Times New Roman" w:hAnsi="Times New Roman" w:eastAsia="宋体" w:cs="Times New Roman"/>
                <w:b/>
                <w:bCs/>
                <w:color w:val="auto"/>
                <w:sz w:val="21"/>
                <w:szCs w:val="21"/>
                <w:highlight w:val="none"/>
                <w:lang w:val="en-US" w:eastAsia="zh-CN"/>
              </w:rPr>
              <w:t>林区道路</w:t>
            </w:r>
            <w:r>
              <w:rPr>
                <w:rFonts w:hint="default" w:ascii="Times New Roman" w:hAnsi="Times New Roman" w:eastAsia="宋体" w:cs="Times New Roman"/>
                <w:b/>
                <w:bCs/>
                <w:color w:val="auto"/>
                <w:sz w:val="21"/>
                <w:szCs w:val="21"/>
                <w:highlight w:val="none"/>
                <w:lang w:val="en-US" w:eastAsia="zh-CN"/>
              </w:rPr>
              <w:t>与赤城湖水库饮用水源保护区位置关系图</w:t>
            </w:r>
          </w:p>
          <w:p>
            <w:pPr>
              <w:widowControl w:val="0"/>
              <w:adjustRightInd w:val="0"/>
              <w:spacing w:line="360" w:lineRule="auto"/>
              <w:ind w:firstLine="472" w:firstLineChars="0"/>
              <w:jc w:val="both"/>
              <w:textAlignment w:val="baseline"/>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spacing w:val="-2"/>
                <w:kern w:val="0"/>
                <w:sz w:val="24"/>
                <w:szCs w:val="24"/>
                <w:lang w:val="en-US" w:eastAsia="zh-CN" w:bidi="ar"/>
              </w:rPr>
              <w:t>根据上图可以看出</w:t>
            </w:r>
            <w:r>
              <w:rPr>
                <w:rFonts w:hint="eastAsia" w:ascii="Times New Roman" w:hAnsi="Times New Roman" w:eastAsia="宋体" w:cs="Times New Roman"/>
                <w:color w:val="auto"/>
                <w:kern w:val="0"/>
                <w:sz w:val="24"/>
                <w:lang w:val="en-US" w:eastAsia="zh-CN" w:bidi="ar"/>
              </w:rPr>
              <w:t>本项目其中</w:t>
            </w:r>
            <w:r>
              <w:rPr>
                <w:rFonts w:hint="eastAsia" w:cs="Times New Roman"/>
                <w:color w:val="auto"/>
                <w:kern w:val="0"/>
                <w:sz w:val="24"/>
                <w:lang w:val="en-US" w:eastAsia="zh-CN" w:bidi="ar"/>
              </w:rPr>
              <w:t>赤城湖片区</w:t>
            </w:r>
            <w:r>
              <w:rPr>
                <w:rFonts w:hint="eastAsia" w:ascii="Times New Roman" w:hAnsi="Times New Roman" w:eastAsia="宋体" w:cs="Times New Roman"/>
                <w:color w:val="auto"/>
                <w:kern w:val="0"/>
                <w:sz w:val="24"/>
                <w:lang w:val="en-US" w:eastAsia="zh-CN" w:bidi="ar"/>
              </w:rPr>
              <w:t>巡护道路涉及赤城湖水库水源地二级保护区陆域。</w:t>
            </w:r>
          </w:p>
          <w:p>
            <w:pPr>
              <w:widowControl w:val="0"/>
              <w:adjustRightInd w:val="0"/>
              <w:spacing w:line="360" w:lineRule="auto"/>
              <w:ind w:left="0" w:leftChars="0" w:firstLine="0" w:firstLineChars="0"/>
              <w:jc w:val="center"/>
              <w:textAlignment w:val="baseline"/>
              <w:rPr>
                <w:rFonts w:hint="eastAsia" w:ascii="Times New Roman" w:hAnsi="Times New Roman" w:eastAsia="宋体" w:cs="Times New Roman"/>
                <w:color w:val="auto"/>
                <w:kern w:val="0"/>
                <w:sz w:val="24"/>
                <w:lang w:val="en-US" w:eastAsia="zh-CN" w:bidi="ar"/>
              </w:rPr>
            </w:pPr>
            <w:r>
              <w:rPr>
                <w:color w:val="auto"/>
              </w:rPr>
              <w:drawing>
                <wp:anchor distT="0" distB="0" distL="114300" distR="114300" simplePos="0" relativeHeight="251663360" behindDoc="0" locked="0" layoutInCell="1" allowOverlap="1">
                  <wp:simplePos x="0" y="0"/>
                  <wp:positionH relativeFrom="column">
                    <wp:posOffset>31750</wp:posOffset>
                  </wp:positionH>
                  <wp:positionV relativeFrom="paragraph">
                    <wp:posOffset>18415</wp:posOffset>
                  </wp:positionV>
                  <wp:extent cx="1551305" cy="1116965"/>
                  <wp:effectExtent l="9525" t="9525" r="20320" b="1651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1"/>
                          <a:stretch>
                            <a:fillRect/>
                          </a:stretch>
                        </pic:blipFill>
                        <pic:spPr>
                          <a:xfrm>
                            <a:off x="0" y="0"/>
                            <a:ext cx="1551305" cy="1116965"/>
                          </a:xfrm>
                          <a:prstGeom prst="rect">
                            <a:avLst/>
                          </a:prstGeom>
                          <a:noFill/>
                          <a:ln w="6350">
                            <a:solidFill>
                              <a:schemeClr val="tx1"/>
                            </a:solidFill>
                          </a:ln>
                        </pic:spPr>
                      </pic:pic>
                    </a:graphicData>
                  </a:graphic>
                </wp:anchor>
              </w:drawing>
            </w:r>
            <w:r>
              <w:rPr>
                <w:color w:val="auto"/>
              </w:rPr>
              <w:drawing>
                <wp:inline distT="0" distB="0" distL="114300" distR="114300">
                  <wp:extent cx="5024120" cy="3332480"/>
                  <wp:effectExtent l="9525" t="9525" r="14605" b="1079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2"/>
                          <a:stretch>
                            <a:fillRect/>
                          </a:stretch>
                        </pic:blipFill>
                        <pic:spPr>
                          <a:xfrm>
                            <a:off x="0" y="0"/>
                            <a:ext cx="5024120" cy="3332480"/>
                          </a:xfrm>
                          <a:prstGeom prst="rect">
                            <a:avLst/>
                          </a:prstGeom>
                          <a:noFill/>
                          <a:ln w="6350">
                            <a:solidFill>
                              <a:schemeClr val="tx1"/>
                            </a:solidFill>
                          </a:ln>
                        </pic:spPr>
                      </pic:pic>
                    </a:graphicData>
                  </a:graphic>
                </wp:inline>
              </w:drawing>
            </w:r>
          </w:p>
          <w:p>
            <w:pPr>
              <w:widowControl w:val="0"/>
              <w:adjustRightInd w:val="0"/>
              <w:spacing w:line="360" w:lineRule="auto"/>
              <w:ind w:left="0" w:leftChars="0" w:firstLine="0" w:firstLineChars="0"/>
              <w:jc w:val="center"/>
              <w:textAlignment w:val="baseline"/>
              <w:rPr>
                <w:rFonts w:hint="eastAsia" w:ascii="Times New Roman" w:hAnsi="Times New Roman" w:eastAsia="宋体" w:cs="Times New Roman"/>
                <w:color w:val="auto"/>
                <w:kern w:val="0"/>
                <w:sz w:val="24"/>
                <w:lang w:val="en-US" w:eastAsia="zh-CN" w:bidi="ar"/>
              </w:rPr>
            </w:pPr>
            <w:r>
              <w:rPr>
                <w:rFonts w:hint="default" w:ascii="Times New Roman" w:hAnsi="Times New Roman" w:eastAsia="宋体" w:cs="Times New Roman"/>
                <w:b/>
                <w:bCs/>
                <w:color w:val="auto"/>
                <w:sz w:val="21"/>
                <w:szCs w:val="21"/>
                <w:highlight w:val="none"/>
                <w:lang w:val="en-US" w:eastAsia="zh-CN"/>
              </w:rPr>
              <w:t>图</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本项目</w:t>
            </w:r>
            <w:r>
              <w:rPr>
                <w:rFonts w:hint="eastAsia" w:cs="Times New Roman"/>
                <w:b/>
                <w:bCs/>
                <w:color w:val="auto"/>
                <w:sz w:val="21"/>
                <w:szCs w:val="21"/>
                <w:highlight w:val="none"/>
                <w:lang w:val="en-US" w:eastAsia="zh-CN"/>
              </w:rPr>
              <w:t>林业部分</w:t>
            </w:r>
            <w:r>
              <w:rPr>
                <w:rFonts w:hint="default" w:ascii="Times New Roman" w:hAnsi="Times New Roman" w:eastAsia="宋体" w:cs="Times New Roman"/>
                <w:b/>
                <w:bCs/>
                <w:color w:val="auto"/>
                <w:sz w:val="21"/>
                <w:szCs w:val="21"/>
                <w:highlight w:val="none"/>
                <w:lang w:val="en-US" w:eastAsia="zh-CN"/>
              </w:rPr>
              <w:t>与饮用水源保护区位置关系图</w:t>
            </w:r>
          </w:p>
          <w:p>
            <w:pPr>
              <w:widowControl w:val="0"/>
              <w:adjustRightInd w:val="0"/>
              <w:spacing w:line="360" w:lineRule="auto"/>
              <w:ind w:firstLine="472" w:firstLineChars="0"/>
              <w:jc w:val="both"/>
              <w:textAlignment w:val="baseline"/>
              <w:rPr>
                <w:rFonts w:hint="default" w:ascii="Times New Roman" w:hAnsi="Times New Roman" w:eastAsia="宋体" w:cs="Times New Roman"/>
                <w:color w:val="auto"/>
                <w:kern w:val="0"/>
                <w:sz w:val="24"/>
                <w:lang w:val="en-US" w:eastAsia="zh-CN" w:bidi="ar"/>
              </w:rPr>
            </w:pPr>
            <w:r>
              <w:rPr>
                <w:rFonts w:hint="eastAsia" w:cs="Times New Roman"/>
                <w:color w:val="auto"/>
                <w:kern w:val="0"/>
                <w:sz w:val="24"/>
                <w:lang w:val="en-US" w:eastAsia="zh-CN" w:bidi="ar"/>
              </w:rPr>
              <w:t>由上图可知，项目储备林部分涉及饮用水源保护区，但不涉及一级饮用水源保护区，仅涉及赤城湖水库饮用水源保护区二级保护区陆域、遂宁市黑龙凼水库水源地饮用水源保护区二级保护区陆域，但项目储备林建设将增加森林覆盖及森林质量，对水源涵养起到正面效应，属于保护水源的建设项目。</w:t>
            </w:r>
          </w:p>
          <w:p>
            <w:pPr>
              <w:widowControl w:val="0"/>
              <w:adjustRightInd w:val="0"/>
              <w:spacing w:line="360" w:lineRule="auto"/>
              <w:ind w:firstLine="472" w:firstLineChars="0"/>
              <w:jc w:val="both"/>
              <w:textAlignment w:val="baseline"/>
              <w:rPr>
                <w:rFonts w:hint="eastAsia" w:ascii="Times New Roman" w:hAnsi="Times New Roman" w:eastAsia="宋体" w:cs="Times New Roman"/>
                <w:color w:val="auto"/>
                <w:spacing w:val="-2"/>
                <w:kern w:val="0"/>
                <w:sz w:val="24"/>
                <w:szCs w:val="24"/>
                <w:lang w:val="en-US" w:eastAsia="zh-CN" w:bidi="ar"/>
              </w:rPr>
            </w:pPr>
            <w:r>
              <w:rPr>
                <w:rFonts w:hint="eastAsia" w:ascii="Times New Roman" w:hAnsi="Times New Roman" w:eastAsia="宋体" w:cs="Times New Roman"/>
                <w:color w:val="auto"/>
                <w:spacing w:val="-2"/>
                <w:kern w:val="0"/>
                <w:sz w:val="24"/>
                <w:szCs w:val="24"/>
                <w:lang w:val="en-US" w:eastAsia="zh-CN" w:bidi="ar"/>
              </w:rPr>
              <w:t>（2）与《饮用水水源保护区污染防治管理规定》、《四川省饮用水水源保护管理条例》的符合性分析</w:t>
            </w:r>
          </w:p>
          <w:p>
            <w:pPr>
              <w:widowControl w:val="0"/>
              <w:adjustRightInd w:val="0"/>
              <w:spacing w:line="360" w:lineRule="auto"/>
              <w:ind w:firstLine="472" w:firstLineChars="0"/>
              <w:jc w:val="both"/>
              <w:textAlignment w:val="baseline"/>
              <w:rPr>
                <w:rFonts w:hint="eastAsia" w:ascii="Times New Roman" w:hAnsi="Times New Roman" w:eastAsia="宋体" w:cs="Times New Roman"/>
                <w:color w:val="auto"/>
                <w:spacing w:val="-2"/>
                <w:kern w:val="0"/>
                <w:sz w:val="24"/>
                <w:szCs w:val="24"/>
                <w:lang w:val="en-US" w:eastAsia="zh-CN" w:bidi="ar"/>
              </w:rPr>
            </w:pPr>
            <w:r>
              <w:rPr>
                <w:rFonts w:hint="eastAsia" w:ascii="Times New Roman" w:hAnsi="Times New Roman" w:eastAsia="宋体" w:cs="Times New Roman"/>
                <w:color w:val="auto"/>
                <w:spacing w:val="-2"/>
                <w:kern w:val="0"/>
                <w:sz w:val="24"/>
                <w:szCs w:val="24"/>
                <w:lang w:val="en-US" w:eastAsia="zh-CN" w:bidi="ar"/>
              </w:rPr>
              <w:t>①与《饮用水水源保护区污染防治管理规定》的符合性分析</w:t>
            </w:r>
          </w:p>
          <w:p>
            <w:pPr>
              <w:widowControl w:val="0"/>
              <w:adjustRightInd w:val="0"/>
              <w:spacing w:line="360" w:lineRule="auto"/>
              <w:ind w:firstLine="472" w:firstLineChars="0"/>
              <w:jc w:val="both"/>
              <w:textAlignment w:val="baseline"/>
              <w:rPr>
                <w:rFonts w:hint="eastAsia" w:ascii="Times New Roman" w:hAnsi="Times New Roman" w:eastAsia="宋体" w:cs="Times New Roman"/>
                <w:color w:val="auto"/>
                <w:spacing w:val="-2"/>
                <w:kern w:val="0"/>
                <w:sz w:val="24"/>
                <w:szCs w:val="24"/>
                <w:lang w:val="en-US" w:eastAsia="zh-CN" w:bidi="ar"/>
              </w:rPr>
            </w:pPr>
            <w:r>
              <w:rPr>
                <w:rFonts w:hint="eastAsia" w:ascii="Times New Roman" w:hAnsi="Times New Roman" w:eastAsia="宋体" w:cs="Times New Roman"/>
                <w:color w:val="auto"/>
                <w:spacing w:val="-2"/>
                <w:kern w:val="0"/>
                <w:sz w:val="24"/>
                <w:szCs w:val="24"/>
                <w:lang w:val="en-US" w:eastAsia="zh-CN" w:bidi="ar"/>
              </w:rPr>
              <w:t>项目与《饮用水水源保护区污染防治管理规定（2010年修正本）》（原环境保护部令第16号）文中相关规定的符合性分析见下表。</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表1-</w:t>
            </w:r>
            <w:r>
              <w:rPr>
                <w:rFonts w:hint="eastAsia" w:cs="Times New Roman"/>
                <w:b/>
                <w:color w:val="auto"/>
                <w:sz w:val="21"/>
                <w:szCs w:val="21"/>
                <w:lang w:val="en-US" w:eastAsia="zh-CN"/>
              </w:rPr>
              <w:t>4</w:t>
            </w:r>
            <w:r>
              <w:rPr>
                <w:rFonts w:hint="eastAsia"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项目与《饮用水水源保护区污染防治管理规定》符合性分析一览表</w:t>
            </w:r>
          </w:p>
          <w:tbl>
            <w:tblPr>
              <w:tblStyle w:val="23"/>
              <w:tblW w:w="7829"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76"/>
              <w:gridCol w:w="3906"/>
              <w:gridCol w:w="2544"/>
              <w:gridCol w:w="628"/>
              <w:gridCol w:w="7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bCs/>
                      <w:color w:val="auto"/>
                      <w:spacing w:val="0"/>
                      <w:kern w:val="2"/>
                      <w:sz w:val="21"/>
                      <w:szCs w:val="21"/>
                      <w:shd w:val="clear" w:color="auto" w:fill="FFFFFF"/>
                      <w:lang w:val="en-US" w:eastAsia="zh-CN" w:bidi="ar-SA"/>
                    </w:rPr>
                  </w:pPr>
                  <w:r>
                    <w:rPr>
                      <w:rFonts w:hint="eastAsia" w:ascii="Times New Roman" w:hAnsi="Times New Roman" w:eastAsia="宋体" w:cs="Times New Roman"/>
                      <w:b/>
                      <w:bCs/>
                      <w:color w:val="auto"/>
                      <w:spacing w:val="0"/>
                      <w:kern w:val="2"/>
                      <w:sz w:val="21"/>
                      <w:szCs w:val="21"/>
                      <w:shd w:val="clear" w:color="auto" w:fill="FFFFFF"/>
                      <w:lang w:val="en-US" w:eastAsia="zh-CN" w:bidi="ar-SA"/>
                    </w:rPr>
                    <w:t>序号</w:t>
                  </w:r>
                </w:p>
              </w:tc>
              <w:tc>
                <w:tcPr>
                  <w:tcW w:w="3906" w:type="dxa"/>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Helvetica" w:cs="Times New Roman"/>
                      <w:b/>
                      <w:bCs/>
                      <w:color w:val="auto"/>
                      <w:spacing w:val="0"/>
                      <w:kern w:val="2"/>
                      <w:sz w:val="21"/>
                      <w:szCs w:val="21"/>
                      <w:shd w:val="clear" w:color="auto" w:fill="FFFFFF"/>
                      <w:lang w:val="en-US" w:eastAsia="zh-CN" w:bidi="ar-SA"/>
                    </w:rPr>
                  </w:pPr>
                  <w:r>
                    <w:rPr>
                      <w:rFonts w:hint="eastAsia" w:ascii="Times New Roman" w:hAnsi="Times New Roman" w:eastAsia="宋体" w:cs="Times New Roman"/>
                      <w:b/>
                      <w:color w:val="auto"/>
                      <w:spacing w:val="-2"/>
                      <w:kern w:val="2"/>
                      <w:sz w:val="21"/>
                      <w:szCs w:val="21"/>
                      <w:lang w:val="en-US" w:eastAsia="zh-CN" w:bidi="ar-SA"/>
                    </w:rPr>
                    <w:t>饮用水水源保护区污染防治管理规定</w:t>
                  </w:r>
                </w:p>
              </w:tc>
              <w:tc>
                <w:tcPr>
                  <w:tcW w:w="2544" w:type="dxa"/>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Helvetica" w:cs="Times New Roman"/>
                      <w:b/>
                      <w:bCs/>
                      <w:color w:val="auto"/>
                      <w:spacing w:val="0"/>
                      <w:kern w:val="2"/>
                      <w:sz w:val="21"/>
                      <w:szCs w:val="21"/>
                      <w:shd w:val="clear" w:color="auto" w:fill="FFFFFF"/>
                      <w:lang w:val="en-US" w:eastAsia="zh-CN" w:bidi="ar-SA"/>
                    </w:rPr>
                  </w:pPr>
                  <w:r>
                    <w:rPr>
                      <w:rFonts w:ascii="Times New Roman" w:hAnsi="Times New Roman" w:eastAsia="Helvetica" w:cs="Times New Roman"/>
                      <w:b/>
                      <w:bCs/>
                      <w:color w:val="auto"/>
                      <w:spacing w:val="0"/>
                      <w:kern w:val="2"/>
                      <w:sz w:val="21"/>
                      <w:szCs w:val="21"/>
                      <w:shd w:val="clear" w:color="auto" w:fill="FFFFFF"/>
                      <w:lang w:val="en-US" w:eastAsia="zh-CN" w:bidi="ar-SA"/>
                    </w:rPr>
                    <w:t>本项目情况</w:t>
                  </w:r>
                </w:p>
              </w:tc>
              <w:tc>
                <w:tcPr>
                  <w:tcW w:w="703" w:type="dxa"/>
                  <w:gridSpan w:val="2"/>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Helvetica" w:cs="Times New Roman"/>
                      <w:b/>
                      <w:bCs/>
                      <w:color w:val="auto"/>
                      <w:spacing w:val="0"/>
                      <w:kern w:val="2"/>
                      <w:sz w:val="21"/>
                      <w:szCs w:val="21"/>
                      <w:shd w:val="clear" w:color="auto" w:fill="FFFFFF"/>
                      <w:lang w:val="en-US" w:eastAsia="zh-CN" w:bidi="ar-SA"/>
                    </w:rPr>
                  </w:pPr>
                  <w:r>
                    <w:rPr>
                      <w:rFonts w:ascii="Times New Roman" w:hAnsi="Times New Roman" w:eastAsia="Helvetica" w:cs="Times New Roman"/>
                      <w:b/>
                      <w:bCs/>
                      <w:color w:val="auto"/>
                      <w:spacing w:val="0"/>
                      <w:kern w:val="2"/>
                      <w:sz w:val="21"/>
                      <w:szCs w:val="21"/>
                      <w:shd w:val="clear" w:color="auto" w:fill="FFFFFF"/>
                      <w:lang w:val="en-US" w:eastAsia="zh-CN" w:bidi="ar-SA"/>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5" w:type="dxa"/>
                <w:trHeight w:val="397" w:hRule="atLeast"/>
                <w:jc w:val="center"/>
              </w:trPr>
              <w:tc>
                <w:tcPr>
                  <w:tcW w:w="7754" w:type="dxa"/>
                  <w:gridSpan w:val="4"/>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Helvetica" w:cs="Times New Roman"/>
                      <w:b w:val="0"/>
                      <w:bCs w:val="0"/>
                      <w:color w:val="auto"/>
                      <w:spacing w:val="0"/>
                      <w:kern w:val="2"/>
                      <w:sz w:val="21"/>
                      <w:szCs w:val="21"/>
                      <w:shd w:val="clear" w:color="auto" w:fill="FFFFFF"/>
                      <w:lang w:val="en-US" w:eastAsia="zh-CN" w:bidi="ar-SA"/>
                    </w:rPr>
                  </w:pPr>
                  <w:r>
                    <w:rPr>
                      <w:rFonts w:hint="eastAsia" w:ascii="Times New Roman" w:hAnsi="Times New Roman" w:eastAsia="Helvetica" w:cs="Times New Roman"/>
                      <w:b w:val="0"/>
                      <w:bCs w:val="0"/>
                      <w:color w:val="auto"/>
                      <w:spacing w:val="0"/>
                      <w:kern w:val="2"/>
                      <w:sz w:val="21"/>
                      <w:szCs w:val="21"/>
                      <w:shd w:val="clear" w:color="auto" w:fill="FFFFFF"/>
                      <w:lang w:val="en-US" w:eastAsia="zh-CN" w:bidi="ar-SA"/>
                    </w:rPr>
                    <w:t>第十一条</w:t>
                  </w: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 xml:space="preserve"> </w:t>
                  </w:r>
                  <w:r>
                    <w:rPr>
                      <w:rFonts w:hint="eastAsia" w:ascii="Times New Roman" w:hAnsi="Times New Roman" w:eastAsia="Helvetica" w:cs="Times New Roman"/>
                      <w:b w:val="0"/>
                      <w:bCs w:val="0"/>
                      <w:color w:val="auto"/>
                      <w:spacing w:val="0"/>
                      <w:kern w:val="2"/>
                      <w:sz w:val="21"/>
                      <w:szCs w:val="21"/>
                      <w:shd w:val="clear" w:color="auto" w:fill="FFFFFF"/>
                      <w:lang w:val="en-US" w:eastAsia="zh-CN" w:bidi="ar-SA"/>
                    </w:rPr>
                    <w:t>饮用水地表水源各级保护区及准保护区内均必须遵守下列规定：</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1</w:t>
                  </w:r>
                </w:p>
              </w:tc>
              <w:tc>
                <w:tcPr>
                  <w:tcW w:w="3906"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Helvetica" w:cs="Times New Roman"/>
                      <w:b w:val="0"/>
                      <w:bCs w:val="0"/>
                      <w:color w:val="auto"/>
                      <w:spacing w:val="0"/>
                      <w:kern w:val="2"/>
                      <w:sz w:val="21"/>
                      <w:szCs w:val="21"/>
                      <w:shd w:val="clear" w:color="auto" w:fill="FFFFFF"/>
                      <w:lang w:val="en-US" w:eastAsia="zh-CN" w:bidi="ar-SA"/>
                    </w:rPr>
                    <w:t>禁止一切破坏水环境生态平衡的活动以及破坏水源林、护岸林、与水源保护相关植被的活动。</w:t>
                  </w:r>
                </w:p>
              </w:tc>
              <w:tc>
                <w:tcPr>
                  <w:tcW w:w="2544"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color w:val="auto"/>
                      <w:spacing w:val="-2"/>
                      <w:kern w:val="0"/>
                      <w:sz w:val="21"/>
                      <w:szCs w:val="21"/>
                      <w:lang w:val="en-US" w:eastAsia="zh-CN" w:bidi="ar"/>
                    </w:rPr>
                    <w:t>项目</w:t>
                  </w:r>
                  <w:r>
                    <w:rPr>
                      <w:rFonts w:hint="eastAsia" w:cs="Times New Roman"/>
                      <w:color w:val="auto"/>
                      <w:spacing w:val="-2"/>
                      <w:kern w:val="0"/>
                      <w:sz w:val="21"/>
                      <w:szCs w:val="21"/>
                      <w:lang w:val="en-US" w:eastAsia="zh-CN" w:bidi="ar"/>
                    </w:rPr>
                    <w:t>主要为</w:t>
                  </w:r>
                  <w:r>
                    <w:rPr>
                      <w:rFonts w:hint="eastAsia" w:ascii="Times New Roman" w:hAnsi="Times New Roman" w:eastAsia="宋体" w:cs="Times New Roman"/>
                      <w:color w:val="auto"/>
                      <w:spacing w:val="-2"/>
                      <w:kern w:val="0"/>
                      <w:sz w:val="21"/>
                      <w:szCs w:val="21"/>
                      <w:lang w:val="en-US" w:eastAsia="zh-CN" w:bidi="ar"/>
                    </w:rPr>
                    <w:t>国家储备林</w:t>
                  </w:r>
                  <w:r>
                    <w:rPr>
                      <w:rFonts w:hint="eastAsia" w:cs="Times New Roman"/>
                      <w:color w:val="auto"/>
                      <w:spacing w:val="-2"/>
                      <w:kern w:val="0"/>
                      <w:sz w:val="21"/>
                      <w:szCs w:val="21"/>
                      <w:lang w:val="en-US" w:eastAsia="zh-CN" w:bidi="ar"/>
                    </w:rPr>
                    <w:t>及基础设施建设，其中赤城湖片区巡护道路</w:t>
                  </w:r>
                  <w:r>
                    <w:rPr>
                      <w:rFonts w:hint="eastAsia" w:ascii="Times New Roman" w:hAnsi="Times New Roman" w:eastAsia="宋体" w:cs="Times New Roman"/>
                      <w:color w:val="auto"/>
                      <w:spacing w:val="-2"/>
                      <w:kern w:val="0"/>
                      <w:sz w:val="21"/>
                      <w:szCs w:val="21"/>
                      <w:lang w:val="en-US" w:eastAsia="zh-CN" w:bidi="ar"/>
                    </w:rPr>
                    <w:t>无涉水施工，不涉及破坏水环境生态平衡的活动；项目</w:t>
                  </w:r>
                  <w:r>
                    <w:rPr>
                      <w:rFonts w:hint="eastAsia" w:cs="Times New Roman"/>
                      <w:color w:val="auto"/>
                      <w:spacing w:val="-2"/>
                      <w:kern w:val="0"/>
                      <w:sz w:val="21"/>
                      <w:szCs w:val="21"/>
                      <w:lang w:val="en-US" w:eastAsia="zh-CN" w:bidi="ar"/>
                    </w:rPr>
                    <w:t>储备林建设</w:t>
                  </w:r>
                  <w:r>
                    <w:rPr>
                      <w:rFonts w:hint="eastAsia" w:ascii="Times New Roman" w:hAnsi="Times New Roman" w:eastAsia="宋体" w:cs="Times New Roman"/>
                      <w:color w:val="auto"/>
                      <w:spacing w:val="-2"/>
                      <w:kern w:val="0"/>
                      <w:sz w:val="21"/>
                      <w:szCs w:val="21"/>
                      <w:lang w:val="en-US" w:eastAsia="zh-CN" w:bidi="ar"/>
                    </w:rPr>
                    <w:t>不会破坏水源林、护岸林</w:t>
                  </w:r>
                  <w:r>
                    <w:rPr>
                      <w:rFonts w:hint="eastAsia" w:cs="Times New Roman"/>
                      <w:color w:val="auto"/>
                      <w:spacing w:val="-2"/>
                      <w:kern w:val="0"/>
                      <w:sz w:val="21"/>
                      <w:szCs w:val="21"/>
                      <w:lang w:val="en-US" w:eastAsia="zh-CN" w:bidi="ar"/>
                    </w:rPr>
                    <w:t>，储备林建设有助于水源涵养及防治水土流失</w:t>
                  </w:r>
                  <w:r>
                    <w:rPr>
                      <w:rFonts w:hint="eastAsia" w:ascii="Times New Roman" w:hAnsi="Times New Roman" w:eastAsia="宋体" w:cs="Times New Roman"/>
                      <w:color w:val="auto"/>
                      <w:spacing w:val="-2"/>
                      <w:kern w:val="0"/>
                      <w:sz w:val="21"/>
                      <w:szCs w:val="21"/>
                      <w:lang w:val="en-US" w:eastAsia="zh-CN" w:bidi="ar"/>
                    </w:rPr>
                    <w:t>。</w:t>
                  </w:r>
                </w:p>
              </w:tc>
              <w:tc>
                <w:tcPr>
                  <w:tcW w:w="703" w:type="dxa"/>
                  <w:gridSpan w:val="2"/>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2</w:t>
                  </w:r>
                </w:p>
              </w:tc>
              <w:tc>
                <w:tcPr>
                  <w:tcW w:w="3906"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Helvetica" w:cs="Times New Roman"/>
                      <w:b w:val="0"/>
                      <w:bCs w:val="0"/>
                      <w:color w:val="auto"/>
                      <w:spacing w:val="0"/>
                      <w:kern w:val="2"/>
                      <w:sz w:val="21"/>
                      <w:szCs w:val="21"/>
                      <w:shd w:val="clear" w:color="auto" w:fill="FFFFFF"/>
                      <w:lang w:val="en-US" w:eastAsia="zh-CN" w:bidi="ar-SA"/>
                    </w:rPr>
                    <w:t>禁止向水域倾倒工业废渣、城市垃圾、粪便及其它废弃物。</w:t>
                  </w:r>
                </w:p>
              </w:tc>
              <w:tc>
                <w:tcPr>
                  <w:tcW w:w="2544"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项目施工过程中施工固废外运处置，施工过程做到严格管理，禁止向水域倾倒施工废水和固废。</w:t>
                  </w:r>
                </w:p>
              </w:tc>
              <w:tc>
                <w:tcPr>
                  <w:tcW w:w="703" w:type="dxa"/>
                  <w:gridSpan w:val="2"/>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3</w:t>
                  </w:r>
                </w:p>
              </w:tc>
              <w:tc>
                <w:tcPr>
                  <w:tcW w:w="3906"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Helvetica" w:cs="Times New Roman"/>
                      <w:b w:val="0"/>
                      <w:bCs w:val="0"/>
                      <w:color w:val="auto"/>
                      <w:spacing w:val="0"/>
                      <w:kern w:val="2"/>
                      <w:sz w:val="21"/>
                      <w:szCs w:val="21"/>
                      <w:shd w:val="clear" w:color="auto" w:fill="FFFFFF"/>
                      <w:lang w:val="en-US" w:eastAsia="zh-CN" w:bidi="ar-SA"/>
                    </w:rPr>
                    <w:t>运输有毒有害物质、油类、粪便的船舶和车辆一般不准进入保护区，必须进入者应事先申请并经有关部门批准、登记并设置防渗、防溢、防漏设施</w:t>
                  </w: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w:t>
                  </w:r>
                </w:p>
              </w:tc>
              <w:tc>
                <w:tcPr>
                  <w:tcW w:w="2544"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color w:val="auto"/>
                      <w:spacing w:val="-2"/>
                      <w:kern w:val="0"/>
                      <w:sz w:val="21"/>
                      <w:szCs w:val="21"/>
                      <w:lang w:val="en-US" w:eastAsia="zh-CN" w:bidi="ar"/>
                    </w:rPr>
                    <w:t>项目</w:t>
                  </w:r>
                  <w:r>
                    <w:rPr>
                      <w:rFonts w:hint="eastAsia" w:cs="Times New Roman"/>
                      <w:color w:val="auto"/>
                      <w:spacing w:val="-2"/>
                      <w:kern w:val="0"/>
                      <w:sz w:val="21"/>
                      <w:szCs w:val="21"/>
                      <w:lang w:val="en-US" w:eastAsia="zh-CN" w:bidi="ar"/>
                    </w:rPr>
                    <w:t>主要为</w:t>
                  </w:r>
                  <w:r>
                    <w:rPr>
                      <w:rFonts w:hint="eastAsia" w:ascii="Times New Roman" w:hAnsi="Times New Roman" w:eastAsia="宋体" w:cs="Times New Roman"/>
                      <w:color w:val="auto"/>
                      <w:spacing w:val="-2"/>
                      <w:kern w:val="0"/>
                      <w:sz w:val="21"/>
                      <w:szCs w:val="21"/>
                      <w:lang w:val="en-US" w:eastAsia="zh-CN" w:bidi="ar"/>
                    </w:rPr>
                    <w:t>国家储备林</w:t>
                  </w:r>
                  <w:r>
                    <w:rPr>
                      <w:rFonts w:hint="eastAsia" w:cs="Times New Roman"/>
                      <w:color w:val="auto"/>
                      <w:spacing w:val="-2"/>
                      <w:kern w:val="0"/>
                      <w:sz w:val="21"/>
                      <w:szCs w:val="21"/>
                      <w:lang w:val="en-US" w:eastAsia="zh-CN" w:bidi="ar"/>
                    </w:rPr>
                    <w:t>及基础设施建设，其中生产便道及巡护道路主要用于林产产品运输及防火巡护</w:t>
                  </w: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，不涉及运输</w:t>
                  </w:r>
                  <w:r>
                    <w:rPr>
                      <w:rFonts w:hint="eastAsia" w:ascii="Times New Roman" w:hAnsi="Times New Roman" w:eastAsia="Helvetica" w:cs="Times New Roman"/>
                      <w:b w:val="0"/>
                      <w:bCs w:val="0"/>
                      <w:color w:val="auto"/>
                      <w:spacing w:val="0"/>
                      <w:kern w:val="2"/>
                      <w:sz w:val="21"/>
                      <w:szCs w:val="21"/>
                      <w:shd w:val="clear" w:color="auto" w:fill="FFFFFF"/>
                      <w:lang w:val="en-US" w:eastAsia="zh-CN" w:bidi="ar-SA"/>
                    </w:rPr>
                    <w:t>有毒有害物质、油类、粪便的船舶和车辆</w:t>
                  </w: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，车辆不通行，禁止</w:t>
                  </w:r>
                  <w:r>
                    <w:rPr>
                      <w:rFonts w:hint="eastAsia" w:ascii="Times New Roman" w:hAnsi="Times New Roman" w:eastAsia="Helvetica" w:cs="Times New Roman"/>
                      <w:b w:val="0"/>
                      <w:bCs w:val="0"/>
                      <w:color w:val="auto"/>
                      <w:spacing w:val="0"/>
                      <w:kern w:val="2"/>
                      <w:sz w:val="21"/>
                      <w:szCs w:val="21"/>
                      <w:shd w:val="clear" w:color="auto" w:fill="FFFFFF"/>
                      <w:lang w:val="en-US" w:eastAsia="zh-CN" w:bidi="ar-SA"/>
                    </w:rPr>
                    <w:t>运输有毒有害物质、油类、粪便的车辆</w:t>
                  </w: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通过。</w:t>
                  </w:r>
                </w:p>
              </w:tc>
              <w:tc>
                <w:tcPr>
                  <w:tcW w:w="703" w:type="dxa"/>
                  <w:gridSpan w:val="2"/>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6"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4</w:t>
                  </w:r>
                </w:p>
              </w:tc>
              <w:tc>
                <w:tcPr>
                  <w:tcW w:w="3906"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Helvetica" w:cs="Times New Roman"/>
                      <w:b w:val="0"/>
                      <w:bCs w:val="0"/>
                      <w:color w:val="auto"/>
                      <w:spacing w:val="0"/>
                      <w:kern w:val="2"/>
                      <w:sz w:val="21"/>
                      <w:szCs w:val="21"/>
                      <w:shd w:val="clear" w:color="auto" w:fill="FFFFFF"/>
                      <w:lang w:val="en-US" w:eastAsia="zh-CN" w:bidi="ar-SA"/>
                    </w:rPr>
                  </w:pPr>
                  <w:r>
                    <w:rPr>
                      <w:rFonts w:hint="eastAsia" w:ascii="Times New Roman" w:hAnsi="Times New Roman" w:eastAsia="Helvetica" w:cs="Times New Roman"/>
                      <w:b w:val="0"/>
                      <w:bCs w:val="0"/>
                      <w:color w:val="auto"/>
                      <w:spacing w:val="0"/>
                      <w:kern w:val="2"/>
                      <w:sz w:val="21"/>
                      <w:szCs w:val="21"/>
                      <w:shd w:val="clear" w:color="auto" w:fill="FFFFFF"/>
                      <w:lang w:val="en-US" w:eastAsia="zh-CN" w:bidi="ar-SA"/>
                    </w:rPr>
                    <w:t>禁止使用剧毒和高残留农药，不得滥用化肥，不得使用炸药、毒品捕杀鱼类。</w:t>
                  </w:r>
                </w:p>
              </w:tc>
              <w:tc>
                <w:tcPr>
                  <w:tcW w:w="2544"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项目</w:t>
                  </w:r>
                  <w:r>
                    <w:rPr>
                      <w:rFonts w:hint="eastAsia" w:cs="Times New Roman"/>
                      <w:b w:val="0"/>
                      <w:bCs w:val="0"/>
                      <w:color w:val="auto"/>
                      <w:spacing w:val="0"/>
                      <w:kern w:val="2"/>
                      <w:sz w:val="21"/>
                      <w:szCs w:val="21"/>
                      <w:shd w:val="clear" w:color="auto" w:fill="FFFFFF"/>
                      <w:lang w:val="en-US" w:eastAsia="zh-CN" w:bidi="ar-SA"/>
                    </w:rPr>
                    <w:t>储备林</w:t>
                  </w: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不使用</w:t>
                  </w:r>
                  <w:r>
                    <w:rPr>
                      <w:rFonts w:hint="eastAsia" w:ascii="Times New Roman" w:hAnsi="Times New Roman" w:eastAsia="Helvetica" w:cs="Times New Roman"/>
                      <w:b w:val="0"/>
                      <w:bCs w:val="0"/>
                      <w:color w:val="auto"/>
                      <w:spacing w:val="0"/>
                      <w:kern w:val="2"/>
                      <w:sz w:val="21"/>
                      <w:szCs w:val="21"/>
                      <w:shd w:val="clear" w:color="auto" w:fill="FFFFFF"/>
                      <w:lang w:val="en-US" w:eastAsia="zh-CN" w:bidi="ar-SA"/>
                    </w:rPr>
                    <w:t>剧毒和高残留</w:t>
                  </w: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农药</w:t>
                  </w:r>
                  <w:r>
                    <w:rPr>
                      <w:rFonts w:hint="eastAsia" w:cs="Times New Roman"/>
                      <w:b w:val="0"/>
                      <w:bCs w:val="0"/>
                      <w:color w:val="auto"/>
                      <w:spacing w:val="0"/>
                      <w:kern w:val="2"/>
                      <w:sz w:val="21"/>
                      <w:szCs w:val="21"/>
                      <w:shd w:val="clear" w:color="auto" w:fill="FFFFFF"/>
                      <w:lang w:val="en-US" w:eastAsia="zh-CN" w:bidi="ar-SA"/>
                    </w:rPr>
                    <w:t>，饮用水源保护区范围不使用</w:t>
                  </w: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化肥，施工过程做到严格管理。</w:t>
                  </w:r>
                </w:p>
              </w:tc>
              <w:tc>
                <w:tcPr>
                  <w:tcW w:w="703" w:type="dxa"/>
                  <w:gridSpan w:val="2"/>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5" w:type="dxa"/>
                <w:trHeight w:val="397" w:hRule="atLeast"/>
                <w:jc w:val="center"/>
              </w:trPr>
              <w:tc>
                <w:tcPr>
                  <w:tcW w:w="7754" w:type="dxa"/>
                  <w:gridSpan w:val="4"/>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第十二条 饮用水地表水源各级保护区内及准保护区内必须遵守下列规定：</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1</w:t>
                  </w:r>
                </w:p>
              </w:tc>
              <w:tc>
                <w:tcPr>
                  <w:tcW w:w="3906" w:type="dxa"/>
                  <w:tcBorders>
                    <w:tl2br w:val="nil"/>
                    <w:tr2bl w:val="nil"/>
                  </w:tcBorders>
                  <w:noWrap w:val="0"/>
                  <w:vAlign w:val="center"/>
                </w:tcPr>
                <w:p>
                  <w:pPr>
                    <w:keepNext w:val="0"/>
                    <w:keepLines w:val="0"/>
                    <w:widowControl/>
                    <w:suppressLineNumbers w:val="0"/>
                    <w:spacing w:line="240" w:lineRule="auto"/>
                    <w:ind w:left="0" w:leftChars="0" w:firstLine="0" w:firstLineChars="0"/>
                    <w:jc w:val="center"/>
                    <w:rPr>
                      <w:rFonts w:ascii="Times New Roman" w:hAnsi="Times New Roman" w:eastAsia="宋体" w:cs="Times New Roman"/>
                      <w:color w:val="auto"/>
                      <w:kern w:val="0"/>
                      <w:sz w:val="21"/>
                      <w:szCs w:val="21"/>
                      <w:lang w:bidi="ar"/>
                    </w:rPr>
                  </w:pPr>
                  <w:r>
                    <w:rPr>
                      <w:rFonts w:hint="eastAsia" w:ascii="宋体" w:hAnsi="宋体" w:eastAsia="宋体" w:cs="宋体"/>
                      <w:color w:val="auto"/>
                      <w:kern w:val="0"/>
                      <w:sz w:val="21"/>
                      <w:szCs w:val="21"/>
                      <w:lang w:val="en-US" w:eastAsia="zh-CN" w:bidi="ar"/>
                    </w:rPr>
                    <w:t>一级保护区内：禁止新建、扩建与供水设施和保护水源无关的建设项目；禁止向水域排放污水，已设置的排污口必须拆除；不得设置与供水需要无关的码头，禁止停靠船舶；禁止堆置和存放工业废渣、城市垃圾、粪便和其他废弃物；禁止设置油库；</w:t>
                  </w:r>
                  <w:r>
                    <w:rPr>
                      <w:rFonts w:hint="eastAsia" w:ascii="宋体" w:hAnsi="宋体" w:eastAsia="宋体" w:cs="宋体"/>
                      <w:color w:val="auto"/>
                      <w:kern w:val="0"/>
                      <w:sz w:val="21"/>
                      <w:szCs w:val="21"/>
                      <w:lang w:bidi="ar"/>
                    </w:rPr>
                    <w:t>禁止从事种植、放养畜禽和网箱养殖活动</w:t>
                  </w:r>
                  <w:r>
                    <w:rPr>
                      <w:rFonts w:hint="eastAsia" w:ascii="宋体" w:hAnsi="宋体" w:eastAsia="宋体" w:cs="宋体"/>
                      <w:color w:val="auto"/>
                      <w:kern w:val="0"/>
                      <w:sz w:val="21"/>
                      <w:szCs w:val="21"/>
                      <w:lang w:val="en-US" w:eastAsia="zh-CN" w:bidi="ar"/>
                    </w:rPr>
                    <w:t>；禁止可能污染水源的旅游活动和其他活动。</w:t>
                  </w:r>
                </w:p>
              </w:tc>
              <w:tc>
                <w:tcPr>
                  <w:tcW w:w="2544" w:type="dxa"/>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项目</w:t>
                  </w:r>
                  <w:r>
                    <w:rPr>
                      <w:rFonts w:hint="eastAsia" w:cs="Times New Roman"/>
                      <w:color w:val="auto"/>
                      <w:spacing w:val="-2"/>
                      <w:kern w:val="0"/>
                      <w:sz w:val="21"/>
                      <w:szCs w:val="21"/>
                      <w:lang w:val="en-US" w:eastAsia="zh-CN" w:bidi="ar"/>
                    </w:rPr>
                    <w:t>不涉及</w:t>
                  </w:r>
                  <w:r>
                    <w:rPr>
                      <w:rFonts w:hint="eastAsia" w:ascii="Times New Roman" w:hAnsi="Times New Roman" w:eastAsia="宋体" w:cs="Times New Roman"/>
                      <w:color w:val="auto"/>
                      <w:spacing w:val="-2"/>
                      <w:kern w:val="0"/>
                      <w:sz w:val="21"/>
                      <w:szCs w:val="21"/>
                      <w:lang w:val="en-US" w:eastAsia="zh-CN" w:bidi="ar"/>
                    </w:rPr>
                    <w:t>饮用水源一级保护区。</w:t>
                  </w:r>
                </w:p>
              </w:tc>
              <w:tc>
                <w:tcPr>
                  <w:tcW w:w="703" w:type="dxa"/>
                  <w:gridSpan w:val="2"/>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2</w:t>
                  </w:r>
                </w:p>
              </w:tc>
              <w:tc>
                <w:tcPr>
                  <w:tcW w:w="3906" w:type="dxa"/>
                  <w:tcBorders>
                    <w:tl2br w:val="nil"/>
                    <w:tr2bl w:val="nil"/>
                  </w:tcBorders>
                  <w:noWrap w:val="0"/>
                  <w:vAlign w:val="center"/>
                </w:tcPr>
                <w:p>
                  <w:pPr>
                    <w:keepNext w:val="0"/>
                    <w:keepLines w:val="0"/>
                    <w:widowControl/>
                    <w:suppressLineNumbers w:val="0"/>
                    <w:spacing w:line="240" w:lineRule="auto"/>
                    <w:ind w:left="0" w:leftChars="0" w:firstLine="0" w:firstLineChars="0"/>
                    <w:jc w:val="center"/>
                    <w:rPr>
                      <w:rFonts w:ascii="Times New Roman" w:hAnsi="Times New Roman" w:eastAsia="宋体" w:cs="Times New Roman"/>
                      <w:color w:val="auto"/>
                      <w:kern w:val="0"/>
                      <w:sz w:val="21"/>
                      <w:szCs w:val="21"/>
                      <w:lang w:bidi="ar"/>
                    </w:rPr>
                  </w:pPr>
                  <w:r>
                    <w:rPr>
                      <w:rFonts w:hint="eastAsia" w:ascii="宋体" w:hAnsi="宋体" w:eastAsia="宋体" w:cs="宋体"/>
                      <w:color w:val="auto"/>
                      <w:kern w:val="0"/>
                      <w:sz w:val="21"/>
                      <w:szCs w:val="21"/>
                      <w:lang w:val="en-US" w:eastAsia="zh-CN" w:bidi="ar"/>
                    </w:rPr>
                    <w:t>二级保护区：</w:t>
                  </w:r>
                  <w:r>
                    <w:rPr>
                      <w:rFonts w:hint="eastAsia" w:ascii="宋体" w:hAnsi="宋体" w:eastAsia="宋体" w:cs="宋体"/>
                      <w:color w:val="auto"/>
                      <w:kern w:val="0"/>
                      <w:sz w:val="21"/>
                      <w:szCs w:val="21"/>
                      <w:lang w:bidi="ar"/>
                    </w:rPr>
                    <w:t>禁止新建、改建、扩建排放污染物的建设项目；原有排污口依法拆除或者关闭</w:t>
                  </w:r>
                  <w:r>
                    <w:rPr>
                      <w:rFonts w:hint="eastAsia" w:ascii="宋体" w:hAnsi="宋体" w:eastAsia="宋体" w:cs="宋体"/>
                      <w:color w:val="auto"/>
                      <w:kern w:val="0"/>
                      <w:sz w:val="21"/>
                      <w:szCs w:val="21"/>
                      <w:lang w:val="en-US" w:eastAsia="zh-CN" w:bidi="ar"/>
                    </w:rPr>
                    <w:t>；禁止设立装卸垃圾、粪便、油类和有毒物品的码头。</w:t>
                  </w:r>
                </w:p>
              </w:tc>
              <w:tc>
                <w:tcPr>
                  <w:tcW w:w="2544" w:type="dxa"/>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项目不设排污口，不向水体排放污染物，不设立装卸垃圾、粪便、油类和有毒物品的码头。</w:t>
                  </w:r>
                </w:p>
              </w:tc>
              <w:tc>
                <w:tcPr>
                  <w:tcW w:w="703" w:type="dxa"/>
                  <w:gridSpan w:val="2"/>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3</w:t>
                  </w:r>
                </w:p>
              </w:tc>
              <w:tc>
                <w:tcPr>
                  <w:tcW w:w="3906"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准保护区：禁止新建、扩建对水体污染严重的建设项目；改建建设项目，不得增加排污量。</w:t>
                  </w:r>
                </w:p>
              </w:tc>
              <w:tc>
                <w:tcPr>
                  <w:tcW w:w="2544"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项目不新增污染物。</w:t>
                  </w:r>
                </w:p>
              </w:tc>
              <w:tc>
                <w:tcPr>
                  <w:tcW w:w="703" w:type="dxa"/>
                  <w:gridSpan w:val="2"/>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pacing w:val="-2"/>
                      <w:kern w:val="0"/>
                      <w:sz w:val="21"/>
                      <w:szCs w:val="21"/>
                      <w:lang w:val="en-US" w:eastAsia="zh-CN" w:bidi="ar"/>
                    </w:rPr>
                  </w:pPr>
                  <w:r>
                    <w:rPr>
                      <w:rFonts w:hint="eastAsia" w:ascii="Times New Roman" w:hAnsi="Times New Roman" w:eastAsia="宋体" w:cs="Times New Roman"/>
                      <w:color w:val="auto"/>
                      <w:spacing w:val="-2"/>
                      <w:kern w:val="0"/>
                      <w:sz w:val="21"/>
                      <w:szCs w:val="21"/>
                      <w:lang w:val="en-US" w:eastAsia="zh-CN" w:bidi="ar"/>
                    </w:rPr>
                    <w:t>符合</w:t>
                  </w:r>
                </w:p>
              </w:tc>
            </w:tr>
          </w:tbl>
          <w:p>
            <w:pPr>
              <w:widowControl w:val="0"/>
              <w:adjustRightInd w:val="0"/>
              <w:spacing w:line="360" w:lineRule="auto"/>
              <w:ind w:firstLine="472" w:firstLineChars="0"/>
              <w:jc w:val="both"/>
              <w:textAlignment w:val="baseline"/>
              <w:rPr>
                <w:rFonts w:hint="eastAsia" w:ascii="Times New Roman" w:hAnsi="Times New Roman" w:eastAsia="宋体" w:cs="Times New Roman"/>
                <w:color w:val="auto"/>
                <w:spacing w:val="-2"/>
                <w:kern w:val="0"/>
                <w:sz w:val="24"/>
                <w:szCs w:val="24"/>
                <w:lang w:val="en-US" w:eastAsia="zh-CN" w:bidi="ar"/>
              </w:rPr>
            </w:pPr>
            <w:r>
              <w:rPr>
                <w:rFonts w:hint="eastAsia" w:ascii="Times New Roman" w:hAnsi="Times New Roman" w:eastAsia="宋体" w:cs="Times New Roman"/>
                <w:color w:val="auto"/>
                <w:spacing w:val="-2"/>
                <w:kern w:val="2"/>
                <w:sz w:val="24"/>
                <w:szCs w:val="24"/>
                <w:lang w:val="en-US" w:eastAsia="zh-CN" w:bidi="ar-SA"/>
              </w:rPr>
              <w:t>综上，本项目符合</w:t>
            </w:r>
            <w:r>
              <w:rPr>
                <w:rFonts w:hint="eastAsia" w:ascii="Times New Roman" w:hAnsi="Times New Roman" w:eastAsia="宋体" w:cs="Times New Roman"/>
                <w:color w:val="auto"/>
                <w:spacing w:val="-2"/>
                <w:kern w:val="0"/>
                <w:sz w:val="24"/>
                <w:szCs w:val="24"/>
                <w:lang w:val="en-US" w:eastAsia="zh-CN" w:bidi="ar"/>
              </w:rPr>
              <w:t>《饮用水水源保护区污染防治管理规定（2010年修正本）》（原环境保护部令第16号）的相关要求。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72" w:firstLineChars="200"/>
              <w:jc w:val="left"/>
              <w:textAlignment w:val="auto"/>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②与《四川省饮用水水源保护管理条例》的符合性分析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72" w:firstLineChars="200"/>
              <w:jc w:val="left"/>
              <w:textAlignment w:val="auto"/>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t>本项目与《四川省饮用水水源保护管理条例》（</w:t>
            </w:r>
            <w:r>
              <w:rPr>
                <w:rFonts w:hint="default" w:ascii="Times New Roman" w:hAnsi="Times New Roman" w:eastAsia="宋体" w:cs="Times New Roman"/>
                <w:color w:val="auto"/>
                <w:spacing w:val="-2"/>
                <w:kern w:val="2"/>
                <w:sz w:val="24"/>
                <w:szCs w:val="24"/>
                <w:lang w:val="en-US" w:eastAsia="zh-CN" w:bidi="ar-SA"/>
              </w:rPr>
              <w:t>2019</w:t>
            </w:r>
            <w:r>
              <w:rPr>
                <w:rFonts w:hint="eastAsia" w:ascii="Times New Roman" w:hAnsi="Times New Roman" w:eastAsia="宋体" w:cs="Times New Roman"/>
                <w:color w:val="auto"/>
                <w:spacing w:val="-2"/>
                <w:kern w:val="2"/>
                <w:sz w:val="24"/>
                <w:szCs w:val="24"/>
                <w:lang w:val="en-US" w:eastAsia="zh-CN" w:bidi="ar-SA"/>
              </w:rPr>
              <w:t>年</w:t>
            </w:r>
            <w:r>
              <w:rPr>
                <w:rFonts w:hint="default" w:ascii="Times New Roman" w:hAnsi="Times New Roman" w:eastAsia="宋体" w:cs="Times New Roman"/>
                <w:color w:val="auto"/>
                <w:spacing w:val="-2"/>
                <w:kern w:val="2"/>
                <w:sz w:val="24"/>
                <w:szCs w:val="24"/>
                <w:lang w:val="en-US" w:eastAsia="zh-CN" w:bidi="ar-SA"/>
              </w:rPr>
              <w:t>9</w:t>
            </w:r>
            <w:r>
              <w:rPr>
                <w:rFonts w:hint="eastAsia" w:ascii="Times New Roman" w:hAnsi="Times New Roman" w:eastAsia="宋体" w:cs="Times New Roman"/>
                <w:color w:val="auto"/>
                <w:spacing w:val="-2"/>
                <w:kern w:val="2"/>
                <w:sz w:val="24"/>
                <w:szCs w:val="24"/>
                <w:lang w:val="en-US" w:eastAsia="zh-CN" w:bidi="ar-SA"/>
              </w:rPr>
              <w:t>月</w:t>
            </w:r>
            <w:r>
              <w:rPr>
                <w:rFonts w:hint="default" w:ascii="Times New Roman" w:hAnsi="Times New Roman" w:eastAsia="宋体" w:cs="Times New Roman"/>
                <w:color w:val="auto"/>
                <w:spacing w:val="-2"/>
                <w:kern w:val="2"/>
                <w:sz w:val="24"/>
                <w:szCs w:val="24"/>
                <w:lang w:val="en-US" w:eastAsia="zh-CN" w:bidi="ar-SA"/>
              </w:rPr>
              <w:t>26</w:t>
            </w:r>
            <w:r>
              <w:rPr>
                <w:rFonts w:hint="eastAsia" w:ascii="Times New Roman" w:hAnsi="Times New Roman" w:eastAsia="宋体" w:cs="Times New Roman"/>
                <w:color w:val="auto"/>
                <w:spacing w:val="-2"/>
                <w:kern w:val="2"/>
                <w:sz w:val="24"/>
                <w:szCs w:val="24"/>
                <w:lang w:val="en-US" w:eastAsia="zh-CN" w:bidi="ar-SA"/>
              </w:rPr>
              <w:t>日修正）中相关规定的符合性分析见下表。</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表1-</w:t>
            </w:r>
            <w:r>
              <w:rPr>
                <w:rFonts w:hint="eastAsia" w:cs="Times New Roman"/>
                <w:b/>
                <w:color w:val="auto"/>
                <w:sz w:val="21"/>
                <w:szCs w:val="21"/>
                <w:lang w:val="en-US" w:eastAsia="zh-CN"/>
              </w:rPr>
              <w:t>5</w:t>
            </w:r>
            <w:r>
              <w:rPr>
                <w:rFonts w:hint="eastAsia"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项目与《四川省饮用水水源保护管理条例》符合性分析一览表</w:t>
            </w:r>
          </w:p>
          <w:tbl>
            <w:tblPr>
              <w:tblStyle w:val="23"/>
              <w:tblW w:w="7998"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41"/>
              <w:gridCol w:w="3443"/>
              <w:gridCol w:w="2977"/>
              <w:gridCol w:w="93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1"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bCs/>
                      <w:color w:val="auto"/>
                      <w:spacing w:val="0"/>
                      <w:kern w:val="2"/>
                      <w:sz w:val="21"/>
                      <w:szCs w:val="21"/>
                      <w:shd w:val="clear" w:color="auto" w:fill="FFFFFF"/>
                      <w:lang w:val="en-US" w:eastAsia="zh-CN" w:bidi="ar-SA"/>
                    </w:rPr>
                  </w:pPr>
                  <w:r>
                    <w:rPr>
                      <w:rFonts w:hint="eastAsia" w:ascii="Times New Roman" w:hAnsi="Times New Roman" w:eastAsia="宋体" w:cs="Times New Roman"/>
                      <w:b/>
                      <w:bCs/>
                      <w:color w:val="auto"/>
                      <w:spacing w:val="0"/>
                      <w:kern w:val="2"/>
                      <w:sz w:val="21"/>
                      <w:szCs w:val="21"/>
                      <w:shd w:val="clear" w:color="auto" w:fill="FFFFFF"/>
                      <w:lang w:val="en-US" w:eastAsia="zh-CN" w:bidi="ar-SA"/>
                    </w:rPr>
                    <w:t>序号</w:t>
                  </w:r>
                </w:p>
              </w:tc>
              <w:tc>
                <w:tcPr>
                  <w:tcW w:w="3443" w:type="dxa"/>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Helvetica" w:cs="Times New Roman"/>
                      <w:b/>
                      <w:bCs/>
                      <w:color w:val="auto"/>
                      <w:spacing w:val="0"/>
                      <w:kern w:val="2"/>
                      <w:sz w:val="21"/>
                      <w:szCs w:val="21"/>
                      <w:shd w:val="clear" w:color="auto" w:fill="FFFFFF"/>
                      <w:lang w:val="en-US" w:eastAsia="zh-CN" w:bidi="ar-SA"/>
                    </w:rPr>
                  </w:pPr>
                  <w:r>
                    <w:rPr>
                      <w:rFonts w:hint="eastAsia" w:ascii="Times New Roman" w:hAnsi="Times New Roman" w:eastAsia="宋体" w:cs="Times New Roman"/>
                      <w:b/>
                      <w:color w:val="auto"/>
                      <w:spacing w:val="-2"/>
                      <w:kern w:val="2"/>
                      <w:sz w:val="21"/>
                      <w:szCs w:val="21"/>
                      <w:lang w:val="en-US" w:eastAsia="zh-CN" w:bidi="ar-SA"/>
                    </w:rPr>
                    <w:t>与《四川省饮用水水源保护管理条例》</w:t>
                  </w:r>
                </w:p>
              </w:tc>
              <w:tc>
                <w:tcPr>
                  <w:tcW w:w="2977" w:type="dxa"/>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Helvetica" w:cs="Times New Roman"/>
                      <w:b/>
                      <w:bCs/>
                      <w:color w:val="auto"/>
                      <w:spacing w:val="0"/>
                      <w:kern w:val="2"/>
                      <w:sz w:val="21"/>
                      <w:szCs w:val="21"/>
                      <w:shd w:val="clear" w:color="auto" w:fill="FFFFFF"/>
                      <w:lang w:val="en-US" w:eastAsia="zh-CN" w:bidi="ar-SA"/>
                    </w:rPr>
                  </w:pPr>
                  <w:r>
                    <w:rPr>
                      <w:rFonts w:ascii="Times New Roman" w:hAnsi="Times New Roman" w:eastAsia="Helvetica" w:cs="Times New Roman"/>
                      <w:b/>
                      <w:bCs/>
                      <w:color w:val="auto"/>
                      <w:spacing w:val="0"/>
                      <w:kern w:val="2"/>
                      <w:sz w:val="21"/>
                      <w:szCs w:val="21"/>
                      <w:shd w:val="clear" w:color="auto" w:fill="FFFFFF"/>
                      <w:lang w:val="en-US" w:eastAsia="zh-CN" w:bidi="ar-SA"/>
                    </w:rPr>
                    <w:t>本项目情况</w:t>
                  </w:r>
                </w:p>
              </w:tc>
              <w:tc>
                <w:tcPr>
                  <w:tcW w:w="937" w:type="dxa"/>
                  <w:tcBorders>
                    <w:tl2br w:val="nil"/>
                    <w:tr2bl w:val="nil"/>
                  </w:tcBorders>
                  <w:noWrap w:val="0"/>
                  <w:vAlign w:val="center"/>
                </w:tcPr>
                <w:p>
                  <w:pPr>
                    <w:widowControl w:val="0"/>
                    <w:adjustRightInd w:val="0"/>
                    <w:spacing w:line="240" w:lineRule="auto"/>
                    <w:ind w:firstLine="0" w:firstLineChars="0"/>
                    <w:jc w:val="center"/>
                    <w:textAlignment w:val="baseline"/>
                    <w:rPr>
                      <w:rFonts w:ascii="Times New Roman" w:hAnsi="Times New Roman" w:eastAsia="Helvetica" w:cs="Times New Roman"/>
                      <w:b/>
                      <w:bCs/>
                      <w:color w:val="auto"/>
                      <w:spacing w:val="0"/>
                      <w:kern w:val="2"/>
                      <w:sz w:val="21"/>
                      <w:szCs w:val="21"/>
                      <w:shd w:val="clear" w:color="auto" w:fill="FFFFFF"/>
                      <w:lang w:val="en-US" w:eastAsia="zh-CN" w:bidi="ar-SA"/>
                    </w:rPr>
                  </w:pPr>
                  <w:r>
                    <w:rPr>
                      <w:rFonts w:ascii="Times New Roman" w:hAnsi="Times New Roman" w:eastAsia="Helvetica" w:cs="Times New Roman"/>
                      <w:b/>
                      <w:bCs/>
                      <w:color w:val="auto"/>
                      <w:spacing w:val="0"/>
                      <w:kern w:val="2"/>
                      <w:sz w:val="21"/>
                      <w:szCs w:val="21"/>
                      <w:shd w:val="clear" w:color="auto" w:fill="FFFFFF"/>
                      <w:lang w:val="en-US" w:eastAsia="zh-CN" w:bidi="ar-SA"/>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1"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1</w:t>
                  </w:r>
                </w:p>
              </w:tc>
              <w:tc>
                <w:tcPr>
                  <w:tcW w:w="3443" w:type="dxa"/>
                  <w:tcBorders>
                    <w:tl2br w:val="nil"/>
                    <w:tr2bl w:val="nil"/>
                  </w:tcBorders>
                  <w:noWrap w:val="0"/>
                  <w:vAlign w:val="center"/>
                </w:tcPr>
                <w:p>
                  <w:pPr>
                    <w:keepNext w:val="0"/>
                    <w:keepLines w:val="0"/>
                    <w:widowControl/>
                    <w:suppressLineNumbers w:val="0"/>
                    <w:spacing w:line="240" w:lineRule="auto"/>
                    <w:ind w:left="0" w:leftChars="0" w:firstLine="0" w:firstLineChars="0"/>
                    <w:jc w:val="left"/>
                    <w:rPr>
                      <w:rFonts w:hint="eastAsia" w:ascii="Times New Roman" w:hAnsi="Times New Roman" w:eastAsia="宋体" w:cs="Times New Roman"/>
                      <w:b w:val="0"/>
                      <w:bCs w:val="0"/>
                      <w:color w:val="auto"/>
                      <w:sz w:val="21"/>
                      <w:szCs w:val="21"/>
                      <w:lang w:val="en-US" w:eastAsia="zh-CN"/>
                    </w:rPr>
                  </w:pPr>
                  <w:r>
                    <w:rPr>
                      <w:rFonts w:hint="eastAsia" w:ascii="宋体" w:hAnsi="宋体" w:eastAsia="宋体" w:cs="宋体"/>
                      <w:color w:val="auto"/>
                      <w:kern w:val="0"/>
                      <w:sz w:val="21"/>
                      <w:szCs w:val="21"/>
                      <w:lang w:val="en-US" w:eastAsia="zh-CN" w:bidi="ar"/>
                    </w:rPr>
                    <w:t>第十六条 在地表水饮用水水源保护区内，禁止设置排污口。</w:t>
                  </w:r>
                </w:p>
              </w:tc>
              <w:tc>
                <w:tcPr>
                  <w:tcW w:w="2977" w:type="dxa"/>
                  <w:tcBorders>
                    <w:tl2br w:val="nil"/>
                    <w:tr2bl w:val="nil"/>
                  </w:tcBorders>
                  <w:noWrap w:val="0"/>
                  <w:vAlign w:val="center"/>
                </w:tcPr>
                <w:p>
                  <w:pPr>
                    <w:keepNext w:val="0"/>
                    <w:keepLines w:val="0"/>
                    <w:widowControl/>
                    <w:suppressLineNumbers w:val="0"/>
                    <w:spacing w:line="240" w:lineRule="auto"/>
                    <w:ind w:left="0" w:leftChars="0" w:firstLine="0" w:firstLineChars="0"/>
                    <w:jc w:val="left"/>
                    <w:rPr>
                      <w:rFonts w:hint="default" w:ascii="Times New Roman" w:hAnsi="Times New Roman" w:eastAsia="宋体" w:cs="Times New Roman"/>
                      <w:b w:val="0"/>
                      <w:bCs w:val="0"/>
                      <w:color w:val="auto"/>
                      <w:spacing w:val="0"/>
                      <w:sz w:val="21"/>
                      <w:szCs w:val="21"/>
                      <w:shd w:val="clear" w:color="auto" w:fill="FFFFFF"/>
                      <w:lang w:val="en-US" w:eastAsia="zh-CN"/>
                    </w:rPr>
                  </w:pPr>
                  <w:r>
                    <w:rPr>
                      <w:rFonts w:hint="eastAsia" w:ascii="宋体" w:hAnsi="宋体" w:eastAsia="宋体" w:cs="宋体"/>
                      <w:color w:val="auto"/>
                      <w:kern w:val="0"/>
                      <w:sz w:val="21"/>
                      <w:szCs w:val="21"/>
                      <w:lang w:val="en-US" w:eastAsia="zh-CN" w:bidi="ar"/>
                    </w:rPr>
                    <w:t>项目属于</w:t>
                  </w:r>
                  <w:r>
                    <w:rPr>
                      <w:rFonts w:hint="eastAsia" w:ascii="Times New Roman" w:hAnsi="Times New Roman" w:eastAsia="宋体" w:cs="Times New Roman"/>
                      <w:color w:val="auto"/>
                      <w:spacing w:val="-2"/>
                      <w:kern w:val="0"/>
                      <w:sz w:val="21"/>
                      <w:szCs w:val="21"/>
                      <w:lang w:val="en-US" w:eastAsia="zh-CN" w:bidi="ar"/>
                    </w:rPr>
                    <w:t>国家储备林</w:t>
                  </w:r>
                  <w:r>
                    <w:rPr>
                      <w:rFonts w:hint="eastAsia" w:cs="Times New Roman"/>
                      <w:color w:val="auto"/>
                      <w:spacing w:val="-2"/>
                      <w:kern w:val="0"/>
                      <w:sz w:val="21"/>
                      <w:szCs w:val="21"/>
                      <w:lang w:val="en-US" w:eastAsia="zh-CN" w:bidi="ar"/>
                    </w:rPr>
                    <w:t>及基础设施建设</w:t>
                  </w:r>
                  <w:r>
                    <w:rPr>
                      <w:rFonts w:hint="eastAsia" w:ascii="宋体" w:hAnsi="宋体" w:eastAsia="宋体" w:cs="宋体"/>
                      <w:color w:val="auto"/>
                      <w:kern w:val="0"/>
                      <w:sz w:val="21"/>
                      <w:szCs w:val="21"/>
                      <w:lang w:val="en-US" w:eastAsia="zh-CN" w:bidi="ar"/>
                    </w:rPr>
                    <w:t>，不设排污口。</w:t>
                  </w:r>
                </w:p>
              </w:tc>
              <w:tc>
                <w:tcPr>
                  <w:tcW w:w="937"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1"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2</w:t>
                  </w:r>
                </w:p>
              </w:tc>
              <w:tc>
                <w:tcPr>
                  <w:tcW w:w="3443" w:type="dxa"/>
                  <w:tcBorders>
                    <w:tl2br w:val="nil"/>
                    <w:tr2bl w:val="nil"/>
                  </w:tcBorders>
                  <w:noWrap w:val="0"/>
                  <w:vAlign w:val="center"/>
                </w:tcPr>
                <w:p>
                  <w:pPr>
                    <w:keepNext w:val="0"/>
                    <w:keepLines w:val="0"/>
                    <w:widowControl/>
                    <w:suppressLineNumbers w:val="0"/>
                    <w:spacing w:line="240" w:lineRule="auto"/>
                    <w:ind w:left="0" w:leftChars="0" w:firstLine="0" w:firstLineChars="0"/>
                    <w:jc w:val="left"/>
                    <w:rPr>
                      <w:rFonts w:ascii="Times New Roman" w:hAnsi="Times New Roman" w:eastAsia="宋体" w:cs="Times New Roman"/>
                      <w:color w:val="auto"/>
                      <w:sz w:val="21"/>
                    </w:rPr>
                  </w:pPr>
                  <w:r>
                    <w:rPr>
                      <w:rFonts w:hint="eastAsia" w:ascii="宋体" w:hAnsi="宋体" w:eastAsia="宋体" w:cs="宋体"/>
                      <w:color w:val="auto"/>
                      <w:kern w:val="0"/>
                      <w:sz w:val="21"/>
                      <w:szCs w:val="21"/>
                      <w:lang w:val="en-US" w:eastAsia="zh-CN" w:bidi="ar"/>
                    </w:rPr>
                    <w:t>第十七条 地表水饮用水水源准保护区内，应当遵守下列规定：</w:t>
                  </w:r>
                </w:p>
                <w:p>
                  <w:pPr>
                    <w:widowControl w:val="0"/>
                    <w:adjustRightInd w:val="0"/>
                    <w:spacing w:line="240" w:lineRule="auto"/>
                    <w:ind w:firstLine="0" w:firstLineChars="0"/>
                    <w:jc w:val="both"/>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（一）禁止新建、扩建对水体污染严重的建设项目；改建建设项目，不得增加排污量；</w:t>
                  </w:r>
                </w:p>
                <w:p>
                  <w:pPr>
                    <w:widowControl w:val="0"/>
                    <w:adjustRightInd w:val="0"/>
                    <w:spacing w:line="240" w:lineRule="auto"/>
                    <w:ind w:firstLine="0" w:firstLineChars="0"/>
                    <w:jc w:val="both"/>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（二）禁止向水体排放油类、酸液、碱液或者有毒废液；</w:t>
                  </w:r>
                </w:p>
                <w:p>
                  <w:pPr>
                    <w:widowControl w:val="0"/>
                    <w:adjustRightInd w:val="0"/>
                    <w:spacing w:line="240" w:lineRule="auto"/>
                    <w:ind w:firstLine="0" w:firstLineChars="0"/>
                    <w:jc w:val="both"/>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（三）禁止在水体清洗装贮过油类或者有毒污染物的车辆和容器；</w:t>
                  </w:r>
                </w:p>
                <w:p>
                  <w:pPr>
                    <w:widowControl w:val="0"/>
                    <w:adjustRightInd w:val="0"/>
                    <w:spacing w:line="240" w:lineRule="auto"/>
                    <w:ind w:firstLine="0" w:firstLineChars="0"/>
                    <w:jc w:val="both"/>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（四）禁止向水体排放、倾倒废水、含病原体的污水、放射性固体废物；</w:t>
                  </w:r>
                </w:p>
                <w:p>
                  <w:pPr>
                    <w:widowControl w:val="0"/>
                    <w:adjustRightInd w:val="0"/>
                    <w:spacing w:line="240" w:lineRule="auto"/>
                    <w:ind w:firstLine="0" w:firstLineChars="0"/>
                    <w:jc w:val="both"/>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（五）禁止向水体排放、倾倒工业废渣、城镇垃圾和医疗垃圾等其他废弃物；</w:t>
                  </w:r>
                </w:p>
                <w:p>
                  <w:pPr>
                    <w:widowControl w:val="0"/>
                    <w:adjustRightInd w:val="0"/>
                    <w:spacing w:line="240" w:lineRule="auto"/>
                    <w:ind w:firstLine="0" w:firstLineChars="0"/>
                    <w:jc w:val="both"/>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（六）禁止将含有汞、镉、砷、铬、铅、氰化物、黄磷等的可溶性剧毒废渣向水体排放、倾倒或者直接埋入地下；</w:t>
                  </w:r>
                </w:p>
                <w:p>
                  <w:pPr>
                    <w:widowControl w:val="0"/>
                    <w:adjustRightInd w:val="0"/>
                    <w:spacing w:line="240" w:lineRule="auto"/>
                    <w:ind w:firstLine="0" w:firstLineChars="0"/>
                    <w:jc w:val="both"/>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（七）禁止船舶向水体倾倒垃圾或者排放含油污水、生活污水；</w:t>
                  </w:r>
                </w:p>
                <w:p>
                  <w:pPr>
                    <w:widowControl w:val="0"/>
                    <w:adjustRightInd w:val="0"/>
                    <w:spacing w:line="240" w:lineRule="auto"/>
                    <w:ind w:firstLine="0" w:firstLineChars="0"/>
                    <w:jc w:val="both"/>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（八）禁止设置易溶性、有毒有害废弃物和危险废物的暂存和转运场所；禁止设置生活垃圾和工业固体废物的处置场所，生活垃圾转运站和工业固体废物暂存场所应当设置防护设施；</w:t>
                  </w:r>
                </w:p>
                <w:p>
                  <w:pPr>
                    <w:widowControl w:val="0"/>
                    <w:adjustRightInd w:val="0"/>
                    <w:spacing w:line="240" w:lineRule="auto"/>
                    <w:ind w:firstLine="0" w:firstLineChars="0"/>
                    <w:jc w:val="both"/>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九）禁止通行装载剧毒化学品或者危险废物的船舶、车辆。装载其他危险品的船舶、车辆确需驶入饮用水水源保护区内的，应当在驶入该区域的二十四小时前向当地海事管理机构或者公安机关交通管理部门报告，配备防止污染物散落、溢流、渗漏的设施设备，指定专人保障危险品运输安全；</w:t>
                  </w:r>
                </w:p>
                <w:p>
                  <w:pPr>
                    <w:widowControl w:val="0"/>
                    <w:adjustRightInd w:val="0"/>
                    <w:spacing w:line="240" w:lineRule="auto"/>
                    <w:ind w:firstLine="0" w:firstLineChars="0"/>
                    <w:jc w:val="both"/>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（十）禁止进行可能严重影响饮用水水源水质的矿产勘查、开采等活动；</w:t>
                  </w:r>
                </w:p>
                <w:p>
                  <w:pPr>
                    <w:widowControl w:val="0"/>
                    <w:adjustRightInd w:val="0"/>
                    <w:spacing w:line="240" w:lineRule="auto"/>
                    <w:ind w:firstLine="0" w:firstLineChars="0"/>
                    <w:jc w:val="both"/>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（十一）禁止非更新性、非抚育性采伐和破坏饮用水水源涵养林、护岸林和其他植被。</w:t>
                  </w:r>
                </w:p>
              </w:tc>
              <w:tc>
                <w:tcPr>
                  <w:tcW w:w="29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firstLine="0" w:firstLineChars="0"/>
                    <w:jc w:val="both"/>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szCs w:val="21"/>
                      <w:lang w:val="en-US" w:eastAsia="zh-CN" w:bidi="ar"/>
                    </w:rPr>
                    <w:t>1.本项目</w:t>
                  </w:r>
                  <w:r>
                    <w:rPr>
                      <w:rFonts w:hint="eastAsia" w:ascii="Times New Roman" w:hAnsi="Times New Roman" w:eastAsia="宋体" w:cs="Times New Roman"/>
                      <w:color w:val="auto"/>
                      <w:kern w:val="0"/>
                      <w:sz w:val="21"/>
                      <w:szCs w:val="21"/>
                      <w:lang w:val="en-US" w:eastAsia="zh-CN" w:bidi="ar"/>
                    </w:rPr>
                    <w:t>属于</w:t>
                  </w:r>
                  <w:r>
                    <w:rPr>
                      <w:rFonts w:hint="eastAsia" w:ascii="Times New Roman" w:hAnsi="Times New Roman" w:eastAsia="宋体" w:cs="Times New Roman"/>
                      <w:color w:val="auto"/>
                      <w:spacing w:val="-2"/>
                      <w:kern w:val="0"/>
                      <w:sz w:val="21"/>
                      <w:szCs w:val="21"/>
                      <w:lang w:val="en-US" w:eastAsia="zh-CN" w:bidi="ar"/>
                    </w:rPr>
                    <w:t>国家储备林</w:t>
                  </w:r>
                  <w:r>
                    <w:rPr>
                      <w:rFonts w:hint="eastAsia" w:cs="Times New Roman"/>
                      <w:color w:val="auto"/>
                      <w:spacing w:val="-2"/>
                      <w:kern w:val="0"/>
                      <w:sz w:val="21"/>
                      <w:szCs w:val="21"/>
                      <w:lang w:val="en-US" w:eastAsia="zh-CN" w:bidi="ar"/>
                    </w:rPr>
                    <w:t>及基础设施建设</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不属于对水体污染严重的建设项目</w:t>
                  </w:r>
                  <w:r>
                    <w:rPr>
                      <w:rFonts w:hint="eastAsia" w:ascii="Times New Roman" w:hAnsi="Times New Roman" w:eastAsia="宋体" w:cs="Times New Roman"/>
                      <w:color w:val="auto"/>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firstLine="0" w:firstLineChars="0"/>
                    <w:jc w:val="both"/>
                    <w:textAlignment w:val="auto"/>
                    <w:rPr>
                      <w:rFonts w:hint="eastAsia" w:ascii="Times New Roman" w:hAnsi="Times New Roman" w:eastAsia="宋体" w:cs="Times New Roman"/>
                      <w:b w:val="0"/>
                      <w:bCs w:val="0"/>
                      <w:color w:val="auto"/>
                      <w:spacing w:val="0"/>
                      <w:sz w:val="21"/>
                      <w:szCs w:val="21"/>
                      <w:shd w:val="clear" w:color="auto" w:fill="FFFFFF"/>
                      <w:lang w:val="en-US" w:eastAsia="zh-CN"/>
                    </w:rPr>
                  </w:pPr>
                  <w:r>
                    <w:rPr>
                      <w:rFonts w:hint="default" w:ascii="Times New Roman" w:hAnsi="Times New Roman" w:eastAsia="宋体" w:cs="Times New Roman"/>
                      <w:color w:val="auto"/>
                      <w:kern w:val="0"/>
                      <w:sz w:val="21"/>
                      <w:szCs w:val="21"/>
                      <w:lang w:val="en-US" w:eastAsia="zh-CN" w:bidi="ar"/>
                    </w:rPr>
                    <w:t>2.本项目不会向水体排放油类</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酸液、碱液或者有毒废液</w:t>
                  </w:r>
                  <w:r>
                    <w:rPr>
                      <w:rFonts w:hint="eastAsia" w:ascii="Times New Roman" w:hAnsi="Times New Roman" w:eastAsia="宋体" w:cs="Times New Roman"/>
                      <w:b w:val="0"/>
                      <w:bCs w:val="0"/>
                      <w:color w:val="auto"/>
                      <w:spacing w:val="0"/>
                      <w:sz w:val="21"/>
                      <w:szCs w:val="21"/>
                      <w:shd w:val="clear" w:color="auto" w:fill="FFFFFF"/>
                      <w:lang w:val="en-US" w:eastAsia="zh-CN"/>
                    </w:rPr>
                    <w:t>；</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ascii="Times New Roman" w:hAnsi="Times New Roman" w:eastAsia="宋体" w:cs="Times New Roman"/>
                      <w:color w:val="auto"/>
                      <w:sz w:val="21"/>
                    </w:rPr>
                  </w:pPr>
                  <w:r>
                    <w:rPr>
                      <w:rFonts w:hint="eastAsia" w:ascii="Times New Roman" w:hAnsi="Times New Roman" w:eastAsia="宋体" w:cs="Times New Roman"/>
                      <w:b w:val="0"/>
                      <w:bCs w:val="0"/>
                      <w:color w:val="auto"/>
                      <w:spacing w:val="0"/>
                      <w:sz w:val="21"/>
                      <w:szCs w:val="21"/>
                      <w:shd w:val="clear" w:color="auto" w:fill="FFFFFF"/>
                      <w:lang w:val="en-US" w:eastAsia="zh-CN"/>
                    </w:rPr>
                    <w:t>3.</w:t>
                  </w:r>
                  <w:r>
                    <w:rPr>
                      <w:rFonts w:hint="eastAsia" w:ascii="宋体" w:hAnsi="宋体" w:eastAsia="宋体" w:cs="宋体"/>
                      <w:color w:val="auto"/>
                      <w:kern w:val="0"/>
                      <w:sz w:val="21"/>
                      <w:szCs w:val="21"/>
                      <w:lang w:val="en-US" w:eastAsia="zh-CN" w:bidi="ar"/>
                    </w:rPr>
                    <w:t>本项目不会在水体清洗装贮过油类或者有毒污染物的车辆和容器；</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ascii="Times New Roman" w:hAnsi="Times New Roman" w:eastAsia="宋体" w:cs="Times New Roman"/>
                      <w:color w:val="auto"/>
                      <w:sz w:val="21"/>
                    </w:rPr>
                  </w:pPr>
                  <w:r>
                    <w:rPr>
                      <w:rFonts w:hint="eastAsia" w:ascii="Times New Roman" w:hAnsi="Times New Roman" w:eastAsia="宋体" w:cs="Times New Roman"/>
                      <w:b w:val="0"/>
                      <w:bCs w:val="0"/>
                      <w:color w:val="auto"/>
                      <w:spacing w:val="0"/>
                      <w:sz w:val="21"/>
                      <w:szCs w:val="21"/>
                      <w:shd w:val="clear" w:color="auto" w:fill="FFFFFF"/>
                      <w:lang w:val="en-US" w:eastAsia="zh-CN"/>
                    </w:rPr>
                    <w:t>4.</w:t>
                  </w:r>
                  <w:r>
                    <w:rPr>
                      <w:rFonts w:hint="eastAsia" w:ascii="宋体" w:hAnsi="宋体" w:eastAsia="宋体" w:cs="宋体"/>
                      <w:color w:val="auto"/>
                      <w:kern w:val="0"/>
                      <w:sz w:val="21"/>
                      <w:szCs w:val="21"/>
                      <w:lang w:val="en-US" w:eastAsia="zh-CN" w:bidi="ar"/>
                    </w:rPr>
                    <w:t>本项目无含病原体的污水、放射性固体废物；</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ascii="Times New Roman" w:hAnsi="Times New Roman" w:eastAsia="宋体" w:cs="Times New Roman"/>
                      <w:color w:val="auto"/>
                      <w:sz w:val="21"/>
                    </w:rPr>
                  </w:pPr>
                  <w:r>
                    <w:rPr>
                      <w:rFonts w:hint="eastAsia" w:ascii="宋体" w:hAnsi="宋体" w:eastAsia="宋体" w:cs="宋体"/>
                      <w:color w:val="auto"/>
                      <w:kern w:val="0"/>
                      <w:sz w:val="21"/>
                      <w:szCs w:val="21"/>
                      <w:lang w:val="en-US" w:eastAsia="zh-CN" w:bidi="ar"/>
                    </w:rPr>
                    <w:t>5.本项目不会向水体排放、倾倒工业废渣、城镇垃圾和医疗垃圾等其他废弃物；</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6.</w:t>
                  </w:r>
                  <w:r>
                    <w:rPr>
                      <w:rFonts w:hint="eastAsia" w:ascii="宋体" w:hAnsi="宋体" w:eastAsia="宋体" w:cs="宋体"/>
                      <w:color w:val="auto"/>
                      <w:kern w:val="0"/>
                      <w:sz w:val="21"/>
                      <w:szCs w:val="21"/>
                      <w:lang w:val="en-US" w:eastAsia="zh-CN" w:bidi="ar"/>
                    </w:rPr>
                    <w:t>本项目无含有汞、镉、砷、铬、铅、氰化物、黄磷等的可溶性剧毒废渣；</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lang w:val="en-US" w:eastAsia="zh-CN"/>
                    </w:rPr>
                    <w:t>7.</w:t>
                  </w:r>
                  <w:r>
                    <w:rPr>
                      <w:rFonts w:hint="eastAsia" w:ascii="宋体" w:hAnsi="宋体" w:eastAsia="宋体" w:cs="宋体"/>
                      <w:color w:val="auto"/>
                      <w:kern w:val="0"/>
                      <w:sz w:val="21"/>
                      <w:szCs w:val="21"/>
                      <w:lang w:val="en-US" w:eastAsia="zh-CN" w:bidi="ar"/>
                    </w:rPr>
                    <w:t>本项目不涉及船舶，不涉及</w:t>
                  </w:r>
                  <w:r>
                    <w:rPr>
                      <w:rFonts w:hint="eastAsia" w:ascii="Times New Roman" w:hAnsi="Times New Roman" w:eastAsia="宋体" w:cs="Times New Roman"/>
                      <w:b w:val="0"/>
                      <w:bCs w:val="0"/>
                      <w:color w:val="auto"/>
                      <w:sz w:val="21"/>
                      <w:szCs w:val="21"/>
                      <w:lang w:val="en-US" w:eastAsia="zh-CN"/>
                    </w:rPr>
                    <w:t>向水体倾倒垃圾或者排放含油污水、生活污水；</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ascii="Times New Roman" w:hAnsi="Times New Roman" w:eastAsia="宋体" w:cs="Times New Roman"/>
                      <w:color w:val="auto"/>
                      <w:sz w:val="21"/>
                    </w:rPr>
                  </w:pPr>
                  <w:r>
                    <w:rPr>
                      <w:rFonts w:hint="eastAsia" w:ascii="Times New Roman" w:hAnsi="Times New Roman" w:eastAsia="宋体" w:cs="Times New Roman"/>
                      <w:b w:val="0"/>
                      <w:bCs w:val="0"/>
                      <w:color w:val="auto"/>
                      <w:sz w:val="21"/>
                      <w:szCs w:val="21"/>
                      <w:lang w:val="en-US" w:eastAsia="zh-CN"/>
                    </w:rPr>
                    <w:t>8.</w:t>
                  </w:r>
                  <w:r>
                    <w:rPr>
                      <w:rFonts w:hint="eastAsia" w:ascii="宋体" w:hAnsi="宋体" w:eastAsia="宋体" w:cs="宋体"/>
                      <w:color w:val="auto"/>
                      <w:kern w:val="0"/>
                      <w:sz w:val="21"/>
                      <w:szCs w:val="21"/>
                      <w:lang w:val="en-US" w:eastAsia="zh-CN" w:bidi="ar"/>
                    </w:rPr>
                    <w:t>本项目不设置易溶性、有毒有害废弃物和危险废物的暂存和转运场所；不设置生活垃圾和工业固体废物的处置场所；不设置生活垃圾转运站；临时堆土场及弃土场均设有相应的防护设施；</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9.</w:t>
                  </w:r>
                  <w:r>
                    <w:rPr>
                      <w:rFonts w:hint="eastAsia" w:ascii="宋体" w:hAnsi="宋体" w:eastAsia="宋体" w:cs="宋体"/>
                      <w:color w:val="auto"/>
                      <w:kern w:val="0"/>
                      <w:sz w:val="21"/>
                      <w:szCs w:val="21"/>
                      <w:lang w:val="en-US" w:eastAsia="zh-CN" w:bidi="ar"/>
                    </w:rPr>
                    <w:t>本项目不涉及船舶；不会装载剧毒化学品或者危险废物及其他危险品。项目使用的车辆主要运输项目施工期的混凝土等原材料及弃渣，不涉及危险品运输；</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10.</w:t>
                  </w:r>
                  <w:r>
                    <w:rPr>
                      <w:rFonts w:hint="eastAsia" w:ascii="宋体" w:hAnsi="宋体" w:eastAsia="宋体" w:cs="宋体"/>
                      <w:color w:val="auto"/>
                      <w:kern w:val="0"/>
                      <w:sz w:val="21"/>
                      <w:szCs w:val="21"/>
                      <w:lang w:val="en-US" w:eastAsia="zh-CN" w:bidi="ar"/>
                    </w:rPr>
                    <w:t>本项目不会进行矿产勘查、开采等活动。</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hint="default" w:ascii="Times New Roman" w:hAnsi="Times New Roman" w:eastAsia="宋体" w:cs="Times New Roman"/>
                      <w:b w:val="0"/>
                      <w:bCs w:val="0"/>
                      <w:color w:val="auto"/>
                      <w:spacing w:val="0"/>
                      <w:sz w:val="21"/>
                      <w:szCs w:val="21"/>
                      <w:shd w:val="clear" w:color="auto" w:fill="FFFFFF"/>
                      <w:lang w:val="en-US" w:eastAsia="zh-CN"/>
                    </w:rPr>
                  </w:pPr>
                  <w:r>
                    <w:rPr>
                      <w:rFonts w:hint="eastAsia" w:ascii="Times New Roman" w:hAnsi="Times New Roman" w:eastAsia="宋体" w:cs="Times New Roman"/>
                      <w:color w:val="auto"/>
                      <w:sz w:val="21"/>
                      <w:lang w:val="en-US" w:eastAsia="zh-CN"/>
                    </w:rPr>
                    <w:t>11.</w:t>
                  </w:r>
                  <w:r>
                    <w:rPr>
                      <w:rFonts w:hint="eastAsia" w:ascii="宋体" w:hAnsi="宋体" w:eastAsia="宋体" w:cs="宋体"/>
                      <w:color w:val="auto"/>
                      <w:kern w:val="0"/>
                      <w:sz w:val="21"/>
                      <w:szCs w:val="21"/>
                      <w:lang w:val="en-US" w:eastAsia="zh-CN" w:bidi="ar"/>
                    </w:rPr>
                    <w:t>本项目属于</w:t>
                  </w:r>
                  <w:r>
                    <w:rPr>
                      <w:rFonts w:hint="eastAsia" w:ascii="Times New Roman" w:hAnsi="Times New Roman" w:eastAsia="宋体" w:cs="Times New Roman"/>
                      <w:color w:val="auto"/>
                      <w:spacing w:val="-2"/>
                      <w:kern w:val="0"/>
                      <w:sz w:val="21"/>
                      <w:szCs w:val="21"/>
                      <w:lang w:val="en-US" w:eastAsia="zh-CN" w:bidi="ar"/>
                    </w:rPr>
                    <w:t>国家储备林</w:t>
                  </w:r>
                  <w:r>
                    <w:rPr>
                      <w:rFonts w:hint="eastAsia" w:cs="Times New Roman"/>
                      <w:color w:val="auto"/>
                      <w:spacing w:val="-2"/>
                      <w:kern w:val="0"/>
                      <w:sz w:val="21"/>
                      <w:szCs w:val="21"/>
                      <w:lang w:val="en-US" w:eastAsia="zh-CN" w:bidi="ar"/>
                    </w:rPr>
                    <w:t>及基础设施建设</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将进行储备林建设，</w:t>
                  </w:r>
                  <w:r>
                    <w:rPr>
                      <w:rFonts w:hint="eastAsia" w:ascii="宋体" w:hAnsi="宋体" w:eastAsia="宋体" w:cs="宋体"/>
                      <w:color w:val="auto"/>
                      <w:kern w:val="0"/>
                      <w:sz w:val="21"/>
                      <w:szCs w:val="21"/>
                      <w:lang w:val="en-US" w:eastAsia="zh-CN" w:bidi="ar"/>
                    </w:rPr>
                    <w:t>不会</w:t>
                  </w:r>
                  <w:r>
                    <w:rPr>
                      <w:rFonts w:hint="eastAsia" w:ascii="宋体" w:hAnsi="宋体" w:cs="宋体"/>
                      <w:color w:val="auto"/>
                      <w:kern w:val="0"/>
                      <w:sz w:val="21"/>
                      <w:szCs w:val="21"/>
                      <w:lang w:val="en-US" w:eastAsia="zh-CN" w:bidi="ar"/>
                    </w:rPr>
                    <w:t>进行</w:t>
                  </w:r>
                  <w:r>
                    <w:rPr>
                      <w:rFonts w:hint="eastAsia" w:ascii="Times New Roman" w:hAnsi="Times New Roman" w:eastAsia="宋体" w:cs="Times New Roman"/>
                      <w:b w:val="0"/>
                      <w:bCs w:val="0"/>
                      <w:color w:val="auto"/>
                      <w:spacing w:val="-2"/>
                      <w:kern w:val="2"/>
                      <w:sz w:val="21"/>
                      <w:szCs w:val="21"/>
                      <w:lang w:val="en-US" w:eastAsia="zh-CN" w:bidi="ar-SA"/>
                    </w:rPr>
                    <w:t>非更新性、非抚育性采伐</w:t>
                  </w:r>
                  <w:r>
                    <w:rPr>
                      <w:rFonts w:hint="eastAsia" w:ascii="宋体" w:hAnsi="宋体" w:eastAsia="宋体" w:cs="宋体"/>
                      <w:color w:val="auto"/>
                      <w:kern w:val="0"/>
                      <w:sz w:val="21"/>
                      <w:szCs w:val="21"/>
                      <w:lang w:val="en-US" w:eastAsia="zh-CN" w:bidi="ar"/>
                    </w:rPr>
                    <w:t>和破坏饮用水水源涵养林、护岸林和其他植被。</w:t>
                  </w:r>
                </w:p>
              </w:tc>
              <w:tc>
                <w:tcPr>
                  <w:tcW w:w="937"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1"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3</w:t>
                  </w:r>
                </w:p>
              </w:tc>
              <w:tc>
                <w:tcPr>
                  <w:tcW w:w="34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left"/>
                    <w:rPr>
                      <w:rFonts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第十八条 地表水饮用水水源二级保护区内，除遵守本条例第十七条规定外，还应当遵守下列规定：</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left"/>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（一）禁止新建、改建、扩建排放污染物的建设项目；已建成的排放污染物的建设项目，由县级以上地方人民政府责令拆除或者关闭；</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left"/>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（二）禁止从事经营性取土和采石（砂）等活动；</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left"/>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（三）禁止围水造田；</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left"/>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（四）禁止使用农药；禁止丢弃农药、农药包装物或者清洗施药器械；限制使用化肥；</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left"/>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（五）禁止修建墓地；</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left"/>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（六）禁止丢弃及掩埋动物尸体；</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left"/>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（七）禁止从事网箱养殖、施肥养鱼和超标准养殖等污染饮用水水体的活动；</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left"/>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（八）从事旅游等活动的，应当按照规定采取措施，防止污染饮用水水体；</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left"/>
                    <w:textAlignment w:val="baseline"/>
                    <w:rPr>
                      <w:rFonts w:hint="eastAsia" w:ascii="Times New Roman" w:hAnsi="Times New Roman" w:eastAsia="宋体" w:cs="Times New Roman"/>
                      <w:b w:val="0"/>
                      <w:bCs w:val="0"/>
                      <w:color w:val="auto"/>
                      <w:spacing w:val="-2"/>
                      <w:kern w:val="2"/>
                      <w:sz w:val="21"/>
                      <w:szCs w:val="21"/>
                      <w:lang w:val="en-US" w:eastAsia="zh-CN" w:bidi="ar-SA"/>
                    </w:rPr>
                  </w:pPr>
                  <w:r>
                    <w:rPr>
                      <w:rFonts w:hint="eastAsia" w:ascii="Times New Roman" w:hAnsi="Times New Roman" w:eastAsia="宋体" w:cs="Times New Roman"/>
                      <w:b w:val="0"/>
                      <w:bCs w:val="0"/>
                      <w:color w:val="auto"/>
                      <w:spacing w:val="-2"/>
                      <w:kern w:val="2"/>
                      <w:sz w:val="21"/>
                      <w:szCs w:val="21"/>
                      <w:lang w:val="en-US" w:eastAsia="zh-CN" w:bidi="ar-SA"/>
                    </w:rPr>
                    <w:t>（九）道路、桥梁、码头及其他可能威胁饮用水水源安全的设施或者装置，应当设置独立的污染物收集、排放和处理系统及隔离设施。</w:t>
                  </w:r>
                </w:p>
              </w:tc>
              <w:tc>
                <w:tcPr>
                  <w:tcW w:w="2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lang w:val="en-US" w:eastAsia="zh-CN"/>
                    </w:rPr>
                    <w:t>1.本项目</w:t>
                  </w:r>
                  <w:r>
                    <w:rPr>
                      <w:rFonts w:hint="eastAsia" w:cs="Times New Roman"/>
                      <w:color w:val="auto"/>
                      <w:sz w:val="21"/>
                      <w:szCs w:val="21"/>
                      <w:vertAlign w:val="baseline"/>
                      <w:lang w:val="en-US" w:eastAsia="zh-CN"/>
                    </w:rPr>
                    <w:t>储备林及</w:t>
                  </w:r>
                  <w:r>
                    <w:rPr>
                      <w:rFonts w:hint="eastAsia" w:ascii="Times New Roman" w:hAnsi="Times New Roman" w:eastAsia="宋体" w:cs="Times New Roman"/>
                      <w:color w:val="auto"/>
                      <w:sz w:val="21"/>
                      <w:lang w:val="en-US" w:eastAsia="zh-CN"/>
                    </w:rPr>
                    <w:t>赤城湖片区巡护道路</w:t>
                  </w:r>
                  <w:r>
                    <w:rPr>
                      <w:rFonts w:hint="eastAsia" w:ascii="Times New Roman" w:hAnsi="Times New Roman" w:eastAsia="宋体" w:cs="Times New Roman"/>
                      <w:color w:val="auto"/>
                      <w:kern w:val="0"/>
                      <w:sz w:val="21"/>
                      <w:szCs w:val="21"/>
                      <w:lang w:val="en-US" w:eastAsia="zh-CN"/>
                    </w:rPr>
                    <w:t>涉及饮用水源二级保护区</w:t>
                  </w:r>
                  <w:r>
                    <w:rPr>
                      <w:rFonts w:hint="eastAsia" w:cs="Times New Roman"/>
                      <w:color w:val="auto"/>
                      <w:kern w:val="0"/>
                      <w:sz w:val="21"/>
                      <w:szCs w:val="21"/>
                      <w:lang w:val="en-US" w:eastAsia="zh-CN"/>
                    </w:rPr>
                    <w:t>陆域</w:t>
                  </w:r>
                  <w:r>
                    <w:rPr>
                      <w:rFonts w:hint="eastAsia"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lang w:val="en-US" w:eastAsia="zh-CN"/>
                    </w:rPr>
                    <w:t>巡护道路</w:t>
                  </w:r>
                  <w:r>
                    <w:rPr>
                      <w:rFonts w:hint="eastAsia" w:ascii="Times New Roman" w:hAnsi="Times New Roman" w:eastAsia="宋体" w:cs="Times New Roman"/>
                      <w:color w:val="auto"/>
                      <w:kern w:val="2"/>
                      <w:sz w:val="21"/>
                      <w:szCs w:val="24"/>
                      <w:lang w:val="en-US" w:eastAsia="zh-CN" w:bidi="ar-SA"/>
                    </w:rPr>
                    <w:t>不涉水施工，</w:t>
                  </w:r>
                  <w:r>
                    <w:rPr>
                      <w:rFonts w:hint="eastAsia" w:ascii="Times New Roman" w:hAnsi="Times New Roman" w:eastAsia="宋体" w:cs="Times New Roman"/>
                      <w:color w:val="auto"/>
                      <w:sz w:val="21"/>
                      <w:szCs w:val="21"/>
                      <w:vertAlign w:val="baseline"/>
                      <w:lang w:val="en-US" w:eastAsia="zh-CN"/>
                    </w:rPr>
                    <w:t>仅在施工期产生污染物</w:t>
                  </w:r>
                  <w:r>
                    <w:rPr>
                      <w:rFonts w:hint="eastAsia" w:ascii="Times New Roman" w:hAnsi="Times New Roman" w:eastAsia="宋体" w:cs="Times New Roman"/>
                      <w:color w:val="auto"/>
                      <w:kern w:val="2"/>
                      <w:sz w:val="21"/>
                      <w:szCs w:val="24"/>
                      <w:lang w:val="en-US" w:eastAsia="zh-CN" w:bidi="ar-SA"/>
                    </w:rPr>
                    <w:t>；对施工期各类废（污）水、扬尘、废气、噪声、固体废物等提出了防治或处置措施后不会对周围环境和敏感保护目标造成重大不利影响，施工期结束后运营期</w:t>
                  </w:r>
                  <w:r>
                    <w:rPr>
                      <w:rFonts w:hint="eastAsia" w:ascii="Times New Roman" w:hAnsi="Times New Roman" w:eastAsia="宋体" w:cs="Times New Roman"/>
                      <w:color w:val="auto"/>
                      <w:sz w:val="21"/>
                      <w:szCs w:val="21"/>
                      <w:highlight w:val="none"/>
                      <w:u w:val="none"/>
                      <w:lang w:eastAsia="zh-CN"/>
                    </w:rPr>
                    <w:t>不会对区域环境产生不利影响</w:t>
                  </w:r>
                  <w:r>
                    <w:rPr>
                      <w:rFonts w:hint="eastAsia" w:ascii="Times New Roman" w:hAnsi="Times New Roman" w:eastAsia="宋体" w:cs="Times New Roman"/>
                      <w:color w:val="auto"/>
                      <w:kern w:val="2"/>
                      <w:sz w:val="21"/>
                      <w:szCs w:val="24"/>
                      <w:lang w:val="en-US" w:eastAsia="zh-CN" w:bidi="ar-SA"/>
                    </w:rPr>
                    <w:t>；项目</w:t>
                  </w:r>
                  <w:r>
                    <w:rPr>
                      <w:rFonts w:hint="eastAsia" w:ascii="Times New Roman" w:hAnsi="Times New Roman" w:eastAsia="宋体" w:cs="Times New Roman"/>
                      <w:color w:val="auto"/>
                      <w:sz w:val="21"/>
                      <w:szCs w:val="21"/>
                      <w:vertAlign w:val="baseline"/>
                      <w:lang w:val="en-US" w:eastAsia="zh-CN"/>
                    </w:rPr>
                    <w:t>不属于</w:t>
                  </w:r>
                  <w:r>
                    <w:rPr>
                      <w:rFonts w:hint="default" w:ascii="Times New Roman" w:hAnsi="Times New Roman" w:eastAsia="宋体" w:cs="Times New Roman"/>
                      <w:color w:val="auto"/>
                      <w:kern w:val="0"/>
                      <w:sz w:val="21"/>
                      <w:szCs w:val="21"/>
                      <w:lang w:val="en-US" w:eastAsia="zh-CN" w:bidi="ar-SA"/>
                    </w:rPr>
                    <w:t>排放污染物的建设项目</w:t>
                  </w:r>
                  <w:r>
                    <w:rPr>
                      <w:rFonts w:hint="eastAsia" w:ascii="Times New Roman" w:hAnsi="Times New Roman" w:eastAsia="宋体" w:cs="Times New Roman"/>
                      <w:color w:val="auto"/>
                      <w:kern w:val="0"/>
                      <w:sz w:val="21"/>
                      <w:szCs w:val="21"/>
                      <w:lang w:val="en-US" w:eastAsia="zh-CN" w:bidi="ar-SA"/>
                    </w:rPr>
                    <w:t>。</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2.本项目不属于从事经营性取土和采石（砂）等活动；</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3.本项目不涉及围水造田；</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4.本项目</w:t>
                  </w:r>
                  <w:r>
                    <w:rPr>
                      <w:rFonts w:hint="eastAsia" w:cs="Times New Roman"/>
                      <w:color w:val="auto"/>
                      <w:sz w:val="21"/>
                      <w:lang w:val="en-US" w:eastAsia="zh-CN"/>
                    </w:rPr>
                    <w:t>饮用水源保护区范围内</w:t>
                  </w:r>
                  <w:r>
                    <w:rPr>
                      <w:rFonts w:hint="eastAsia" w:ascii="Times New Roman" w:hAnsi="Times New Roman" w:eastAsia="宋体" w:cs="Times New Roman"/>
                      <w:color w:val="auto"/>
                      <w:sz w:val="21"/>
                      <w:lang w:val="en-US" w:eastAsia="zh-CN"/>
                    </w:rPr>
                    <w:t>不</w:t>
                  </w:r>
                  <w:r>
                    <w:rPr>
                      <w:rFonts w:hint="eastAsia" w:cs="Times New Roman"/>
                      <w:color w:val="auto"/>
                      <w:sz w:val="21"/>
                      <w:lang w:val="en-US" w:eastAsia="zh-CN"/>
                    </w:rPr>
                    <w:t>使用</w:t>
                  </w:r>
                  <w:r>
                    <w:rPr>
                      <w:rFonts w:hint="eastAsia" w:ascii="Times New Roman" w:hAnsi="Times New Roman" w:eastAsia="宋体" w:cs="Times New Roman"/>
                      <w:color w:val="auto"/>
                      <w:sz w:val="21"/>
                      <w:lang w:val="en-US" w:eastAsia="zh-CN"/>
                    </w:rPr>
                    <w:t>农药和化肥</w:t>
                  </w:r>
                  <w:r>
                    <w:rPr>
                      <w:rFonts w:hint="eastAsia" w:cs="Times New Roman"/>
                      <w:color w:val="auto"/>
                      <w:sz w:val="21"/>
                      <w:lang w:val="en-US" w:eastAsia="zh-CN"/>
                    </w:rPr>
                    <w:t>，施肥采用环保有机肥，且合理控制施肥量</w:t>
                  </w:r>
                  <w:r>
                    <w:rPr>
                      <w:rFonts w:hint="eastAsia" w:ascii="Times New Roman" w:hAnsi="Times New Roman" w:eastAsia="宋体" w:cs="Times New Roman"/>
                      <w:color w:val="auto"/>
                      <w:sz w:val="21"/>
                      <w:lang w:val="en-US" w:eastAsia="zh-CN"/>
                    </w:rPr>
                    <w:t>；</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5.本项目不涉及修建墓地；</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6.本项目不会产生动物尸体；施工过程中若发现动物尸体，按照相关要求及时清运至指定地点处置；</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7.本项目不涉及网箱养殖、施肥养鱼和超标准养殖等污染饮用水水体的活动；</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8.本项目不涉及旅游等活动；</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both"/>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9.本项目</w:t>
                  </w:r>
                  <w:r>
                    <w:rPr>
                      <w:rFonts w:hint="eastAsia" w:ascii="Times New Roman" w:hAnsi="Times New Roman" w:eastAsia="宋体" w:cs="Times New Roman"/>
                      <w:color w:val="auto"/>
                      <w:kern w:val="2"/>
                      <w:sz w:val="21"/>
                      <w:szCs w:val="24"/>
                      <w:lang w:val="en-US" w:eastAsia="zh-CN" w:bidi="ar-SA"/>
                    </w:rPr>
                    <w:t>对施工期各类废（污）水、扬尘、废气、噪声、固体废物等提出了相应的防治或处置措施</w:t>
                  </w:r>
                  <w:r>
                    <w:rPr>
                      <w:rFonts w:hint="eastAsia" w:ascii="Times New Roman" w:hAnsi="Times New Roman" w:eastAsia="宋体" w:cs="Times New Roman"/>
                      <w:color w:val="auto"/>
                      <w:sz w:val="21"/>
                      <w:lang w:val="en-US" w:eastAsia="zh-CN"/>
                    </w:rPr>
                    <w:t>。</w:t>
                  </w:r>
                </w:p>
              </w:tc>
              <w:tc>
                <w:tcPr>
                  <w:tcW w:w="937"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1" w:type="dxa"/>
                  <w:tcBorders>
                    <w:tl2br w:val="nil"/>
                    <w:tr2bl w:val="nil"/>
                  </w:tcBorders>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4</w:t>
                  </w:r>
                </w:p>
              </w:tc>
              <w:tc>
                <w:tcPr>
                  <w:tcW w:w="34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第十九条 地表水饮用水水源一级保护区内，除遵守本条例第十七条和第十八条规定外，还应当遵守下列规定：</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（一）禁止新建、改建、扩建与供水设施和保护水源无关的建设项目；已建成的与供水设施和保护水源无关的建设项目，由县级以上地方人民政府责令拆除或者关闭；</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（二）禁止使用化肥；</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（三）禁止设置畜禽养殖场；</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（四）禁止与保护水源无关的船舶停靠、装卸；</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（五）禁止在水体清洗机动车辆；</w:t>
                  </w:r>
                </w:p>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（六）禁止从事旅游、游泳、垂钓或者其他污染饮用水水体的活动。</w:t>
                  </w:r>
                </w:p>
              </w:tc>
              <w:tc>
                <w:tcPr>
                  <w:tcW w:w="29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firstLine="0" w:firstLineChars="0"/>
                    <w:jc w:val="left"/>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pacing w:val="-2"/>
                      <w:kern w:val="0"/>
                      <w:sz w:val="21"/>
                      <w:szCs w:val="21"/>
                      <w:lang w:val="en-US" w:eastAsia="zh-CN" w:bidi="ar"/>
                    </w:rPr>
                    <w:t>项目</w:t>
                  </w:r>
                  <w:r>
                    <w:rPr>
                      <w:rFonts w:hint="eastAsia" w:cs="Times New Roman"/>
                      <w:color w:val="auto"/>
                      <w:spacing w:val="-2"/>
                      <w:kern w:val="0"/>
                      <w:sz w:val="21"/>
                      <w:szCs w:val="21"/>
                      <w:lang w:val="en-US" w:eastAsia="zh-CN" w:bidi="ar"/>
                    </w:rPr>
                    <w:t>不涉及</w:t>
                  </w:r>
                  <w:r>
                    <w:rPr>
                      <w:rFonts w:hint="eastAsia" w:ascii="Times New Roman" w:hAnsi="Times New Roman" w:eastAsia="宋体" w:cs="Times New Roman"/>
                      <w:color w:val="auto"/>
                      <w:spacing w:val="-2"/>
                      <w:kern w:val="0"/>
                      <w:sz w:val="21"/>
                      <w:szCs w:val="21"/>
                      <w:lang w:val="en-US" w:eastAsia="zh-CN" w:bidi="ar"/>
                    </w:rPr>
                    <w:t>饮用水源一级保护区。</w:t>
                  </w:r>
                </w:p>
              </w:tc>
              <w:tc>
                <w:tcPr>
                  <w:tcW w:w="937" w:type="dxa"/>
                  <w:tcBorders>
                    <w:tl2br w:val="nil"/>
                    <w:tr2bl w:val="nil"/>
                  </w:tcBorders>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b w:val="0"/>
                      <w:bC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color w:val="auto"/>
                      <w:spacing w:val="0"/>
                      <w:kern w:val="2"/>
                      <w:sz w:val="21"/>
                      <w:szCs w:val="21"/>
                      <w:shd w:val="clear" w:color="auto" w:fill="FFFFFF"/>
                      <w:lang w:val="en-US" w:eastAsia="zh-CN" w:bidi="ar-SA"/>
                    </w:rPr>
                    <w:t>符合</w:t>
                  </w:r>
                </w:p>
              </w:tc>
            </w:tr>
          </w:tbl>
          <w:p>
            <w:pPr>
              <w:autoSpaceDE w:val="0"/>
              <w:autoSpaceDN w:val="0"/>
              <w:adjustRightInd w:val="0"/>
              <w:snapToGrid w:val="0"/>
              <w:jc w:val="both"/>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32"/>
                <w:lang w:val="en-US" w:eastAsia="zh-CN" w:bidi="ar"/>
              </w:rPr>
              <w:t>结合项目地理位置与饮用水源位置关系可知，本项目为</w:t>
            </w:r>
            <w:r>
              <w:rPr>
                <w:rFonts w:hint="eastAsia" w:cs="Times New Roman"/>
                <w:color w:val="auto"/>
                <w:kern w:val="0"/>
                <w:sz w:val="24"/>
                <w:szCs w:val="32"/>
                <w:lang w:val="en-US" w:eastAsia="zh-CN" w:bidi="ar"/>
              </w:rPr>
              <w:t>国家储备林及基础设施建设</w:t>
            </w:r>
            <w:r>
              <w:rPr>
                <w:rFonts w:hint="eastAsia" w:ascii="Times New Roman" w:hAnsi="Times New Roman" w:eastAsia="宋体" w:cs="Times New Roman"/>
                <w:color w:val="auto"/>
                <w:kern w:val="0"/>
                <w:sz w:val="24"/>
                <w:szCs w:val="32"/>
                <w:lang w:val="en-US" w:eastAsia="zh-CN" w:bidi="ar"/>
              </w:rPr>
              <w:t>项目，建设地点部分位于饮用水源二级保护区内</w:t>
            </w:r>
            <w:r>
              <w:rPr>
                <w:rFonts w:hint="eastAsia" w:cs="Times New Roman"/>
                <w:color w:val="auto"/>
                <w:kern w:val="0"/>
                <w:sz w:val="24"/>
                <w:szCs w:val="32"/>
                <w:lang w:val="en-US" w:eastAsia="zh-CN" w:bidi="ar"/>
              </w:rPr>
              <w:t>，主要为储备林及赤城湖巡护步道</w:t>
            </w:r>
            <w:r>
              <w:rPr>
                <w:rFonts w:hint="eastAsia" w:ascii="Times New Roman" w:hAnsi="Times New Roman" w:eastAsia="宋体" w:cs="Times New Roman"/>
                <w:color w:val="auto"/>
                <w:kern w:val="0"/>
                <w:sz w:val="24"/>
                <w:szCs w:val="32"/>
                <w:lang w:val="en-US" w:eastAsia="zh-CN" w:bidi="ar"/>
              </w:rPr>
              <w:t>。项目的建设符合《饮用水水源保护区污染防治管理规定》、《四川省饮用水水源保护管理条例》中的相关规定。</w:t>
            </w:r>
          </w:p>
        </w:tc>
      </w:tr>
    </w:tbl>
    <w:p>
      <w:pPr>
        <w:ind w:left="0" w:leftChars="0" w:firstLine="0" w:firstLineChars="0"/>
        <w:rPr>
          <w:rFonts w:hint="eastAsia"/>
          <w:color w:val="auto"/>
          <w:lang w:val="en-US" w:eastAsia="zh-CN"/>
        </w:rPr>
      </w:pPr>
    </w:p>
    <w:p>
      <w:pPr>
        <w:rPr>
          <w:rFonts w:hint="eastAsia"/>
          <w:color w:val="auto"/>
          <w:lang w:val="en-US" w:eastAsia="zh-CN"/>
        </w:rPr>
        <w:sectPr>
          <w:footerReference r:id="rId4"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3"/>
        <w:tblW w:w="1417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7"/>
        <w:gridCol w:w="136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eastAsia" w:ascii="宋体" w:hAnsi="宋体" w:eastAsia="宋体" w:cs="宋体"/>
                <w:color w:val="auto"/>
                <w:kern w:val="0"/>
                <w:szCs w:val="21"/>
              </w:rPr>
            </w:pPr>
            <w:r>
              <w:rPr>
                <w:rFonts w:hint="eastAsia" w:ascii="宋体" w:hAnsi="宋体" w:cs="宋体"/>
                <w:color w:val="auto"/>
                <w:kern w:val="0"/>
                <w:szCs w:val="21"/>
              </w:rPr>
              <w:t>其他符合性分析</w:t>
            </w:r>
          </w:p>
        </w:tc>
        <w:tc>
          <w:tcPr>
            <w:tcW w:w="13637" w:type="dxa"/>
            <w:tcBorders>
              <w:tl2br w:val="nil"/>
              <w:tr2bl w:val="nil"/>
            </w:tcBorders>
            <w:vAlign w:val="center"/>
          </w:tcPr>
          <w:p>
            <w:pPr>
              <w:spacing w:line="480" w:lineRule="exact"/>
              <w:ind w:firstLine="482" w:firstLineChars="200"/>
              <w:rPr>
                <w:b/>
                <w:color w:val="auto"/>
                <w:sz w:val="24"/>
                <w:szCs w:val="24"/>
                <w:highlight w:val="none"/>
              </w:rPr>
            </w:pPr>
            <w:r>
              <w:rPr>
                <w:rFonts w:hint="default" w:ascii="Times New Roman" w:hAnsi="Times New Roman" w:eastAsia="宋体" w:cs="Times New Roman"/>
                <w:b/>
                <w:bCs/>
                <w:color w:val="auto"/>
                <w:sz w:val="24"/>
                <w:highlight w:val="none"/>
                <w:lang w:val="en-US" w:eastAsia="zh-CN"/>
              </w:rPr>
              <w:t>14、</w:t>
            </w:r>
            <w:r>
              <w:rPr>
                <w:b/>
                <w:color w:val="auto"/>
                <w:sz w:val="24"/>
                <w:szCs w:val="24"/>
                <w:highlight w:val="none"/>
              </w:rPr>
              <w:t>与</w:t>
            </w:r>
            <w:r>
              <w:rPr>
                <w:rFonts w:hint="eastAsia"/>
                <w:b/>
                <w:color w:val="auto"/>
                <w:sz w:val="24"/>
                <w:szCs w:val="24"/>
                <w:highlight w:val="none"/>
              </w:rPr>
              <w:t>《四川省</w:t>
            </w:r>
            <w:r>
              <w:rPr>
                <w:b/>
                <w:color w:val="auto"/>
                <w:sz w:val="24"/>
                <w:szCs w:val="24"/>
                <w:highlight w:val="none"/>
              </w:rPr>
              <w:t>、重庆市长江经济带发展负面清单实施细则</w:t>
            </w:r>
            <w:r>
              <w:rPr>
                <w:rFonts w:hint="eastAsia"/>
                <w:b/>
                <w:color w:val="auto"/>
                <w:sz w:val="24"/>
                <w:szCs w:val="24"/>
                <w:highlight w:val="none"/>
              </w:rPr>
              <w:t>（试行</w:t>
            </w:r>
            <w:r>
              <w:rPr>
                <w:b/>
                <w:color w:val="auto"/>
                <w:sz w:val="24"/>
                <w:szCs w:val="24"/>
                <w:highlight w:val="none"/>
              </w:rPr>
              <w:t>，</w:t>
            </w:r>
            <w:r>
              <w:rPr>
                <w:rFonts w:hint="eastAsia"/>
                <w:b/>
                <w:color w:val="auto"/>
                <w:sz w:val="24"/>
                <w:szCs w:val="24"/>
                <w:highlight w:val="none"/>
              </w:rPr>
              <w:t>2022年</w:t>
            </w:r>
            <w:r>
              <w:rPr>
                <w:b/>
                <w:color w:val="auto"/>
                <w:sz w:val="24"/>
                <w:szCs w:val="24"/>
                <w:highlight w:val="none"/>
              </w:rPr>
              <w:t>版</w:t>
            </w:r>
            <w:r>
              <w:rPr>
                <w:rFonts w:hint="eastAsia"/>
                <w:b/>
                <w:color w:val="auto"/>
                <w:sz w:val="24"/>
                <w:szCs w:val="24"/>
                <w:highlight w:val="none"/>
              </w:rPr>
              <w:t>）》符合</w:t>
            </w:r>
            <w:r>
              <w:rPr>
                <w:b/>
                <w:color w:val="auto"/>
                <w:sz w:val="24"/>
                <w:szCs w:val="24"/>
                <w:highlight w:val="none"/>
              </w:rPr>
              <w:t>性分析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 xml:space="preserve">6 </w:t>
            </w:r>
            <w:r>
              <w:rPr>
                <w:rFonts w:hint="eastAsia" w:ascii="Times New Roman" w:hAnsi="Times New Roman" w:eastAsia="宋体" w:cs="Times New Roman"/>
                <w:b/>
                <w:bCs/>
                <w:color w:val="auto"/>
                <w:sz w:val="21"/>
                <w:szCs w:val="21"/>
                <w:lang w:val="en-US" w:eastAsia="zh-CN"/>
              </w:rPr>
              <w:t>《四川省、重庆市长江经济带发展负面清单实施细则（试行，2022年版）》符合性分析</w:t>
            </w:r>
          </w:p>
          <w:tbl>
            <w:tblPr>
              <w:tblStyle w:val="22"/>
              <w:tblW w:w="13410"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579"/>
              <w:gridCol w:w="8289"/>
              <w:gridCol w:w="3826"/>
              <w:gridCol w:w="71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序号</w:t>
                  </w:r>
                </w:p>
              </w:tc>
              <w:tc>
                <w:tcPr>
                  <w:tcW w:w="828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负面清单</w:t>
                  </w:r>
                </w:p>
              </w:tc>
              <w:tc>
                <w:tcPr>
                  <w:tcW w:w="382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符合性分析</w:t>
                  </w:r>
                </w:p>
              </w:tc>
              <w:tc>
                <w:tcPr>
                  <w:tcW w:w="71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结论</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坚持生态优先、绿色发展的战略定位和“共抓大保护、不搞大开发”的战略导向完善生态环境硬约束机制坚决把最需要管住的岸线、河段等区域管住坚决把产能严重过剩、高能耗高排放、低水平、环境风险突出的产业项目管住。</w:t>
                  </w:r>
                </w:p>
              </w:tc>
              <w:tc>
                <w:tcPr>
                  <w:tcW w:w="382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项目属于国家储备林及基础设施建设项目，有明显的生态环境正效应</w:t>
                  </w:r>
                  <w:r>
                    <w:rPr>
                      <w:rFonts w:hint="eastAsia" w:cs="Times New Roman"/>
                      <w:color w:val="auto"/>
                      <w:sz w:val="21"/>
                      <w:szCs w:val="21"/>
                      <w:highlight w:val="none"/>
                      <w:lang w:eastAsia="zh-CN"/>
                    </w:rPr>
                    <w:t>，</w:t>
                  </w:r>
                  <w:r>
                    <w:rPr>
                      <w:rFonts w:hint="eastAsia" w:ascii="Times New Roman" w:hAnsi="Times New Roman" w:eastAsia="宋体" w:cs="Times New Roman"/>
                      <w:color w:val="auto"/>
                      <w:kern w:val="2"/>
                      <w:sz w:val="21"/>
                      <w:szCs w:val="21"/>
                      <w:highlight w:val="none"/>
                      <w:lang w:val="en-US" w:eastAsia="zh-CN" w:bidi="ar-SA"/>
                    </w:rPr>
                    <w:t>不属于产能严重过剩、高能耗高排放、低水平、环境风险突出的产业项目</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禁止新建、改建和扩建不符合全国港口布局规划以及《四川省内河水运发展规划》《泸州—宜宾—乐山港口群布局规划》《重庆港总体规划（2035年）》等省级港口布局规划及市级港口总体规划的码头项目</w:t>
                  </w:r>
                </w:p>
              </w:tc>
              <w:tc>
                <w:tcPr>
                  <w:tcW w:w="382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项目不</w:t>
                  </w:r>
                  <w:r>
                    <w:rPr>
                      <w:rFonts w:hint="default" w:ascii="Times New Roman" w:hAnsi="Times New Roman" w:eastAsia="宋体" w:cs="Times New Roman"/>
                      <w:color w:val="auto"/>
                      <w:kern w:val="2"/>
                      <w:sz w:val="21"/>
                      <w:szCs w:val="21"/>
                      <w:highlight w:val="none"/>
                      <w:lang w:val="en-US" w:eastAsia="zh-CN" w:bidi="ar-SA"/>
                    </w:rPr>
                    <w:t>属于码头项目</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禁止新建、改建和扩建不符合《长江</w:t>
                  </w:r>
                  <w:r>
                    <w:rPr>
                      <w:rFonts w:hint="eastAsia" w:cs="Times New Roman"/>
                      <w:color w:val="auto"/>
                      <w:kern w:val="2"/>
                      <w:sz w:val="21"/>
                      <w:szCs w:val="21"/>
                      <w:highlight w:val="none"/>
                      <w:lang w:val="en-US" w:eastAsia="zh-CN" w:bidi="ar-SA"/>
                    </w:rPr>
                    <w:t>干线</w:t>
                  </w:r>
                  <w:r>
                    <w:rPr>
                      <w:rFonts w:hint="eastAsia" w:ascii="Times New Roman" w:hAnsi="Times New Roman" w:eastAsia="宋体" w:cs="Times New Roman"/>
                      <w:color w:val="auto"/>
                      <w:kern w:val="2"/>
                      <w:sz w:val="21"/>
                      <w:szCs w:val="21"/>
                      <w:highlight w:val="none"/>
                      <w:lang w:val="en-US" w:eastAsia="zh-CN" w:bidi="ar-SA"/>
                    </w:rPr>
                    <w:t>过江通道布局规划（2020</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2035年）》的过长江通道项目（含桥梁、隧道），国家发展改革委同意过长江通道线位调整的除外</w:t>
                  </w:r>
                </w:p>
              </w:tc>
              <w:tc>
                <w:tcPr>
                  <w:tcW w:w="382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w:t>
                  </w:r>
                  <w:r>
                    <w:rPr>
                      <w:rFonts w:hint="default" w:ascii="Times New Roman" w:hAnsi="Times New Roman" w:eastAsia="宋体" w:cs="Times New Roman"/>
                      <w:color w:val="auto"/>
                      <w:kern w:val="2"/>
                      <w:sz w:val="21"/>
                      <w:szCs w:val="21"/>
                      <w:highlight w:val="none"/>
                      <w:lang w:val="en-US" w:eastAsia="zh-CN" w:bidi="ar-SA"/>
                    </w:rPr>
                    <w:t>不属于过长江通道项目</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禁止在自然保护区核心区、缓冲区的岸线和河段范围内投资建设旅游和生产经营项目自然保护区的内部未分区的，依照核心区和缓冲区的规定管控。</w:t>
                  </w:r>
                </w:p>
              </w:tc>
              <w:tc>
                <w:tcPr>
                  <w:tcW w:w="382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项目选址不涉及自然保护区</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禁止违反风景名胜区规划，在风景名胜区内设立各类开发区在风景名胜区核心景区的岸线和河段范围内建设宾馆招待</w:t>
                  </w:r>
                  <w:r>
                    <w:rPr>
                      <w:rFonts w:hint="eastAsia" w:cs="Times New Roman"/>
                      <w:color w:val="auto"/>
                      <w:kern w:val="2"/>
                      <w:sz w:val="21"/>
                      <w:szCs w:val="21"/>
                      <w:highlight w:val="none"/>
                      <w:lang w:val="en-US" w:eastAsia="zh-CN" w:bidi="ar-SA"/>
                    </w:rPr>
                    <w:t>所培</w:t>
                  </w:r>
                  <w:r>
                    <w:rPr>
                      <w:rFonts w:hint="eastAsia" w:ascii="Times New Roman" w:hAnsi="Times New Roman" w:eastAsia="宋体" w:cs="Times New Roman"/>
                      <w:color w:val="auto"/>
                      <w:kern w:val="2"/>
                      <w:sz w:val="21"/>
                      <w:szCs w:val="21"/>
                      <w:highlight w:val="none"/>
                      <w:lang w:val="en-US" w:eastAsia="zh-CN" w:bidi="ar-SA"/>
                    </w:rPr>
                    <w:t>训中心、疗养院以及与风景名胜资源保护无关的项目</w:t>
                  </w:r>
                </w:p>
              </w:tc>
              <w:tc>
                <w:tcPr>
                  <w:tcW w:w="382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项目选址</w:t>
                  </w:r>
                  <w:r>
                    <w:rPr>
                      <w:rFonts w:hint="default" w:ascii="Times New Roman" w:hAnsi="Times New Roman" w:eastAsia="宋体" w:cs="Times New Roman"/>
                      <w:color w:val="auto"/>
                      <w:kern w:val="2"/>
                      <w:sz w:val="21"/>
                      <w:szCs w:val="21"/>
                      <w:highlight w:val="none"/>
                      <w:lang w:val="en-US" w:eastAsia="zh-CN" w:bidi="ar-SA"/>
                    </w:rPr>
                    <w:t>不涉及</w:t>
                  </w:r>
                  <w:r>
                    <w:rPr>
                      <w:rFonts w:hint="eastAsia" w:ascii="Times New Roman" w:hAnsi="Times New Roman" w:eastAsia="宋体" w:cs="Times New Roman"/>
                      <w:color w:val="auto"/>
                      <w:kern w:val="2"/>
                      <w:sz w:val="21"/>
                      <w:szCs w:val="21"/>
                      <w:highlight w:val="none"/>
                      <w:lang w:val="en-US" w:eastAsia="zh-CN" w:bidi="ar-SA"/>
                    </w:rPr>
                    <w:t>风景名胜区</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禁止在饮用水水源准保护区的岸线和河段范围内新建扩建对水体污染严重的建设项目改建增加排污量的建设项目</w:t>
                  </w:r>
                </w:p>
              </w:tc>
              <w:tc>
                <w:tcPr>
                  <w:tcW w:w="382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项目属于国家储备林及基础设施建设</w:t>
                  </w:r>
                  <w:r>
                    <w:rPr>
                      <w:rFonts w:hint="eastAsia"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，有利于提高山体林草植被覆盖度，</w:t>
                  </w:r>
                  <w:r>
                    <w:rPr>
                      <w:rFonts w:hint="eastAsia" w:cs="Times New Roman"/>
                      <w:color w:val="auto"/>
                      <w:sz w:val="21"/>
                      <w:szCs w:val="21"/>
                      <w:highlight w:val="none"/>
                      <w:lang w:val="en-US" w:eastAsia="zh-CN"/>
                    </w:rPr>
                    <w:t>无</w:t>
                  </w:r>
                  <w:r>
                    <w:rPr>
                      <w:rFonts w:hint="eastAsia" w:ascii="Times New Roman" w:hAnsi="Times New Roman" w:eastAsia="宋体" w:cs="Times New Roman"/>
                      <w:color w:val="auto"/>
                      <w:sz w:val="21"/>
                      <w:szCs w:val="21"/>
                      <w:highlight w:val="none"/>
                      <w:lang w:val="en-US" w:eastAsia="zh-CN"/>
                    </w:rPr>
                    <w:t>废水排放</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饮用水水源二级保护区的岸线和河段范围内除遵守准保护区规定外禁止新建、改建、扩建排放污染物的投资建设项目禁止从事对水体有污染的水产养殖等活动</w:t>
                  </w:r>
                </w:p>
              </w:tc>
              <w:tc>
                <w:tcPr>
                  <w:tcW w:w="382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w:t>
                  </w:r>
                  <w:r>
                    <w:rPr>
                      <w:rFonts w:hint="default" w:ascii="Times New Roman" w:hAnsi="Times New Roman" w:eastAsia="宋体" w:cs="Times New Roman"/>
                      <w:color w:val="auto"/>
                      <w:kern w:val="2"/>
                      <w:sz w:val="21"/>
                      <w:szCs w:val="21"/>
                      <w:highlight w:val="none"/>
                      <w:lang w:val="en-US" w:eastAsia="zh-CN" w:bidi="ar-SA"/>
                    </w:rPr>
                    <w:t>涉及</w:t>
                  </w:r>
                  <w:r>
                    <w:rPr>
                      <w:rFonts w:hint="eastAsia" w:ascii="Times New Roman" w:hAnsi="Times New Roman" w:eastAsia="宋体" w:cs="Times New Roman"/>
                      <w:color w:val="auto"/>
                      <w:kern w:val="2"/>
                      <w:sz w:val="21"/>
                      <w:szCs w:val="21"/>
                      <w:highlight w:val="none"/>
                      <w:lang w:val="en-US" w:eastAsia="zh-CN" w:bidi="ar-SA"/>
                    </w:rPr>
                    <w:t>饮用水</w:t>
                  </w:r>
                  <w:r>
                    <w:rPr>
                      <w:rFonts w:hint="default" w:ascii="Times New Roman" w:hAnsi="Times New Roman" w:eastAsia="宋体" w:cs="Times New Roman"/>
                      <w:color w:val="auto"/>
                      <w:kern w:val="2"/>
                      <w:sz w:val="21"/>
                      <w:szCs w:val="21"/>
                      <w:highlight w:val="none"/>
                      <w:lang w:val="en-US" w:eastAsia="zh-CN" w:bidi="ar-SA"/>
                    </w:rPr>
                    <w:t>水源</w:t>
                  </w:r>
                  <w:r>
                    <w:rPr>
                      <w:rFonts w:hint="eastAsia" w:cs="Times New Roman"/>
                      <w:color w:val="auto"/>
                      <w:kern w:val="2"/>
                      <w:sz w:val="21"/>
                      <w:szCs w:val="21"/>
                      <w:highlight w:val="none"/>
                      <w:lang w:val="en-US" w:eastAsia="zh-CN" w:bidi="ar-SA"/>
                    </w:rPr>
                    <w:t>二级</w:t>
                  </w:r>
                  <w:r>
                    <w:rPr>
                      <w:rFonts w:hint="default" w:ascii="Times New Roman" w:hAnsi="Times New Roman" w:eastAsia="宋体" w:cs="Times New Roman"/>
                      <w:color w:val="auto"/>
                      <w:kern w:val="2"/>
                      <w:sz w:val="21"/>
                      <w:szCs w:val="21"/>
                      <w:highlight w:val="none"/>
                      <w:lang w:val="en-US" w:eastAsia="zh-CN" w:bidi="ar-SA"/>
                    </w:rPr>
                    <w:t>保护区</w:t>
                  </w:r>
                  <w:r>
                    <w:rPr>
                      <w:rFonts w:hint="eastAsia" w:cs="Times New Roman"/>
                      <w:color w:val="auto"/>
                      <w:kern w:val="2"/>
                      <w:sz w:val="21"/>
                      <w:szCs w:val="21"/>
                      <w:highlight w:val="none"/>
                      <w:lang w:val="en-US" w:eastAsia="zh-CN" w:bidi="ar-SA"/>
                    </w:rPr>
                    <w:t>陆域，为国家储备林及巡护道路建设，不属于排放污染物的建设项目，不进行</w:t>
                  </w:r>
                  <w:r>
                    <w:rPr>
                      <w:rFonts w:hint="eastAsia" w:ascii="Times New Roman" w:hAnsi="Times New Roman" w:eastAsia="宋体" w:cs="Times New Roman"/>
                      <w:color w:val="auto"/>
                      <w:kern w:val="2"/>
                      <w:sz w:val="21"/>
                      <w:szCs w:val="21"/>
                      <w:highlight w:val="none"/>
                      <w:lang w:val="en-US" w:eastAsia="zh-CN" w:bidi="ar-SA"/>
                    </w:rPr>
                    <w:t>对水体有污染的</w:t>
                  </w:r>
                  <w:r>
                    <w:rPr>
                      <w:rFonts w:hint="eastAsia" w:cs="Times New Roman"/>
                      <w:color w:val="auto"/>
                      <w:kern w:val="2"/>
                      <w:sz w:val="21"/>
                      <w:szCs w:val="21"/>
                      <w:highlight w:val="none"/>
                      <w:lang w:val="en-US" w:eastAsia="zh-CN" w:bidi="ar-SA"/>
                    </w:rPr>
                    <w:t>水产养殖等活动</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382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项目选址</w:t>
                  </w:r>
                  <w:r>
                    <w:rPr>
                      <w:rFonts w:hint="default" w:ascii="Times New Roman" w:hAnsi="Times New Roman" w:eastAsia="宋体" w:cs="Times New Roman"/>
                      <w:color w:val="auto"/>
                      <w:kern w:val="2"/>
                      <w:sz w:val="21"/>
                      <w:szCs w:val="21"/>
                      <w:highlight w:val="none"/>
                      <w:lang w:val="en-US" w:eastAsia="zh-CN" w:bidi="ar-SA"/>
                    </w:rPr>
                    <w:t>不涉及</w:t>
                  </w:r>
                  <w:r>
                    <w:rPr>
                      <w:rFonts w:hint="eastAsia" w:ascii="Times New Roman" w:hAnsi="Times New Roman" w:eastAsia="宋体" w:cs="Times New Roman"/>
                      <w:color w:val="auto"/>
                      <w:kern w:val="2"/>
                      <w:sz w:val="21"/>
                      <w:szCs w:val="21"/>
                      <w:highlight w:val="none"/>
                      <w:lang w:val="en-US" w:eastAsia="zh-CN" w:bidi="ar-SA"/>
                    </w:rPr>
                    <w:t>饮用水</w:t>
                  </w:r>
                  <w:r>
                    <w:rPr>
                      <w:rFonts w:hint="default" w:ascii="Times New Roman" w:hAnsi="Times New Roman" w:eastAsia="宋体" w:cs="Times New Roman"/>
                      <w:color w:val="auto"/>
                      <w:kern w:val="2"/>
                      <w:sz w:val="21"/>
                      <w:szCs w:val="21"/>
                      <w:highlight w:val="none"/>
                      <w:lang w:val="en-US" w:eastAsia="zh-CN" w:bidi="ar-SA"/>
                    </w:rPr>
                    <w:t>水源</w:t>
                  </w:r>
                  <w:r>
                    <w:rPr>
                      <w:rFonts w:hint="eastAsia" w:cs="Times New Roman"/>
                      <w:color w:val="auto"/>
                      <w:kern w:val="2"/>
                      <w:sz w:val="21"/>
                      <w:szCs w:val="21"/>
                      <w:highlight w:val="none"/>
                      <w:lang w:val="en-US" w:eastAsia="zh-CN" w:bidi="ar-SA"/>
                    </w:rPr>
                    <w:t>一级</w:t>
                  </w:r>
                  <w:r>
                    <w:rPr>
                      <w:rFonts w:hint="default" w:ascii="Times New Roman" w:hAnsi="Times New Roman" w:eastAsia="宋体" w:cs="Times New Roman"/>
                      <w:color w:val="auto"/>
                      <w:kern w:val="2"/>
                      <w:sz w:val="21"/>
                      <w:szCs w:val="21"/>
                      <w:highlight w:val="none"/>
                      <w:lang w:val="en-US" w:eastAsia="zh-CN" w:bidi="ar-SA"/>
                    </w:rPr>
                    <w:t>保护区</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禁止在长江</w:t>
                  </w:r>
                  <w:r>
                    <w:rPr>
                      <w:rFonts w:hint="eastAsia" w:cs="Times New Roman"/>
                      <w:color w:val="auto"/>
                      <w:kern w:val="2"/>
                      <w:sz w:val="21"/>
                      <w:szCs w:val="21"/>
                      <w:highlight w:val="none"/>
                      <w:lang w:val="en-US" w:eastAsia="zh-CN" w:bidi="ar-SA"/>
                    </w:rPr>
                    <w:t>干流</w:t>
                  </w:r>
                  <w:r>
                    <w:rPr>
                      <w:rFonts w:hint="eastAsia" w:ascii="Times New Roman" w:hAnsi="Times New Roman" w:eastAsia="宋体" w:cs="Times New Roman"/>
                      <w:color w:val="auto"/>
                      <w:kern w:val="2"/>
                      <w:sz w:val="21"/>
                      <w:szCs w:val="21"/>
                      <w:highlight w:val="none"/>
                      <w:lang w:val="en-US" w:eastAsia="zh-CN" w:bidi="ar-SA"/>
                    </w:rPr>
                    <w:t>岸</w:t>
                  </w:r>
                  <w:r>
                    <w:rPr>
                      <w:rFonts w:hint="eastAsia" w:cs="Times New Roman"/>
                      <w:color w:val="auto"/>
                      <w:kern w:val="2"/>
                      <w:sz w:val="21"/>
                      <w:szCs w:val="21"/>
                      <w:highlight w:val="none"/>
                      <w:lang w:val="en-US" w:eastAsia="zh-CN" w:bidi="ar-SA"/>
                    </w:rPr>
                    <w:t>线一</w:t>
                  </w:r>
                  <w:r>
                    <w:rPr>
                      <w:rFonts w:hint="eastAsia" w:ascii="Times New Roman" w:hAnsi="Times New Roman" w:eastAsia="宋体" w:cs="Times New Roman"/>
                      <w:color w:val="auto"/>
                      <w:kern w:val="2"/>
                      <w:sz w:val="21"/>
                      <w:szCs w:val="21"/>
                      <w:highlight w:val="none"/>
                      <w:lang w:val="en-US" w:eastAsia="zh-CN" w:bidi="ar-SA"/>
                    </w:rPr>
                    <w:t>公里范围内和重要支流岸线一公里范围内新建、改建扩建尾矿库、冶炼渣库、磷石膏库，以提升安全、生态环境保护水平为目的的改建除外</w:t>
                  </w:r>
                </w:p>
              </w:tc>
              <w:tc>
                <w:tcPr>
                  <w:tcW w:w="3826" w:type="dxa"/>
                  <w:tcBorders>
                    <w:tl2br w:val="nil"/>
                    <w:tr2bl w:val="nil"/>
                  </w:tcBorders>
                  <w:noWrap w:val="0"/>
                  <w:vAlign w:val="center"/>
                </w:tcPr>
                <w:p>
                  <w:pPr>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项目不属于尾矿库、冶炼渣库、磷石膏库等项目</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禁止在合规园区外新建、扩建钢铁、石化、化工、焦化、建材、有色、制浆造纸等高污染项目</w:t>
                  </w:r>
                </w:p>
              </w:tc>
              <w:tc>
                <w:tcPr>
                  <w:tcW w:w="382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项目属于</w:t>
                  </w:r>
                  <w:r>
                    <w:rPr>
                      <w:rFonts w:hint="default" w:ascii="Times New Roman" w:hAnsi="Times New Roman" w:eastAsia="宋体" w:cs="Times New Roman"/>
                      <w:color w:val="auto"/>
                      <w:sz w:val="21"/>
                      <w:szCs w:val="21"/>
                      <w:highlight w:val="none"/>
                      <w:lang w:val="en-US" w:eastAsia="zh-CN"/>
                    </w:rPr>
                    <w:t>国家储备林及基础设施建设</w:t>
                  </w:r>
                  <w:r>
                    <w:rPr>
                      <w:rFonts w:hint="default"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kern w:val="2"/>
                      <w:sz w:val="21"/>
                      <w:szCs w:val="21"/>
                      <w:highlight w:val="none"/>
                      <w:lang w:val="en-US" w:eastAsia="zh-CN" w:bidi="ar-SA"/>
                    </w:rPr>
                    <w:t>不属于高污染项目</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禁止新建、扩建不符合国家石化、现代煤化工等产业布局规划的项目</w:t>
                  </w:r>
                </w:p>
              </w:tc>
              <w:tc>
                <w:tcPr>
                  <w:tcW w:w="382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项目不属于石化、现代煤化工等产业布局规划的项目</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382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w:t>
                  </w:r>
                  <w:r>
                    <w:rPr>
                      <w:rFonts w:hint="default" w:ascii="Times New Roman" w:hAnsi="Times New Roman" w:eastAsia="宋体" w:cs="Times New Roman"/>
                      <w:color w:val="auto"/>
                      <w:kern w:val="2"/>
                      <w:sz w:val="21"/>
                      <w:szCs w:val="21"/>
                      <w:highlight w:val="none"/>
                      <w:lang w:val="en-US" w:eastAsia="zh-CN" w:bidi="ar-SA"/>
                    </w:rPr>
                    <w:t>不属于淘汰</w:t>
                  </w:r>
                  <w:r>
                    <w:rPr>
                      <w:rFonts w:hint="eastAsia" w:ascii="Times New Roman" w:hAnsi="Times New Roman" w:eastAsia="宋体" w:cs="Times New Roman"/>
                      <w:color w:val="auto"/>
                      <w:kern w:val="2"/>
                      <w:sz w:val="21"/>
                      <w:szCs w:val="21"/>
                      <w:highlight w:val="none"/>
                      <w:lang w:val="en-US" w:eastAsia="zh-CN" w:bidi="ar-SA"/>
                    </w:rPr>
                    <w:t>类</w:t>
                  </w:r>
                  <w:r>
                    <w:rPr>
                      <w:rFonts w:hint="default" w:ascii="Times New Roman" w:hAnsi="Times New Roman" w:eastAsia="宋体" w:cs="Times New Roman"/>
                      <w:color w:val="auto"/>
                      <w:kern w:val="2"/>
                      <w:sz w:val="21"/>
                      <w:szCs w:val="21"/>
                      <w:highlight w:val="none"/>
                      <w:lang w:val="en-US" w:eastAsia="zh-CN" w:bidi="ar-SA"/>
                    </w:rPr>
                    <w:t>项目</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禁止新建、扩建不符合国家产能置换要求的严重过剩产能行业的项目对于不符合国家产能置换要求的严重过剩产能行业，不得以其他任何名义任何方式备案新增产能项目</w:t>
                  </w:r>
                </w:p>
              </w:tc>
              <w:tc>
                <w:tcPr>
                  <w:tcW w:w="382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项目不属于严重过剩产能行业的项目</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7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w:t>
                  </w:r>
                </w:p>
              </w:tc>
              <w:tc>
                <w:tcPr>
                  <w:tcW w:w="8289"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禁止新建扩建不符合要求的高耗能、高排放、低水平项目</w:t>
                  </w:r>
                </w:p>
              </w:tc>
              <w:tc>
                <w:tcPr>
                  <w:tcW w:w="382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项目不属于高耗能、高排放、低水平项目</w:t>
                  </w:r>
                </w:p>
              </w:tc>
              <w:tc>
                <w:tcPr>
                  <w:tcW w:w="716" w:type="dxa"/>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bl>
          <w:p>
            <w:pPr>
              <w:bidi w:val="0"/>
              <w:rPr>
                <w:rFonts w:hint="default" w:eastAsia="宋体"/>
                <w:color w:val="auto"/>
                <w:lang w:val="en-US" w:eastAsia="zh-CN"/>
              </w:rPr>
            </w:pPr>
            <w:r>
              <w:rPr>
                <w:rFonts w:hint="eastAsia" w:ascii="Times New Roman" w:hAnsi="Times New Roman" w:eastAsia="宋体" w:cs="Times New Roman"/>
                <w:color w:val="auto"/>
                <w:lang w:val="en-US" w:eastAsia="zh-CN"/>
              </w:rPr>
              <w:t>综上所述，本项目的建设与《四川省、重庆市长江经济带发展负面清单实施细则（试行，2022年版）》相符。</w:t>
            </w:r>
          </w:p>
        </w:tc>
      </w:tr>
    </w:tbl>
    <w:p>
      <w:pPr>
        <w:rPr>
          <w:rFonts w:hint="eastAsia"/>
          <w:color w:val="auto"/>
          <w:lang w:val="en-US" w:eastAsia="zh-CN"/>
        </w:rPr>
      </w:pPr>
    </w:p>
    <w:p>
      <w:pPr>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4"/>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color w:val="auto"/>
          <w:lang w:val="en-US" w:eastAsia="zh-CN"/>
        </w:rPr>
      </w:pPr>
      <w:bookmarkStart w:id="3" w:name="_Toc11301"/>
      <w:r>
        <w:rPr>
          <w:rFonts w:hint="eastAsia"/>
          <w:color w:val="auto"/>
          <w:lang w:val="en-US" w:eastAsia="zh-CN"/>
        </w:rPr>
        <w:t>二、建设内容</w:t>
      </w:r>
      <w:bookmarkEnd w:id="3"/>
    </w:p>
    <w:tbl>
      <w:tblPr>
        <w:tblStyle w:val="23"/>
        <w:tblW w:w="852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29"/>
        <w:gridCol w:w="819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地理位置</w:t>
            </w:r>
          </w:p>
        </w:tc>
        <w:tc>
          <w:tcPr>
            <w:tcW w:w="8193" w:type="dxa"/>
            <w:tcBorders>
              <w:tl2br w:val="nil"/>
              <w:tr2bl w:val="nil"/>
            </w:tcBorders>
            <w:vAlign w:val="center"/>
          </w:tcPr>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项目建设地点位于蓬溪县</w:t>
            </w:r>
            <w:r>
              <w:rPr>
                <w:rFonts w:hint="eastAsia" w:cs="Times New Roman"/>
                <w:color w:val="auto"/>
                <w:lang w:val="en-US" w:eastAsia="zh-CN"/>
              </w:rPr>
              <w:t>文井镇、任隆镇、槐花镇、金桥镇、常乐镇、宝梵镇、吉祥镇、天福镇、大石镇、三凤镇、明月镇、红江镇、赤城镇、蓬南镇、鸣凤镇、新会镇、群利镇、荷叶乡、高升乡19</w:t>
            </w:r>
            <w:r>
              <w:rPr>
                <w:rFonts w:hint="default" w:ascii="Times New Roman" w:hAnsi="Times New Roman" w:eastAsia="宋体" w:cs="Times New Roman"/>
                <w:color w:val="auto"/>
                <w:lang w:val="en-US" w:eastAsia="zh-CN"/>
              </w:rPr>
              <w:t>个乡镇。</w:t>
            </w:r>
          </w:p>
          <w:p>
            <w:pPr>
              <w:bidi w:val="0"/>
              <w:ind w:left="0" w:leftChars="0" w:firstLine="0" w:firstLineChars="0"/>
              <w:rPr>
                <w:color w:val="auto"/>
              </w:rPr>
            </w:pPr>
            <w:r>
              <w:rPr>
                <w:color w:val="auto"/>
              </w:rPr>
              <w:drawing>
                <wp:inline distT="0" distB="0" distL="114300" distR="114300">
                  <wp:extent cx="5062855" cy="7108825"/>
                  <wp:effectExtent l="0" t="0" r="4445" b="1587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3"/>
                          <a:stretch>
                            <a:fillRect/>
                          </a:stretch>
                        </pic:blipFill>
                        <pic:spPr>
                          <a:xfrm>
                            <a:off x="0" y="0"/>
                            <a:ext cx="5062855" cy="7108825"/>
                          </a:xfrm>
                          <a:prstGeom prst="rect">
                            <a:avLst/>
                          </a:prstGeom>
                          <a:noFill/>
                          <a:ln>
                            <a:noFill/>
                          </a:ln>
                        </pic:spPr>
                      </pic:pic>
                    </a:graphicData>
                  </a:graphic>
                </wp:inline>
              </w:drawing>
            </w:r>
          </w:p>
          <w:p>
            <w:pPr>
              <w:bidi w:val="0"/>
              <w:ind w:left="0" w:leftChars="0" w:firstLine="0" w:firstLineChars="0"/>
              <w:jc w:val="center"/>
              <w:rPr>
                <w:rFonts w:hint="default"/>
                <w:b/>
                <w:bCs/>
                <w:color w:val="auto"/>
                <w:sz w:val="21"/>
                <w:szCs w:val="21"/>
                <w:lang w:val="en-US" w:eastAsia="zh-CN"/>
              </w:rPr>
            </w:pPr>
            <w:r>
              <w:rPr>
                <w:rFonts w:hint="eastAsia"/>
                <w:b/>
                <w:bCs/>
                <w:color w:val="auto"/>
                <w:sz w:val="21"/>
                <w:szCs w:val="21"/>
                <w:lang w:val="en-US" w:eastAsia="zh-CN"/>
              </w:rPr>
              <w:t xml:space="preserve">图2-1  </w:t>
            </w:r>
            <w:r>
              <w:rPr>
                <w:rFonts w:hint="default"/>
                <w:b/>
                <w:bCs/>
                <w:color w:val="auto"/>
                <w:sz w:val="21"/>
                <w:szCs w:val="21"/>
                <w:lang w:val="en-US" w:eastAsia="zh-CN"/>
              </w:rPr>
              <w:t>蓬溪县国家储备林建设及森林质量提升项目</w:t>
            </w:r>
            <w:r>
              <w:rPr>
                <w:rFonts w:hint="eastAsia"/>
                <w:b/>
                <w:bCs/>
                <w:color w:val="auto"/>
                <w:sz w:val="21"/>
                <w:szCs w:val="21"/>
                <w:lang w:val="en-US" w:eastAsia="zh-CN"/>
              </w:rPr>
              <w:t>（林业）</w:t>
            </w:r>
            <w:r>
              <w:rPr>
                <w:rFonts w:hint="default"/>
                <w:b/>
                <w:bCs/>
                <w:color w:val="auto"/>
                <w:sz w:val="21"/>
                <w:szCs w:val="21"/>
                <w:lang w:val="en-US" w:eastAsia="zh-CN"/>
              </w:rPr>
              <w:t>位置示意图</w:t>
            </w:r>
          </w:p>
          <w:p>
            <w:pPr>
              <w:bidi w:val="0"/>
              <w:ind w:left="0" w:leftChars="0" w:firstLine="0" w:firstLineChars="0"/>
              <w:jc w:val="center"/>
              <w:rPr>
                <w:color w:val="auto"/>
              </w:rPr>
            </w:pPr>
            <w:r>
              <w:rPr>
                <w:color w:val="auto"/>
              </w:rPr>
              <w:drawing>
                <wp:inline distT="0" distB="0" distL="114300" distR="114300">
                  <wp:extent cx="5091430" cy="3495675"/>
                  <wp:effectExtent l="0" t="0" r="1397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091430" cy="3495675"/>
                          </a:xfrm>
                          <a:prstGeom prst="rect">
                            <a:avLst/>
                          </a:prstGeom>
                          <a:noFill/>
                          <a:ln>
                            <a:noFill/>
                          </a:ln>
                        </pic:spPr>
                      </pic:pic>
                    </a:graphicData>
                  </a:graphic>
                </wp:inline>
              </w:drawing>
            </w:r>
          </w:p>
          <w:p>
            <w:pPr>
              <w:bidi w:val="0"/>
              <w:ind w:left="0" w:leftChars="0" w:firstLine="0" w:firstLineChars="0"/>
              <w:jc w:val="center"/>
              <w:rPr>
                <w:rFonts w:hint="default"/>
                <w:b/>
                <w:bCs/>
                <w:color w:val="auto"/>
                <w:sz w:val="21"/>
                <w:szCs w:val="21"/>
                <w:lang w:val="en-US" w:eastAsia="zh-CN"/>
              </w:rPr>
            </w:pPr>
            <w:r>
              <w:rPr>
                <w:rFonts w:hint="eastAsia"/>
                <w:b/>
                <w:bCs/>
                <w:color w:val="auto"/>
                <w:sz w:val="21"/>
                <w:szCs w:val="21"/>
                <w:lang w:val="en-US" w:eastAsia="zh-CN"/>
              </w:rPr>
              <w:t xml:space="preserve">图2-2  </w:t>
            </w:r>
            <w:r>
              <w:rPr>
                <w:rFonts w:hint="default"/>
                <w:b/>
                <w:bCs/>
                <w:color w:val="auto"/>
                <w:sz w:val="21"/>
                <w:szCs w:val="21"/>
                <w:lang w:val="en-US" w:eastAsia="zh-CN"/>
              </w:rPr>
              <w:t>蓬溪县国家储备林建设及森林质量提升项目</w:t>
            </w:r>
            <w:r>
              <w:rPr>
                <w:rFonts w:hint="eastAsia"/>
                <w:b/>
                <w:bCs/>
                <w:color w:val="auto"/>
                <w:sz w:val="21"/>
                <w:szCs w:val="21"/>
                <w:lang w:val="en-US" w:eastAsia="zh-CN"/>
              </w:rPr>
              <w:t>（道路）</w:t>
            </w:r>
            <w:r>
              <w:rPr>
                <w:rFonts w:hint="default"/>
                <w:b/>
                <w:bCs/>
                <w:color w:val="auto"/>
                <w:sz w:val="21"/>
                <w:szCs w:val="21"/>
                <w:lang w:val="en-US" w:eastAsia="zh-CN"/>
              </w:rPr>
              <w:t>位置示意图</w:t>
            </w:r>
          </w:p>
          <w:p>
            <w:pPr>
              <w:bidi w:val="0"/>
              <w:ind w:left="0" w:leftChars="0" w:firstLine="0" w:firstLineChars="0"/>
              <w:jc w:val="center"/>
              <w:rPr>
                <w:rFonts w:hint="default"/>
                <w:b/>
                <w:bCs/>
                <w:color w:val="auto"/>
                <w:sz w:val="21"/>
                <w:szCs w:val="21"/>
                <w:lang w:val="en-US" w:eastAsia="zh-CN"/>
              </w:rPr>
            </w:pPr>
            <w:r>
              <w:rPr>
                <w:rFonts w:hint="eastAsia" w:ascii="仿宋" w:hAnsi="仿宋" w:eastAsia="仿宋" w:cs="仿宋"/>
                <w:color w:val="auto"/>
                <w:highlight w:val="none"/>
                <w:lang w:eastAsia="zh-CN"/>
              </w:rPr>
              <w:drawing>
                <wp:inline distT="0" distB="0" distL="114300" distR="114300">
                  <wp:extent cx="4098925" cy="4452620"/>
                  <wp:effectExtent l="0" t="0" r="15875" b="5080"/>
                  <wp:docPr id="9" name="图片 9" descr="D:/林勘院/2024年/1蓬溪储备林/微信图片_20240809061223.png微信图片_2024080906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林勘院/2024年/1蓬溪储备林/微信图片_20240809061223.png微信图片_20240809061223"/>
                          <pic:cNvPicPr>
                            <a:picLocks noChangeAspect="1"/>
                          </pic:cNvPicPr>
                        </pic:nvPicPr>
                        <pic:blipFill>
                          <a:blip r:embed="rId15"/>
                          <a:srcRect l="1146" t="6079" r="41240" b="5428"/>
                          <a:stretch>
                            <a:fillRect/>
                          </a:stretch>
                        </pic:blipFill>
                        <pic:spPr>
                          <a:xfrm>
                            <a:off x="0" y="0"/>
                            <a:ext cx="4098925" cy="4452620"/>
                          </a:xfrm>
                          <a:prstGeom prst="rect">
                            <a:avLst/>
                          </a:prstGeom>
                        </pic:spPr>
                      </pic:pic>
                    </a:graphicData>
                  </a:graphic>
                </wp:inline>
              </w:drawing>
            </w:r>
          </w:p>
          <w:p>
            <w:pPr>
              <w:bidi w:val="0"/>
              <w:ind w:left="0" w:leftChars="0" w:firstLine="0" w:firstLineChars="0"/>
              <w:jc w:val="center"/>
              <w:rPr>
                <w:rFonts w:hint="default"/>
                <w:color w:val="auto"/>
                <w:lang w:val="en-US" w:eastAsia="zh-CN"/>
              </w:rPr>
            </w:pPr>
            <w:r>
              <w:rPr>
                <w:rFonts w:hint="eastAsia"/>
                <w:b/>
                <w:bCs/>
                <w:color w:val="auto"/>
                <w:sz w:val="21"/>
                <w:szCs w:val="21"/>
                <w:lang w:val="en-US" w:eastAsia="zh-CN"/>
              </w:rPr>
              <w:t xml:space="preserve">图2-3  </w:t>
            </w:r>
            <w:r>
              <w:rPr>
                <w:rFonts w:hint="default"/>
                <w:b/>
                <w:bCs/>
                <w:color w:val="auto"/>
                <w:sz w:val="21"/>
                <w:szCs w:val="21"/>
                <w:lang w:val="en-US" w:eastAsia="zh-CN"/>
              </w:rPr>
              <w:t>蓬溪县国家储备林建设及森林质量提升项目</w:t>
            </w:r>
            <w:r>
              <w:rPr>
                <w:rFonts w:hint="eastAsia"/>
                <w:b/>
                <w:bCs/>
                <w:color w:val="auto"/>
                <w:sz w:val="21"/>
                <w:szCs w:val="21"/>
                <w:lang w:val="en-US" w:eastAsia="zh-CN"/>
              </w:rPr>
              <w:t>（房建）</w:t>
            </w:r>
            <w:r>
              <w:rPr>
                <w:rFonts w:hint="default"/>
                <w:b/>
                <w:bCs/>
                <w:color w:val="auto"/>
                <w:sz w:val="21"/>
                <w:szCs w:val="21"/>
                <w:lang w:val="en-US" w:eastAsia="zh-CN"/>
              </w:rPr>
              <w:t>位置示意图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3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项目组成及规模</w:t>
            </w:r>
          </w:p>
        </w:tc>
        <w:tc>
          <w:tcPr>
            <w:tcW w:w="8193"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1、项目由来</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木材是世界上四大原材料之一，是国家建设和人民生活不可缺少又难以替代的物资，广泛用于建筑、装饰、交通、能源、军工等国民经济的诸多行业。伴随着全球森林的不断减少，世界各国对森林在国家安全中的作用有了更进一步的认识，对森林保护日益重视，木材已成为越来越重要的战略物资，木材尤其是珍贵木材及其产品的贸易，已成为全球政治、环境外交的核心内容之一。为保障国家木材资源供给安全，国家启动以增加高价值乡土珍稀树种和大径级稀缺资源为重点的国家储备林基地建设。</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蓬溪县</w:t>
            </w:r>
            <w:r>
              <w:rPr>
                <w:rFonts w:hint="default" w:ascii="Times New Roman" w:hAnsi="Times New Roman" w:cs="Times New Roman"/>
                <w:color w:val="auto"/>
                <w:lang w:val="en-US" w:eastAsia="zh-CN"/>
              </w:rPr>
              <w:t>全县宜林山地多，</w:t>
            </w:r>
            <w:r>
              <w:rPr>
                <w:rFonts w:hint="eastAsia" w:cs="Times New Roman"/>
                <w:color w:val="auto"/>
                <w:kern w:val="2"/>
                <w:sz w:val="24"/>
                <w:szCs w:val="24"/>
                <w:highlight w:val="none"/>
                <w:lang w:val="en-US" w:eastAsia="zh-CN" w:bidi="ar-SA"/>
              </w:rPr>
              <w:t>乔木林树种结构单一，单位面积蓄积较低，乔木林龄组结构以幼、中龄林为主，林分纯林多，乔木林密度大，森林生态功能处于中等水平。且</w:t>
            </w:r>
            <w:r>
              <w:rPr>
                <w:rFonts w:hint="eastAsia" w:ascii="Times New Roman" w:hAnsi="Times New Roman" w:cs="Times New Roman"/>
                <w:color w:val="auto"/>
                <w:kern w:val="2"/>
                <w:sz w:val="24"/>
                <w:szCs w:val="24"/>
                <w:lang w:val="en-US" w:eastAsia="zh-CN" w:bidi="ar-SA"/>
              </w:rPr>
              <w:t>蓬溪县城乡建设景观化水平较低，这与人民群众日益增长的物质、文化需求形成了鲜明的矛盾。项目的实施可以有效解决“山水景观未彰显，城市环境质量不高”的问题，既能改善蓬溪县的生态环境，提高森林质量，又能完善区域的各项基础设施，满足市民休闲、康养、体育等各项需求。未来，随着生态本底的逐步向好，现代林业、现代都市农业加速发展，逐步带动近郊旅游、森林康养、体育健身等产业，既为市民提供多样的绿色空间，也能带动蓬溪县的经济融合发展、可持续的发展。</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四川省</w:t>
            </w:r>
            <w:r>
              <w:rPr>
                <w:rFonts w:hint="default" w:ascii="Times New Roman" w:hAnsi="Times New Roman" w:eastAsia="宋体" w:cs="Times New Roman"/>
                <w:color w:val="auto"/>
                <w:kern w:val="2"/>
                <w:sz w:val="24"/>
                <w:szCs w:val="24"/>
                <w:lang w:val="en-US" w:eastAsia="zh-CN" w:bidi="ar-SA"/>
              </w:rPr>
              <w:t>属于国家储备林7大区域的西南适宜地区，是国家储备林建设重要组成省份。根据《国家储备林建设规划（2018</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2035年）》总体布局，</w:t>
            </w:r>
            <w:r>
              <w:rPr>
                <w:rFonts w:hint="eastAsia" w:ascii="Times New Roman" w:hAnsi="Times New Roman" w:cs="Times New Roman"/>
                <w:color w:val="auto"/>
                <w:kern w:val="2"/>
                <w:sz w:val="24"/>
                <w:szCs w:val="24"/>
                <w:lang w:val="en-US" w:eastAsia="zh-CN" w:bidi="ar-SA"/>
              </w:rPr>
              <w:t>蓬溪县在《国家储备林建设规划（2018－2035）》中属于鄂渝川黔大娄山国家储备林建设工程区，该工程片区四川省63个基地县（市、区），建设规模29.28万公顷，在国家储备林建设中具有重要位置</w:t>
            </w:r>
            <w:r>
              <w:rPr>
                <w:rFonts w:hint="default" w:ascii="Times New Roman" w:hAnsi="Times New Roman" w:eastAsia="宋体" w:cs="Times New Roman"/>
                <w:color w:val="auto"/>
                <w:kern w:val="2"/>
                <w:sz w:val="24"/>
                <w:szCs w:val="24"/>
                <w:lang w:val="en-US" w:eastAsia="zh-CN" w:bidi="ar-SA"/>
              </w:rPr>
              <w:t>。</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为了响应国家政策号召，努力发展国家储备林建设，</w:t>
            </w:r>
            <w:r>
              <w:rPr>
                <w:rFonts w:hint="eastAsia" w:ascii="Times New Roman" w:hAnsi="Times New Roman" w:cs="Times New Roman"/>
                <w:color w:val="auto"/>
                <w:kern w:val="2"/>
                <w:sz w:val="24"/>
                <w:szCs w:val="24"/>
                <w:lang w:val="en-US" w:eastAsia="zh-CN" w:bidi="ar-SA"/>
              </w:rPr>
              <w:t>蓬溪博瑞实业有限责任公司决定投资132387.83</w:t>
            </w:r>
            <w:r>
              <w:rPr>
                <w:rFonts w:hint="eastAsia" w:ascii="Times New Roman" w:hAnsi="Times New Roman" w:eastAsia="宋体" w:cs="Times New Roman"/>
                <w:color w:val="auto"/>
                <w:kern w:val="2"/>
                <w:sz w:val="24"/>
                <w:szCs w:val="24"/>
                <w:lang w:val="en-US" w:eastAsia="zh-CN" w:bidi="ar-SA"/>
              </w:rPr>
              <w:t>万元</w:t>
            </w:r>
            <w:r>
              <w:rPr>
                <w:rFonts w:hint="eastAsia" w:ascii="Times New Roman" w:hAnsi="Times New Roman" w:cs="Times New Roman"/>
                <w:color w:val="auto"/>
                <w:kern w:val="2"/>
                <w:sz w:val="24"/>
                <w:szCs w:val="24"/>
                <w:lang w:val="en-US" w:eastAsia="zh-CN" w:bidi="ar-SA"/>
              </w:rPr>
              <w:t>，在蓬溪县文井镇、任隆镇、槐花镇、金桥镇、常乐镇、宝梵镇、吉祥镇、天福镇、大石镇、三凤镇、明月镇、红江镇、赤城镇、蓬南镇、鸣凤镇、新会镇、群利镇、荷叶乡、高升乡19个乡镇建设蓬溪县国家储备林建设及森林质量提升项目。该项目包括林业建设、林业产业建设、基础设施建设等3个部分。</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根据</w:t>
            </w:r>
            <w:r>
              <w:rPr>
                <w:rFonts w:hint="default" w:ascii="Times New Roman" w:hAnsi="Times New Roman" w:eastAsia="宋体" w:cs="Times New Roman"/>
                <w:color w:val="auto"/>
                <w:kern w:val="2"/>
                <w:sz w:val="24"/>
                <w:szCs w:val="24"/>
                <w:lang w:val="en-US" w:eastAsia="zh-CN" w:bidi="ar-SA"/>
              </w:rPr>
              <w:t>《建设项目环境影响评价分类管理名录》（2021年版）规定，本项目</w:t>
            </w:r>
            <w:r>
              <w:rPr>
                <w:rFonts w:hint="eastAsia" w:ascii="Times New Roman" w:hAnsi="Times New Roman" w:cs="Times New Roman"/>
                <w:color w:val="auto"/>
                <w:kern w:val="2"/>
                <w:sz w:val="24"/>
                <w:szCs w:val="24"/>
                <w:lang w:val="en-US" w:eastAsia="zh-CN" w:bidi="ar-SA"/>
              </w:rPr>
              <w:t>林业建设及林下产业</w:t>
            </w:r>
            <w:r>
              <w:rPr>
                <w:rFonts w:hint="default" w:ascii="Times New Roman" w:hAnsi="Times New Roman" w:eastAsia="宋体" w:cs="Times New Roman"/>
                <w:color w:val="auto"/>
                <w:kern w:val="2"/>
                <w:sz w:val="24"/>
                <w:szCs w:val="24"/>
                <w:lang w:val="en-US" w:eastAsia="zh-CN" w:bidi="ar-SA"/>
              </w:rPr>
              <w:t>属于“一、农业01、林业02中的1 农产品基地项目（含药材基地）；2、经济林基地项目”。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表2-1　项目林业建设部分所属环评类别分析表</w:t>
            </w:r>
          </w:p>
          <w:tbl>
            <w:tblPr>
              <w:tblStyle w:val="23"/>
              <w:tblW w:w="7969"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643"/>
              <w:gridCol w:w="902"/>
              <w:gridCol w:w="1334"/>
              <w:gridCol w:w="934"/>
              <w:gridCol w:w="261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18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环评类别</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项目类别</w:t>
                  </w:r>
                </w:p>
              </w:tc>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报告书</w:t>
                  </w:r>
                </w:p>
              </w:tc>
              <w:tc>
                <w:tcPr>
                  <w:tcW w:w="1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报告表</w:t>
                  </w:r>
                </w:p>
              </w:tc>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登记表</w:t>
                  </w:r>
                </w:p>
              </w:tc>
              <w:tc>
                <w:tcPr>
                  <w:tcW w:w="26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环境敏感区含义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969" w:type="dxa"/>
                  <w:gridSpan w:val="6"/>
                  <w:tcBorders>
                    <w:tl2br w:val="nil"/>
                    <w:tr2bl w:val="nil"/>
                  </w:tcBorders>
                  <w:noWrap w:val="0"/>
                  <w:vAlign w:val="center"/>
                </w:tcPr>
                <w:p>
                  <w:pPr>
                    <w:keepNext w:val="0"/>
                    <w:keepLines w:val="0"/>
                    <w:widowControl/>
                    <w:suppressLineNumbers w:val="0"/>
                    <w:spacing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一、农业01、林业02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5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6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农产品基地项目（含药材基地）</w:t>
                  </w:r>
                </w:p>
              </w:tc>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kern w:val="0"/>
                      <w:sz w:val="21"/>
                      <w:szCs w:val="21"/>
                      <w:lang w:val="en-US" w:eastAsia="zh-CN" w:bidi="ar"/>
                    </w:rPr>
                    <w:t>涉及环境敏感区的</w:t>
                  </w:r>
                </w:p>
              </w:tc>
              <w:tc>
                <w:tcPr>
                  <w:tcW w:w="9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w:t>
                  </w:r>
                </w:p>
              </w:tc>
              <w:tc>
                <w:tcPr>
                  <w:tcW w:w="26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第三条（一）中的全部区域；第三条（二）中的除（一）外的生态保护红线管控范围，基本草原、重要湿地，水土流失重点预防区和重点治理区</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54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164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经济林基地项目</w:t>
                  </w:r>
                </w:p>
              </w:tc>
              <w:tc>
                <w:tcPr>
                  <w:tcW w:w="90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33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原料林基地</w:t>
                  </w:r>
                </w:p>
              </w:tc>
              <w:tc>
                <w:tcPr>
                  <w:tcW w:w="93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其他</w:t>
                  </w:r>
                </w:p>
              </w:tc>
              <w:tc>
                <w:tcPr>
                  <w:tcW w:w="26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bl>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本项目为国家储备林建设，林下产业涉及水土流失重点预防区和重点治理区，因此，均应编制环境影响报告表。</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项目基础建设中的林区</w:t>
            </w:r>
            <w:r>
              <w:rPr>
                <w:rFonts w:hint="eastAsia" w:ascii="Times New Roman" w:hAnsi="Times New Roman" w:cs="Times New Roman"/>
                <w:color w:val="auto"/>
                <w:kern w:val="2"/>
                <w:sz w:val="24"/>
                <w:szCs w:val="24"/>
                <w:lang w:val="en-US" w:eastAsia="zh-CN" w:bidi="ar-SA"/>
              </w:rPr>
              <w:t>巡护道路及生产便道</w:t>
            </w:r>
            <w:r>
              <w:rPr>
                <w:rFonts w:hint="eastAsia" w:ascii="Times New Roman" w:hAnsi="Times New Roman" w:eastAsia="宋体" w:cs="Times New Roman"/>
                <w:color w:val="auto"/>
                <w:kern w:val="2"/>
                <w:sz w:val="24"/>
                <w:szCs w:val="24"/>
                <w:lang w:val="en-US" w:eastAsia="zh-CN" w:bidi="ar-SA"/>
              </w:rPr>
              <w:t>采用林区防火专用道路</w:t>
            </w:r>
            <w:r>
              <w:rPr>
                <w:rFonts w:hint="eastAsia" w:ascii="Times New Roman" w:hAnsi="Times New Roman" w:cs="Times New Roman"/>
                <w:color w:val="auto"/>
                <w:kern w:val="2"/>
                <w:sz w:val="24"/>
                <w:szCs w:val="24"/>
                <w:lang w:val="en-US" w:eastAsia="zh-CN" w:bidi="ar-SA"/>
              </w:rPr>
              <w:t>及林区公路</w:t>
            </w:r>
            <w:r>
              <w:rPr>
                <w:rFonts w:hint="eastAsia" w:ascii="Times New Roman" w:hAnsi="Times New Roman" w:eastAsia="宋体" w:cs="Times New Roman"/>
                <w:color w:val="auto"/>
                <w:kern w:val="2"/>
                <w:sz w:val="24"/>
                <w:szCs w:val="24"/>
                <w:lang w:val="en-US" w:eastAsia="zh-CN" w:bidi="ar-SA"/>
              </w:rPr>
              <w:t>标准建设，巡山步道采用巡护道路技术标准建设，均不属于等级公路。</w:t>
            </w:r>
            <w:r>
              <w:rPr>
                <w:rFonts w:hint="eastAsia" w:ascii="Times New Roman" w:hAnsi="Times New Roman" w:cs="Times New Roman"/>
                <w:color w:val="auto"/>
                <w:kern w:val="2"/>
                <w:sz w:val="24"/>
                <w:szCs w:val="24"/>
                <w:lang w:val="en-US" w:eastAsia="zh-CN" w:bidi="ar-SA"/>
              </w:rPr>
              <w:t>生产服务设施中</w:t>
            </w:r>
            <w:r>
              <w:rPr>
                <w:rFonts w:hint="eastAsia" w:ascii="Times New Roman" w:hAnsi="Times New Roman" w:eastAsia="宋体" w:cs="Times New Roman"/>
                <w:color w:val="auto"/>
                <w:kern w:val="2"/>
                <w:sz w:val="24"/>
                <w:szCs w:val="24"/>
                <w:lang w:val="en-US" w:eastAsia="zh-CN" w:bidi="ar-SA"/>
              </w:rPr>
              <w:t>新建生态停车场</w:t>
            </w:r>
            <w:r>
              <w:rPr>
                <w:rFonts w:hint="eastAsia" w:ascii="Times New Roman" w:hAnsi="Times New Roman" w:cs="Times New Roman"/>
                <w:color w:val="auto"/>
                <w:kern w:val="2"/>
                <w:sz w:val="24"/>
                <w:szCs w:val="24"/>
                <w:lang w:val="en-US" w:eastAsia="zh-CN" w:bidi="ar-SA"/>
              </w:rPr>
              <w:t>停车位最多不超过50个</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均</w:t>
            </w:r>
            <w:r>
              <w:rPr>
                <w:rFonts w:hint="eastAsia" w:ascii="Times New Roman" w:hAnsi="Times New Roman" w:eastAsia="宋体" w:cs="Times New Roman"/>
                <w:color w:val="auto"/>
                <w:kern w:val="2"/>
                <w:sz w:val="24"/>
                <w:szCs w:val="24"/>
                <w:lang w:val="en-US" w:eastAsia="zh-CN" w:bidi="ar-SA"/>
              </w:rPr>
              <w:t>不属于大型停车场，无需办理环评手续。</w:t>
            </w:r>
            <w:r>
              <w:rPr>
                <w:rFonts w:hint="eastAsia" w:ascii="Times New Roman" w:hAnsi="Times New Roman" w:cs="Times New Roman"/>
                <w:color w:val="auto"/>
                <w:kern w:val="2"/>
                <w:sz w:val="24"/>
                <w:szCs w:val="24"/>
                <w:lang w:val="en-US" w:eastAsia="zh-CN" w:bidi="ar-SA"/>
              </w:rPr>
              <w:t>晒坝、堆料场、转运场、防火瞭望台、塔、管理用房等均</w:t>
            </w:r>
            <w:r>
              <w:rPr>
                <w:rFonts w:hint="eastAsia" w:ascii="Times New Roman" w:hAnsi="Times New Roman" w:eastAsia="宋体" w:cs="Times New Roman"/>
                <w:color w:val="auto"/>
                <w:kern w:val="2"/>
                <w:sz w:val="24"/>
                <w:szCs w:val="24"/>
                <w:lang w:val="en-US" w:eastAsia="zh-CN" w:bidi="ar-SA"/>
              </w:rPr>
              <w:t>无需办理环评手续。</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w:t>
            </w:r>
            <w:r>
              <w:rPr>
                <w:rFonts w:hint="default" w:ascii="Times New Roman" w:hAnsi="Times New Roman" w:eastAsia="宋体" w:cs="Times New Roman"/>
                <w:color w:val="auto"/>
                <w:kern w:val="2"/>
                <w:sz w:val="24"/>
                <w:szCs w:val="24"/>
                <w:lang w:val="en-US" w:eastAsia="zh-CN" w:bidi="ar-SA"/>
              </w:rPr>
              <w:t>建设项目环境影响评价分类管理名录</w:t>
            </w:r>
            <w:r>
              <w:rPr>
                <w:rFonts w:hint="eastAsia" w:ascii="Times New Roman" w:hAnsi="Times New Roman" w:eastAsia="宋体" w:cs="Times New Roman"/>
                <w:color w:val="auto"/>
                <w:kern w:val="2"/>
                <w:sz w:val="24"/>
                <w:szCs w:val="24"/>
                <w:lang w:val="en-US" w:eastAsia="zh-CN" w:bidi="ar-SA"/>
              </w:rPr>
              <w:t>（2021版）》，</w:t>
            </w:r>
            <w:r>
              <w:rPr>
                <w:rFonts w:hint="default" w:ascii="Times New Roman" w:hAnsi="Times New Roman" w:eastAsia="宋体" w:cs="Times New Roman"/>
                <w:color w:val="auto"/>
                <w:kern w:val="2"/>
                <w:sz w:val="24"/>
                <w:szCs w:val="24"/>
                <w:lang w:val="en-US" w:eastAsia="zh-CN" w:bidi="ar-SA"/>
              </w:rPr>
              <w:t>建设内容涉及本名录中两个及以上项目类别的建设项目，其环</w:t>
            </w:r>
            <w:r>
              <w:rPr>
                <w:rFonts w:hint="eastAsia" w:ascii="Times New Roman" w:hAnsi="Times New Roman" w:eastAsia="宋体" w:cs="Times New Roman"/>
                <w:color w:val="auto"/>
                <w:kern w:val="2"/>
                <w:sz w:val="24"/>
                <w:szCs w:val="24"/>
                <w:lang w:val="en-US" w:eastAsia="zh-CN" w:bidi="ar-SA"/>
              </w:rPr>
              <w:t>境影响评价类别按照其中单项最高的确定，</w:t>
            </w:r>
            <w:r>
              <w:rPr>
                <w:rFonts w:hint="eastAsia" w:ascii="Times New Roman" w:hAnsi="Times New Roman" w:cs="Times New Roman"/>
                <w:color w:val="auto"/>
                <w:kern w:val="2"/>
                <w:sz w:val="24"/>
                <w:szCs w:val="24"/>
                <w:lang w:val="en-US" w:eastAsia="zh-CN" w:bidi="ar-SA"/>
              </w:rPr>
              <w:t>综上，</w:t>
            </w:r>
            <w:r>
              <w:rPr>
                <w:rFonts w:hint="eastAsia" w:ascii="Times New Roman" w:hAnsi="Times New Roman" w:eastAsia="宋体" w:cs="Times New Roman"/>
                <w:color w:val="auto"/>
                <w:kern w:val="2"/>
                <w:sz w:val="24"/>
                <w:szCs w:val="24"/>
                <w:lang w:val="en-US" w:eastAsia="zh-CN" w:bidi="ar-SA"/>
              </w:rPr>
              <w:t>本项目应编制环境影响报告表。</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因此，</w:t>
            </w:r>
            <w:r>
              <w:rPr>
                <w:rFonts w:hint="eastAsia" w:ascii="Times New Roman" w:hAnsi="Times New Roman" w:cs="Times New Roman"/>
                <w:color w:val="auto"/>
                <w:kern w:val="2"/>
                <w:sz w:val="24"/>
                <w:szCs w:val="24"/>
                <w:lang w:val="en-US" w:eastAsia="zh-CN" w:bidi="ar-SA"/>
              </w:rPr>
              <w:t>蓬溪博瑞实业有限责任公司</w:t>
            </w:r>
            <w:r>
              <w:rPr>
                <w:rFonts w:hint="default" w:ascii="Times New Roman" w:hAnsi="Times New Roman" w:eastAsia="宋体" w:cs="Times New Roman"/>
                <w:color w:val="auto"/>
                <w:kern w:val="2"/>
                <w:sz w:val="24"/>
                <w:szCs w:val="24"/>
                <w:lang w:val="en-US" w:eastAsia="zh-CN" w:bidi="ar-SA"/>
              </w:rPr>
              <w:t>委托我公司承担该项目环境影响报告表的编制。接受委托后，我单位</w:t>
            </w:r>
            <w:r>
              <w:rPr>
                <w:color w:val="auto"/>
                <w:sz w:val="24"/>
              </w:rPr>
              <w:t>通过现场踏勘、资料收集及整理等工作，并在对有关环境现状和可能产生的环境影响进行分析的基础上，按照国家建设项目环境影响报告表的编制说明和环评技术规范要求，编制完成</w:t>
            </w:r>
            <w:r>
              <w:rPr>
                <w:rFonts w:hint="eastAsia"/>
                <w:color w:val="auto"/>
                <w:sz w:val="24"/>
                <w:lang w:val="en-US" w:eastAsia="zh-CN"/>
              </w:rPr>
              <w:t>本</w:t>
            </w:r>
            <w:r>
              <w:rPr>
                <w:color w:val="auto"/>
                <w:sz w:val="24"/>
              </w:rPr>
              <w:t>环境影响报告表</w:t>
            </w:r>
            <w:r>
              <w:rPr>
                <w:rFonts w:hint="default" w:ascii="Times New Roman" w:hAnsi="Times New Roman" w:eastAsia="宋体" w:cs="Times New Roman"/>
                <w:color w:val="auto"/>
                <w:kern w:val="2"/>
                <w:sz w:val="24"/>
                <w:szCs w:val="24"/>
                <w:lang w:val="en-US" w:eastAsia="zh-CN" w:bidi="ar-SA"/>
              </w:rPr>
              <w:t>。</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2、项目概况</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项目名称：</w:t>
            </w:r>
            <w:r>
              <w:rPr>
                <w:rFonts w:hint="eastAsia" w:ascii="Times New Roman" w:hAnsi="Times New Roman" w:cs="Times New Roman"/>
                <w:color w:val="auto"/>
                <w:kern w:val="2"/>
                <w:sz w:val="24"/>
                <w:szCs w:val="24"/>
                <w:lang w:val="en-US" w:eastAsia="zh-CN" w:bidi="ar-SA"/>
              </w:rPr>
              <w:t>四川省蓬溪县国家储备林建设项目</w:t>
            </w:r>
          </w:p>
          <w:p>
            <w:pPr>
              <w:pStyle w:val="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建设性质：新建</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建设单位：</w:t>
            </w:r>
            <w:r>
              <w:rPr>
                <w:rFonts w:hint="eastAsia" w:ascii="Times New Roman" w:hAnsi="Times New Roman" w:cs="Times New Roman"/>
                <w:color w:val="auto"/>
                <w:kern w:val="2"/>
                <w:sz w:val="24"/>
                <w:szCs w:val="24"/>
                <w:lang w:val="en-US" w:eastAsia="zh-CN" w:bidi="ar-SA"/>
              </w:rPr>
              <w:t>蓬溪博瑞实业有限责任公司</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项目总投资：</w:t>
            </w:r>
            <w:r>
              <w:rPr>
                <w:rFonts w:hint="eastAsia" w:ascii="Times New Roman" w:hAnsi="Times New Roman" w:cs="Times New Roman"/>
                <w:color w:val="auto"/>
                <w:kern w:val="2"/>
                <w:sz w:val="24"/>
                <w:szCs w:val="24"/>
                <w:lang w:val="en-US" w:eastAsia="zh-CN" w:bidi="ar-SA"/>
              </w:rPr>
              <w:t>132387.83</w:t>
            </w:r>
            <w:r>
              <w:rPr>
                <w:rFonts w:hint="default" w:ascii="Times New Roman" w:hAnsi="Times New Roman" w:eastAsia="宋体" w:cs="Times New Roman"/>
                <w:color w:val="auto"/>
                <w:kern w:val="2"/>
                <w:sz w:val="24"/>
                <w:szCs w:val="24"/>
                <w:lang w:val="en-US" w:eastAsia="zh-CN" w:bidi="ar-SA"/>
              </w:rPr>
              <w:t>万元</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3、项目建设规模</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项目建设内容包括林业建设、林业产业建设、基础设施建设等3个部分，其中：</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（1）林业建设</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营造林工程总面积106596.78亩，其中：集约人工林栽培7552.5亩，占营造林工程总面积7.1%；中幼龄林抚育65502.67亩，占总面积61.4%；现有林改培33541.61亩，占总面积31.5%；</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（2）林业产业</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林业产业（林下经济）面积6000亩，其中，林菌种植1000.06亩，占林业产业面积16.67%，主要发展球盖菇、羊肚菌等菌类；林药种植4999.94亩，占林业产业面积83.33%，主要发展白芷、白芨、苦参、黄精、菊花、苍耳、半夏、艾草、葛根、苦参等林下药材类。</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（3）基础设施建设</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基础设施部分主要由管护用房、晒坝、停车场、瞭望台、瞭望塔、消防水池、灌溉及道路部分组成。</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其中：管护用房总建筑面积13779.38平方米；晒坝总面积为940平方米；生态停车场总面积为5757.3平方米；瞭望台共15个，总面积为2404.92平方米；瞭望塔共12个；消防水池13个；灌溉2.2公里。生产便道路线长度13.281km，巡护道路路线长度43.372km。</w:t>
            </w:r>
          </w:p>
          <w:p>
            <w:pPr>
              <w:pStyle w:val="66"/>
              <w:ind w:firstLine="480" w:firstLineChars="200"/>
              <w:rPr>
                <w:rFonts w:ascii="Times New Roman" w:hAnsi="Times New Roman" w:cs="Times New Roman"/>
                <w:b w:val="0"/>
                <w:bCs w:val="0"/>
                <w:color w:val="auto"/>
              </w:rPr>
            </w:pPr>
            <w:r>
              <w:rPr>
                <w:rFonts w:ascii="Times New Roman" w:hAnsi="Times New Roman" w:cs="Times New Roman"/>
                <w:b w:val="0"/>
                <w:bCs w:val="0"/>
                <w:color w:val="auto"/>
              </w:rPr>
              <w:t>项目建设内容主要为主体工程、辅助工程、公用工程及环保工程。</w:t>
            </w:r>
          </w:p>
          <w:p>
            <w:pPr>
              <w:snapToGrid w:val="0"/>
              <w:spacing w:line="360" w:lineRule="auto"/>
              <w:jc w:val="center"/>
              <w:rPr>
                <w:b/>
                <w:bCs/>
                <w:color w:val="auto"/>
                <w:sz w:val="21"/>
                <w:szCs w:val="21"/>
              </w:rPr>
            </w:pPr>
            <w:r>
              <w:rPr>
                <w:b/>
                <w:bCs/>
                <w:color w:val="auto"/>
                <w:sz w:val="21"/>
                <w:szCs w:val="21"/>
              </w:rPr>
              <w:t>表2-</w:t>
            </w:r>
            <w:r>
              <w:rPr>
                <w:rFonts w:hint="eastAsia"/>
                <w:b/>
                <w:bCs/>
                <w:color w:val="auto"/>
                <w:sz w:val="21"/>
                <w:szCs w:val="21"/>
                <w:lang w:val="en-US" w:eastAsia="zh-CN"/>
              </w:rPr>
              <w:t>2</w:t>
            </w:r>
            <w:r>
              <w:rPr>
                <w:b/>
                <w:bCs/>
                <w:color w:val="auto"/>
                <w:sz w:val="21"/>
                <w:szCs w:val="21"/>
              </w:rPr>
              <w:t xml:space="preserve">  项目组成</w:t>
            </w:r>
            <w:r>
              <w:rPr>
                <w:rFonts w:hint="eastAsia"/>
                <w:b/>
                <w:bCs/>
                <w:color w:val="auto"/>
                <w:sz w:val="21"/>
                <w:szCs w:val="21"/>
                <w:lang w:val="en-US" w:eastAsia="zh-CN"/>
              </w:rPr>
              <w:t>及主要环境问题</w:t>
            </w:r>
            <w:r>
              <w:rPr>
                <w:b/>
                <w:bCs/>
                <w:color w:val="auto"/>
                <w:sz w:val="21"/>
                <w:szCs w:val="21"/>
              </w:rPr>
              <w:t>一览表</w:t>
            </w:r>
          </w:p>
          <w:tbl>
            <w:tblPr>
              <w:tblStyle w:val="22"/>
              <w:tblW w:w="7966"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17"/>
              <w:gridCol w:w="892"/>
              <w:gridCol w:w="4722"/>
              <w:gridCol w:w="878"/>
              <w:gridCol w:w="8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625" w:hRule="atLeast"/>
                <w:jc w:val="center"/>
              </w:trPr>
              <w:tc>
                <w:tcPr>
                  <w:tcW w:w="61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工程分类</w:t>
                  </w:r>
                </w:p>
              </w:tc>
              <w:tc>
                <w:tcPr>
                  <w:tcW w:w="89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项目</w:t>
                  </w:r>
                  <w:r>
                    <w:rPr>
                      <w:rFonts w:hint="eastAsia" w:ascii="Times New Roman" w:hAnsi="Times New Roman" w:cs="Times New Roman"/>
                      <w:b/>
                      <w:bCs/>
                      <w:color w:val="auto"/>
                      <w:sz w:val="21"/>
                      <w:szCs w:val="21"/>
                      <w:lang w:val="en-US" w:eastAsia="zh-CN"/>
                    </w:rPr>
                    <w:t>名称</w:t>
                  </w:r>
                </w:p>
              </w:tc>
              <w:tc>
                <w:tcPr>
                  <w:tcW w:w="472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建设内容</w:t>
                  </w:r>
                </w:p>
              </w:tc>
              <w:tc>
                <w:tcPr>
                  <w:tcW w:w="1735"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可能产生的环境问题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69" w:hRule="atLeast"/>
                <w:jc w:val="center"/>
              </w:trPr>
              <w:tc>
                <w:tcPr>
                  <w:tcW w:w="617"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89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47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878" w:type="dxa"/>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施工期</w:t>
                  </w:r>
                </w:p>
              </w:tc>
              <w:tc>
                <w:tcPr>
                  <w:tcW w:w="857" w:type="dxa"/>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运营期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1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主体工程</w:t>
                  </w: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林业建设</w:t>
                  </w:r>
                </w:p>
              </w:tc>
              <w:tc>
                <w:tcPr>
                  <w:tcW w:w="4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color w:val="auto"/>
                      <w:sz w:val="21"/>
                      <w:szCs w:val="21"/>
                      <w:lang w:val="en-US"/>
                    </w:rPr>
                    <w:t>营造林工程总面积106596.78亩，其中：集约人工林栽培7552.5亩，占营造林工程总面积7.1%；中幼龄林抚育65502.67亩，占总面积61.4%；现有林改培33541.61亩，占总面积31.5%</w:t>
                  </w:r>
                </w:p>
              </w:tc>
              <w:tc>
                <w:tcPr>
                  <w:tcW w:w="878"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施工扬尘、施工废水、噪声、建筑弃渣、生活垃圾、水土流失</w:t>
                  </w:r>
                </w:p>
              </w:tc>
              <w:tc>
                <w:tcPr>
                  <w:tcW w:w="85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废气、噪声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1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林业产业</w:t>
                  </w:r>
                </w:p>
              </w:tc>
              <w:tc>
                <w:tcPr>
                  <w:tcW w:w="4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林业产业（林下经济）面积6000亩，其中，林菌种植1000.06亩，占林业产业面积16.67%，主要发展球盖菇、羊肚菌等菌类；林药种植4999.94亩，占林业产业面积83.33%，主要发展白芷、白芨、苦参、黄精、菊花、苍耳、半夏、艾草、葛根、苦参等林下药材类。</w:t>
                  </w:r>
                </w:p>
              </w:tc>
              <w:tc>
                <w:tcPr>
                  <w:tcW w:w="878"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85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废气、噪声、水土流失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74" w:hRule="atLeast"/>
                <w:jc w:val="center"/>
              </w:trPr>
              <w:tc>
                <w:tcPr>
                  <w:tcW w:w="61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基础设施</w:t>
                  </w:r>
                  <w:r>
                    <w:rPr>
                      <w:rFonts w:hint="eastAsia" w:ascii="Times New Roman" w:hAnsi="Times New Roman" w:cs="Times New Roman"/>
                      <w:b w:val="0"/>
                      <w:bCs w:val="0"/>
                      <w:color w:val="auto"/>
                      <w:sz w:val="21"/>
                      <w:szCs w:val="21"/>
                      <w:lang w:val="en-US" w:eastAsia="zh-CN"/>
                    </w:rPr>
                    <w:t>道路</w:t>
                  </w:r>
                  <w:r>
                    <w:rPr>
                      <w:rFonts w:hint="default" w:ascii="Times New Roman" w:hAnsi="Times New Roman" w:eastAsia="宋体" w:cs="Times New Roman"/>
                      <w:b w:val="0"/>
                      <w:bCs w:val="0"/>
                      <w:color w:val="auto"/>
                      <w:sz w:val="21"/>
                      <w:szCs w:val="21"/>
                      <w:lang w:val="en-US" w:eastAsia="zh-CN"/>
                    </w:rPr>
                    <w:t>建设</w:t>
                  </w:r>
                </w:p>
              </w:tc>
              <w:tc>
                <w:tcPr>
                  <w:tcW w:w="4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管护用房总建筑面积13779.38平方米；晒坝总面积为940平方米；生态停车场总面积为5757.3平方米；瞭望台共15个，总面积为2404.92平方米；瞭望塔共12个；消防水池13个；</w:t>
                  </w:r>
                  <w:r>
                    <w:rPr>
                      <w:rFonts w:hint="eastAsia" w:cs="Times New Roman"/>
                      <w:b w:val="0"/>
                      <w:bCs w:val="0"/>
                      <w:color w:val="auto"/>
                      <w:sz w:val="21"/>
                      <w:szCs w:val="21"/>
                      <w:lang w:val="en-US" w:eastAsia="zh-CN"/>
                    </w:rPr>
                    <w:t>灌溉2.2公里</w:t>
                  </w:r>
                  <w:r>
                    <w:rPr>
                      <w:rFonts w:hint="default" w:ascii="Times New Roman" w:hAnsi="Times New Roman" w:eastAsia="宋体" w:cs="Times New Roman"/>
                      <w:b w:val="0"/>
                      <w:bCs w:val="0"/>
                      <w:color w:val="auto"/>
                      <w:sz w:val="21"/>
                      <w:szCs w:val="21"/>
                      <w:lang w:val="en-US" w:eastAsia="zh-CN"/>
                    </w:rPr>
                    <w:t>。</w:t>
                  </w:r>
                </w:p>
              </w:tc>
              <w:tc>
                <w:tcPr>
                  <w:tcW w:w="878"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85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固废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17"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基础设施</w:t>
                  </w:r>
                  <w:r>
                    <w:rPr>
                      <w:rFonts w:hint="eastAsia" w:ascii="Times New Roman" w:hAnsi="Times New Roman" w:cs="Times New Roman"/>
                      <w:b w:val="0"/>
                      <w:bCs w:val="0"/>
                      <w:color w:val="auto"/>
                      <w:sz w:val="21"/>
                      <w:szCs w:val="21"/>
                      <w:lang w:val="en-US" w:eastAsia="zh-CN"/>
                    </w:rPr>
                    <w:t>房建</w:t>
                  </w:r>
                  <w:r>
                    <w:rPr>
                      <w:rFonts w:hint="default" w:ascii="Times New Roman" w:hAnsi="Times New Roman" w:eastAsia="宋体" w:cs="Times New Roman"/>
                      <w:b w:val="0"/>
                      <w:bCs w:val="0"/>
                      <w:color w:val="auto"/>
                      <w:sz w:val="21"/>
                      <w:szCs w:val="21"/>
                      <w:lang w:val="en-US" w:eastAsia="zh-CN"/>
                    </w:rPr>
                    <w:t>建设</w:t>
                  </w:r>
                </w:p>
              </w:tc>
              <w:tc>
                <w:tcPr>
                  <w:tcW w:w="4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生产便道路线长度13.281km，巡护道路路线长度43.372km。</w:t>
                  </w:r>
                </w:p>
              </w:tc>
              <w:tc>
                <w:tcPr>
                  <w:tcW w:w="878"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85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废水、固废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1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辅助工程</w:t>
                  </w: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施工营地</w:t>
                  </w:r>
                </w:p>
              </w:tc>
              <w:tc>
                <w:tcPr>
                  <w:tcW w:w="4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项目不设置施工营地</w:t>
                  </w:r>
                  <w:r>
                    <w:rPr>
                      <w:rFonts w:hint="eastAsia" w:cs="Times New Roman"/>
                      <w:b w:val="0"/>
                      <w:bCs w:val="0"/>
                      <w:color w:val="auto"/>
                      <w:sz w:val="21"/>
                      <w:szCs w:val="21"/>
                      <w:lang w:val="en-US" w:eastAsia="zh-CN"/>
                    </w:rPr>
                    <w:t>，施工人员多为当地居民</w:t>
                  </w:r>
                </w:p>
              </w:tc>
              <w:tc>
                <w:tcPr>
                  <w:tcW w:w="878"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85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1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取、弃土场</w:t>
                  </w:r>
                </w:p>
              </w:tc>
              <w:tc>
                <w:tcPr>
                  <w:tcW w:w="4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根据主体设计土石方及实际情况，本项目建设期土石方开挖总量</w:t>
                  </w:r>
                  <w:r>
                    <w:rPr>
                      <w:rFonts w:hint="eastAsia" w:cs="Times New Roman"/>
                      <w:b w:val="0"/>
                      <w:bCs w:val="0"/>
                      <w:color w:val="auto"/>
                      <w:sz w:val="21"/>
                      <w:szCs w:val="21"/>
                      <w:lang w:val="en-US" w:eastAsia="zh-CN"/>
                    </w:rPr>
                    <w:t>277.23</w:t>
                  </w:r>
                  <w:r>
                    <w:rPr>
                      <w:rFonts w:hint="default" w:cs="Times New Roman"/>
                      <w:b w:val="0"/>
                      <w:bCs w:val="0"/>
                      <w:color w:val="auto"/>
                      <w:sz w:val="21"/>
                      <w:szCs w:val="21"/>
                      <w:lang w:val="en-US" w:eastAsia="zh-CN"/>
                    </w:rPr>
                    <w:t>万m³（含表土剥离</w:t>
                  </w:r>
                  <w:r>
                    <w:rPr>
                      <w:rFonts w:hint="eastAsia" w:cs="Times New Roman"/>
                      <w:b w:val="0"/>
                      <w:bCs w:val="0"/>
                      <w:color w:val="auto"/>
                      <w:sz w:val="21"/>
                      <w:szCs w:val="21"/>
                      <w:lang w:val="en-US" w:eastAsia="zh-CN"/>
                    </w:rPr>
                    <w:t>1.20</w:t>
                  </w:r>
                  <w:r>
                    <w:rPr>
                      <w:rFonts w:hint="default" w:cs="Times New Roman"/>
                      <w:b w:val="0"/>
                      <w:bCs w:val="0"/>
                      <w:color w:val="auto"/>
                      <w:sz w:val="21"/>
                      <w:szCs w:val="21"/>
                      <w:lang w:val="en-US" w:eastAsia="zh-CN"/>
                    </w:rPr>
                    <w:t>万m³），回填土石方总量</w:t>
                  </w:r>
                  <w:r>
                    <w:rPr>
                      <w:rFonts w:hint="eastAsia" w:cs="Times New Roman"/>
                      <w:b w:val="0"/>
                      <w:bCs w:val="0"/>
                      <w:color w:val="auto"/>
                      <w:sz w:val="21"/>
                      <w:szCs w:val="21"/>
                      <w:lang w:val="en-US" w:eastAsia="zh-CN"/>
                    </w:rPr>
                    <w:t>277.23</w:t>
                  </w:r>
                  <w:r>
                    <w:rPr>
                      <w:rFonts w:hint="default" w:cs="Times New Roman"/>
                      <w:b w:val="0"/>
                      <w:bCs w:val="0"/>
                      <w:color w:val="auto"/>
                      <w:sz w:val="21"/>
                      <w:szCs w:val="21"/>
                      <w:lang w:val="en-US" w:eastAsia="zh-CN"/>
                    </w:rPr>
                    <w:t>万m³（含表土回覆</w:t>
                  </w:r>
                  <w:r>
                    <w:rPr>
                      <w:rFonts w:hint="eastAsia" w:cs="Times New Roman"/>
                      <w:b w:val="0"/>
                      <w:bCs w:val="0"/>
                      <w:color w:val="auto"/>
                      <w:sz w:val="21"/>
                      <w:szCs w:val="21"/>
                      <w:lang w:val="en-US" w:eastAsia="zh-CN"/>
                    </w:rPr>
                    <w:t>1.20</w:t>
                  </w:r>
                  <w:r>
                    <w:rPr>
                      <w:rFonts w:hint="default" w:cs="Times New Roman"/>
                      <w:b w:val="0"/>
                      <w:bCs w:val="0"/>
                      <w:color w:val="auto"/>
                      <w:sz w:val="21"/>
                      <w:szCs w:val="21"/>
                      <w:lang w:val="en-US" w:eastAsia="zh-CN"/>
                    </w:rPr>
                    <w:t>万m³）。通过建设区域综合利用后，</w:t>
                  </w:r>
                  <w:r>
                    <w:rPr>
                      <w:rFonts w:hint="eastAsia" w:cs="Times New Roman"/>
                      <w:b w:val="0"/>
                      <w:bCs w:val="0"/>
                      <w:color w:val="auto"/>
                      <w:sz w:val="21"/>
                      <w:szCs w:val="21"/>
                      <w:lang w:val="en-US" w:eastAsia="zh-CN"/>
                    </w:rPr>
                    <w:t>本项目无弃方产生，不需外购表土，因此，项目建设无需设置取土场和弃渣场</w:t>
                  </w:r>
                  <w:r>
                    <w:rPr>
                      <w:rFonts w:hint="default" w:cs="Times New Roman"/>
                      <w:b w:val="0"/>
                      <w:bCs w:val="0"/>
                      <w:color w:val="auto"/>
                      <w:sz w:val="21"/>
                      <w:szCs w:val="21"/>
                      <w:lang w:val="en-US" w:eastAsia="zh-CN"/>
                    </w:rPr>
                    <w:t>。</w:t>
                  </w:r>
                </w:p>
              </w:tc>
              <w:tc>
                <w:tcPr>
                  <w:tcW w:w="878"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85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17"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施工便道</w:t>
                  </w:r>
                </w:p>
              </w:tc>
              <w:tc>
                <w:tcPr>
                  <w:tcW w:w="4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项目周边连接现有占地，交通便利，不设置施工便道</w:t>
                  </w:r>
                </w:p>
              </w:tc>
              <w:tc>
                <w:tcPr>
                  <w:tcW w:w="878"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85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jc w:val="center"/>
              </w:trPr>
              <w:tc>
                <w:tcPr>
                  <w:tcW w:w="61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公用工程</w:t>
                  </w: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供电</w:t>
                  </w:r>
                </w:p>
              </w:tc>
              <w:tc>
                <w:tcPr>
                  <w:tcW w:w="4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由区域电网供给</w:t>
                  </w:r>
                </w:p>
              </w:tc>
              <w:tc>
                <w:tcPr>
                  <w:tcW w:w="173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1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供水</w:t>
                  </w:r>
                </w:p>
              </w:tc>
              <w:tc>
                <w:tcPr>
                  <w:tcW w:w="4722" w:type="dxa"/>
                  <w:noWrap w:val="0"/>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Times New Roman" w:hAnsi="Times New Roman" w:eastAsia="宋体" w:cs="Times New Roman"/>
                      <w:b/>
                      <w:bCs/>
                      <w:color w:val="auto"/>
                      <w:sz w:val="21"/>
                      <w:szCs w:val="21"/>
                      <w:vertAlign w:val="baseline"/>
                      <w:lang w:val="en-US" w:eastAsia="zh-CN"/>
                    </w:rPr>
                  </w:pPr>
                  <w:r>
                    <w:rPr>
                      <w:color w:val="auto"/>
                      <w:spacing w:val="9"/>
                      <w:sz w:val="21"/>
                      <w:szCs w:val="21"/>
                    </w:rPr>
                    <w:t>生活用水使用桶装水</w:t>
                  </w:r>
                  <w:r>
                    <w:rPr>
                      <w:rFonts w:hint="eastAsia"/>
                      <w:color w:val="auto"/>
                      <w:spacing w:val="9"/>
                      <w:sz w:val="21"/>
                      <w:szCs w:val="21"/>
                      <w:lang w:val="en-US" w:eastAsia="zh-CN"/>
                    </w:rPr>
                    <w:t>及自来水；</w:t>
                  </w:r>
                  <w:r>
                    <w:rPr>
                      <w:color w:val="auto"/>
                      <w:spacing w:val="9"/>
                      <w:sz w:val="21"/>
                      <w:szCs w:val="21"/>
                    </w:rPr>
                    <w:t>灌溉使用自然地表水体</w:t>
                  </w:r>
                  <w:r>
                    <w:rPr>
                      <w:rFonts w:hint="eastAsia"/>
                      <w:color w:val="auto"/>
                      <w:spacing w:val="9"/>
                      <w:sz w:val="21"/>
                      <w:szCs w:val="21"/>
                      <w:lang w:eastAsia="zh-CN"/>
                    </w:rPr>
                    <w:t>。</w:t>
                  </w:r>
                </w:p>
              </w:tc>
              <w:tc>
                <w:tcPr>
                  <w:tcW w:w="173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1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消防</w:t>
                  </w:r>
                </w:p>
              </w:tc>
              <w:tc>
                <w:tcPr>
                  <w:tcW w:w="4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依托</w:t>
                  </w:r>
                  <w:r>
                    <w:rPr>
                      <w:rFonts w:hint="eastAsia" w:ascii="Times New Roman" w:hAnsi="Times New Roman" w:cs="Times New Roman"/>
                      <w:b w:val="0"/>
                      <w:bCs w:val="0"/>
                      <w:color w:val="auto"/>
                      <w:sz w:val="21"/>
                      <w:szCs w:val="21"/>
                      <w:lang w:val="en-US" w:eastAsia="zh-CN"/>
                    </w:rPr>
                    <w:t>蓬溪县</w:t>
                  </w:r>
                  <w:r>
                    <w:rPr>
                      <w:rFonts w:hint="default" w:ascii="Times New Roman" w:hAnsi="Times New Roman" w:eastAsia="宋体" w:cs="Times New Roman"/>
                      <w:b w:val="0"/>
                      <w:bCs w:val="0"/>
                      <w:color w:val="auto"/>
                      <w:sz w:val="21"/>
                      <w:szCs w:val="21"/>
                      <w:lang w:val="en-US" w:eastAsia="zh-CN"/>
                    </w:rPr>
                    <w:t>森林防火设施及森林防火监测设施</w:t>
                  </w:r>
                </w:p>
              </w:tc>
              <w:tc>
                <w:tcPr>
                  <w:tcW w:w="173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bookmarkStart w:id="4" w:name="OLE_LINK12"/>
                  <w:r>
                    <w:rPr>
                      <w:rFonts w:hint="default" w:ascii="Times New Roman" w:hAnsi="Times New Roman" w:eastAsia="宋体" w:cs="Times New Roman"/>
                      <w:b w:val="0"/>
                      <w:bCs w:val="0"/>
                      <w:color w:val="auto"/>
                      <w:sz w:val="21"/>
                      <w:szCs w:val="21"/>
                      <w:lang w:val="en-US" w:eastAsia="zh-CN"/>
                    </w:rPr>
                    <w:t>/</w:t>
                  </w:r>
                  <w:bookmarkEnd w:id="4"/>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1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环保工程</w:t>
                  </w: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废水</w:t>
                  </w:r>
                </w:p>
              </w:tc>
              <w:tc>
                <w:tcPr>
                  <w:tcW w:w="4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管理、养护人员生活污水，经化粪池处理后用于周边山林、农田作为农肥消纳</w:t>
                  </w:r>
                </w:p>
              </w:tc>
              <w:tc>
                <w:tcPr>
                  <w:tcW w:w="173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1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废气</w:t>
                  </w:r>
                </w:p>
              </w:tc>
              <w:tc>
                <w:tcPr>
                  <w:tcW w:w="4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①农药产生的微量异味属于间断性排放，施肥施药采用精准施药技术，选用高效、低毒、低残留的农药，可以降低农药与化肥对周边环境的影响；②林木采伐粉尘、运输扬尘及燃油废气自然稀释扩散</w:t>
                  </w:r>
                </w:p>
              </w:tc>
              <w:tc>
                <w:tcPr>
                  <w:tcW w:w="173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7" w:hRule="atLeast"/>
                <w:jc w:val="center"/>
              </w:trPr>
              <w:tc>
                <w:tcPr>
                  <w:tcW w:w="61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噪声</w:t>
                  </w:r>
                </w:p>
              </w:tc>
              <w:tc>
                <w:tcPr>
                  <w:tcW w:w="4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①选用高效低噪设备；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②定期检修清理设备，防止因设备故障产生的噪声；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③合理安排作业时间、夜间不得采伐；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④在路口设置限速牌、</w:t>
                  </w:r>
                  <w:r>
                    <w:rPr>
                      <w:rFonts w:hint="eastAsia" w:ascii="Times New Roman" w:hAnsi="Times New Roman" w:eastAsia="宋体" w:cs="Times New Roman"/>
                      <w:b w:val="0"/>
                      <w:bCs w:val="0"/>
                      <w:color w:val="auto"/>
                      <w:sz w:val="21"/>
                      <w:szCs w:val="21"/>
                      <w:lang w:val="en-US" w:eastAsia="zh-CN"/>
                    </w:rPr>
                    <w:t>途经居民路段</w:t>
                  </w:r>
                  <w:r>
                    <w:rPr>
                      <w:rFonts w:hint="default" w:ascii="Times New Roman" w:hAnsi="Times New Roman" w:eastAsia="宋体" w:cs="Times New Roman"/>
                      <w:b w:val="0"/>
                      <w:bCs w:val="0"/>
                      <w:color w:val="auto"/>
                      <w:sz w:val="21"/>
                      <w:szCs w:val="21"/>
                      <w:lang w:val="en-US" w:eastAsia="zh-CN"/>
                    </w:rPr>
                    <w:t>控制运输车辆的行驶车速，减少鸣笛。</w:t>
                  </w:r>
                </w:p>
              </w:tc>
              <w:tc>
                <w:tcPr>
                  <w:tcW w:w="173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1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8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固体废物</w:t>
                  </w:r>
                </w:p>
              </w:tc>
              <w:tc>
                <w:tcPr>
                  <w:tcW w:w="4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①废弃包装袋经收集后</w:t>
                  </w:r>
                  <w:r>
                    <w:rPr>
                      <w:rFonts w:hint="eastAsia" w:cs="Times New Roman"/>
                      <w:b w:val="0"/>
                      <w:bCs w:val="0"/>
                      <w:color w:val="auto"/>
                      <w:sz w:val="21"/>
                      <w:szCs w:val="21"/>
                      <w:lang w:val="en-US" w:eastAsia="zh-CN"/>
                    </w:rPr>
                    <w:t>外售</w:t>
                  </w:r>
                  <w:r>
                    <w:rPr>
                      <w:rFonts w:hint="default" w:ascii="Times New Roman" w:hAnsi="Times New Roman" w:eastAsia="宋体" w:cs="Times New Roman"/>
                      <w:b w:val="0"/>
                      <w:bCs w:val="0"/>
                      <w:color w:val="auto"/>
                      <w:sz w:val="21"/>
                      <w:szCs w:val="21"/>
                      <w:lang w:val="en-US" w:eastAsia="zh-CN"/>
                    </w:rPr>
                    <w:t>废品回收公司处置；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②清理的灌木杂草及产生的</w:t>
                  </w:r>
                  <w:r>
                    <w:rPr>
                      <w:rFonts w:hint="eastAsia" w:cs="Times New Roman"/>
                      <w:b w:val="0"/>
                      <w:bCs w:val="0"/>
                      <w:color w:val="auto"/>
                      <w:sz w:val="21"/>
                      <w:szCs w:val="21"/>
                      <w:lang w:val="en-US" w:eastAsia="zh-CN"/>
                    </w:rPr>
                    <w:t>枯枝落叶</w:t>
                  </w:r>
                  <w:r>
                    <w:rPr>
                      <w:rFonts w:hint="default" w:ascii="Times New Roman" w:hAnsi="Times New Roman" w:eastAsia="宋体" w:cs="Times New Roman"/>
                      <w:b w:val="0"/>
                      <w:bCs w:val="0"/>
                      <w:color w:val="auto"/>
                      <w:sz w:val="21"/>
                      <w:szCs w:val="21"/>
                      <w:lang w:val="en-US" w:eastAsia="zh-CN"/>
                    </w:rPr>
                    <w:t>，自然腐烂为肥料；</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③生活垃圾运至</w:t>
                  </w:r>
                  <w:r>
                    <w:rPr>
                      <w:rFonts w:hint="eastAsia" w:ascii="Times New Roman" w:hAnsi="Times New Roman" w:eastAsia="宋体" w:cs="Times New Roman"/>
                      <w:color w:val="auto"/>
                      <w:spacing w:val="0"/>
                      <w:kern w:val="0"/>
                      <w:sz w:val="21"/>
                      <w:szCs w:val="21"/>
                      <w:highlight w:val="none"/>
                      <w:lang w:val="en-US" w:eastAsia="zh-CN" w:bidi="ar"/>
                    </w:rPr>
                    <w:t>附近垃圾收集点，交由</w:t>
                  </w:r>
                  <w:r>
                    <w:rPr>
                      <w:rFonts w:hint="default" w:ascii="Times New Roman" w:hAnsi="Times New Roman" w:eastAsia="宋体" w:cs="Times New Roman"/>
                      <w:color w:val="auto"/>
                      <w:spacing w:val="0"/>
                      <w:kern w:val="0"/>
                      <w:sz w:val="21"/>
                      <w:szCs w:val="21"/>
                      <w:highlight w:val="none"/>
                      <w:lang w:val="en-US" w:eastAsia="zh-CN" w:bidi="ar"/>
                    </w:rPr>
                    <w:t>环卫部门清运</w:t>
                  </w:r>
                  <w:r>
                    <w:rPr>
                      <w:rFonts w:hint="eastAsia" w:ascii="Times New Roman" w:hAnsi="Times New Roman" w:eastAsia="宋体" w:cs="Times New Roman"/>
                      <w:color w:val="auto"/>
                      <w:spacing w:val="0"/>
                      <w:kern w:val="0"/>
                      <w:sz w:val="21"/>
                      <w:szCs w:val="21"/>
                      <w:highlight w:val="none"/>
                      <w:lang w:val="en-US" w:eastAsia="zh-CN" w:bidi="ar"/>
                    </w:rPr>
                    <w:t>处理</w:t>
                  </w:r>
                  <w:r>
                    <w:rPr>
                      <w:rFonts w:hint="default" w:ascii="Times New Roman" w:hAnsi="Times New Roman" w:eastAsia="宋体" w:cs="Times New Roman"/>
                      <w:color w:val="auto"/>
                      <w:spacing w:val="0"/>
                      <w:kern w:val="0"/>
                      <w:sz w:val="21"/>
                      <w:szCs w:val="21"/>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olor w:val="auto"/>
                      <w:lang w:val="en-US" w:eastAsia="zh-CN"/>
                    </w:rPr>
                  </w:pPr>
                  <w:r>
                    <w:rPr>
                      <w:rFonts w:hint="eastAsia" w:ascii="Times New Roman" w:hAnsi="Times New Roman" w:eastAsia="宋体" w:cs="Times New Roman"/>
                      <w:color w:val="auto"/>
                      <w:spacing w:val="0"/>
                      <w:kern w:val="0"/>
                      <w:sz w:val="21"/>
                      <w:szCs w:val="21"/>
                      <w:highlight w:val="none"/>
                      <w:lang w:val="en-US" w:eastAsia="zh-CN" w:bidi="ar"/>
                    </w:rPr>
                    <w:t>④</w:t>
                  </w:r>
                  <w:r>
                    <w:rPr>
                      <w:rFonts w:hint="default" w:ascii="Times New Roman" w:hAnsi="Times New Roman" w:eastAsia="宋体" w:cs="Times New Roman"/>
                      <w:color w:val="auto"/>
                      <w:spacing w:val="0"/>
                      <w:kern w:val="0"/>
                      <w:sz w:val="21"/>
                      <w:szCs w:val="21"/>
                      <w:highlight w:val="none"/>
                      <w:lang w:val="en-US" w:eastAsia="zh-CN" w:bidi="ar"/>
                    </w:rPr>
                    <w:t>农药废弃包装物及时收集并交回农药经营者或交由专门的农药包装废弃物回收站（点）处置</w:t>
                  </w:r>
                  <w:r>
                    <w:rPr>
                      <w:rFonts w:hint="eastAsia" w:ascii="Times New Roman" w:hAnsi="Times New Roman" w:eastAsia="宋体" w:cs="Times New Roman"/>
                      <w:color w:val="auto"/>
                      <w:spacing w:val="0"/>
                      <w:kern w:val="0"/>
                      <w:sz w:val="21"/>
                      <w:szCs w:val="21"/>
                      <w:highlight w:val="none"/>
                      <w:lang w:val="en-US" w:eastAsia="zh-CN" w:bidi="ar"/>
                    </w:rPr>
                    <w:t>。</w:t>
                  </w:r>
                </w:p>
              </w:tc>
              <w:tc>
                <w:tcPr>
                  <w:tcW w:w="173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17"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892"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生态</w:t>
                  </w:r>
                </w:p>
              </w:tc>
              <w:tc>
                <w:tcPr>
                  <w:tcW w:w="4722" w:type="dxa"/>
                  <w:noWrap w:val="0"/>
                  <w:vAlign w:val="center"/>
                </w:tcPr>
                <w:p>
                  <w:pPr>
                    <w:pStyle w:val="6"/>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eastAsia"/>
                      <w:color w:val="auto"/>
                      <w:spacing w:val="0"/>
                      <w:sz w:val="21"/>
                      <w:szCs w:val="21"/>
                      <w:lang w:eastAsia="zh-CN"/>
                    </w:rPr>
                  </w:pPr>
                  <w:r>
                    <w:rPr>
                      <w:rFonts w:hint="eastAsia"/>
                      <w:color w:val="auto"/>
                      <w:spacing w:val="0"/>
                      <w:sz w:val="21"/>
                      <w:szCs w:val="21"/>
                      <w:lang w:eastAsia="zh-CN"/>
                    </w:rPr>
                    <w:t>合理划定施工区域，加强施工管理，加强施工过程中“三废”管理，强化施工队伍的环保意识，加强生态环境保护宣传；</w:t>
                  </w:r>
                  <w:r>
                    <w:rPr>
                      <w:rFonts w:hint="eastAsia"/>
                      <w:color w:val="auto"/>
                      <w:spacing w:val="0"/>
                      <w:sz w:val="21"/>
                      <w:szCs w:val="21"/>
                      <w:lang w:val="en-US" w:eastAsia="zh-CN"/>
                    </w:rPr>
                    <w:t>加强病虫害防治，</w:t>
                  </w:r>
                  <w:r>
                    <w:rPr>
                      <w:rFonts w:hint="eastAsia"/>
                      <w:color w:val="auto"/>
                      <w:spacing w:val="0"/>
                      <w:sz w:val="21"/>
                      <w:szCs w:val="21"/>
                      <w:lang w:eastAsia="zh-CN"/>
                    </w:rPr>
                    <w:t>合理选择造林树种；对野生动植物尽量采取避让措施，严禁猎捕野生动物</w:t>
                  </w:r>
                  <w:r>
                    <w:rPr>
                      <w:rFonts w:hint="eastAsia"/>
                      <w:color w:val="auto"/>
                      <w:spacing w:val="0"/>
                      <w:sz w:val="21"/>
                      <w:szCs w:val="21"/>
                      <w:lang w:val="en-US" w:eastAsia="zh-CN"/>
                    </w:rPr>
                    <w:t>及毁坏重点野生植物</w:t>
                  </w:r>
                  <w:r>
                    <w:rPr>
                      <w:rFonts w:hint="eastAsia"/>
                      <w:color w:val="auto"/>
                      <w:spacing w:val="0"/>
                      <w:sz w:val="21"/>
                      <w:szCs w:val="21"/>
                      <w:lang w:eastAsia="zh-CN"/>
                    </w:rPr>
                    <w:t>；加强对水土流失重点防治区及治理区的保护措施；提高工程质量，加强</w:t>
                  </w:r>
                  <w:r>
                    <w:rPr>
                      <w:rFonts w:hint="eastAsia"/>
                      <w:color w:val="auto"/>
                      <w:spacing w:val="0"/>
                      <w:sz w:val="21"/>
                      <w:szCs w:val="21"/>
                      <w:lang w:val="en-US" w:eastAsia="zh-CN"/>
                    </w:rPr>
                    <w:t>森林防火、</w:t>
                  </w:r>
                  <w:r>
                    <w:rPr>
                      <w:rFonts w:hint="eastAsia"/>
                      <w:color w:val="auto"/>
                      <w:spacing w:val="0"/>
                      <w:sz w:val="21"/>
                      <w:szCs w:val="21"/>
                      <w:lang w:eastAsia="zh-CN"/>
                    </w:rPr>
                    <w:t>生态入侵风险管理；</w:t>
                  </w:r>
                  <w:r>
                    <w:rPr>
                      <w:rFonts w:hint="eastAsia"/>
                      <w:color w:val="auto"/>
                      <w:spacing w:val="0"/>
                      <w:sz w:val="21"/>
                      <w:szCs w:val="21"/>
                      <w:lang w:val="en-US" w:eastAsia="zh-CN"/>
                    </w:rPr>
                    <w:t>建设完成后实施迹地恢复</w:t>
                  </w:r>
                  <w:r>
                    <w:rPr>
                      <w:rFonts w:hint="eastAsia"/>
                      <w:color w:val="auto"/>
                      <w:spacing w:val="0"/>
                      <w:sz w:val="21"/>
                      <w:szCs w:val="21"/>
                      <w:lang w:eastAsia="zh-CN"/>
                    </w:rPr>
                    <w:t>；制定生态环境监测方案。</w:t>
                  </w:r>
                </w:p>
                <w:p>
                  <w:pPr>
                    <w:pStyle w:val="6"/>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color w:val="auto"/>
                      <w:spacing w:val="0"/>
                      <w:sz w:val="21"/>
                      <w:szCs w:val="21"/>
                      <w:lang w:val="en-US" w:eastAsia="zh-CN"/>
                    </w:rPr>
                  </w:pPr>
                  <w:r>
                    <w:rPr>
                      <w:rFonts w:hint="eastAsia"/>
                      <w:color w:val="auto"/>
                      <w:spacing w:val="0"/>
                      <w:sz w:val="21"/>
                      <w:szCs w:val="21"/>
                      <w:lang w:val="en-US" w:eastAsia="zh-CN"/>
                    </w:rPr>
                    <w:t>运营期</w:t>
                  </w:r>
                  <w:r>
                    <w:rPr>
                      <w:color w:val="auto"/>
                      <w:spacing w:val="0"/>
                      <w:sz w:val="21"/>
                      <w:szCs w:val="21"/>
                    </w:rPr>
                    <w:t>抚育间伐</w:t>
                  </w:r>
                  <w:r>
                    <w:rPr>
                      <w:rFonts w:hint="eastAsia"/>
                      <w:color w:val="auto"/>
                      <w:spacing w:val="0"/>
                      <w:sz w:val="21"/>
                      <w:szCs w:val="21"/>
                      <w:lang w:eastAsia="zh-CN"/>
                    </w:rPr>
                    <w:t>；</w:t>
                  </w:r>
                  <w:r>
                    <w:rPr>
                      <w:color w:val="auto"/>
                      <w:spacing w:val="0"/>
                      <w:sz w:val="21"/>
                      <w:szCs w:val="21"/>
                    </w:rPr>
                    <w:t>造林后搞好幼树封禁保护</w:t>
                  </w:r>
                  <w:r>
                    <w:rPr>
                      <w:rFonts w:hint="eastAsia"/>
                      <w:color w:val="auto"/>
                      <w:spacing w:val="0"/>
                      <w:sz w:val="21"/>
                      <w:szCs w:val="21"/>
                      <w:lang w:eastAsia="zh-CN"/>
                    </w:rPr>
                    <w:t>；实施“科技兴林”和可持续发展战略；</w:t>
                  </w:r>
                  <w:r>
                    <w:rPr>
                      <w:color w:val="auto"/>
                      <w:spacing w:val="0"/>
                      <w:sz w:val="21"/>
                      <w:szCs w:val="21"/>
                    </w:rPr>
                    <w:t>林木的采伐和集材尽可能地保留地表植被，尽可能减少集材道的密度和数量</w:t>
                  </w:r>
                  <w:r>
                    <w:rPr>
                      <w:rFonts w:hint="eastAsia"/>
                      <w:color w:val="auto"/>
                      <w:spacing w:val="0"/>
                      <w:sz w:val="21"/>
                      <w:szCs w:val="21"/>
                      <w:lang w:eastAsia="zh-CN"/>
                    </w:rPr>
                    <w:t>；</w:t>
                  </w:r>
                  <w:r>
                    <w:rPr>
                      <w:rFonts w:hint="eastAsia" w:ascii="Times New Roman" w:hAnsi="Times New Roman" w:eastAsia="宋体" w:cs="Times New Roman"/>
                      <w:color w:val="auto"/>
                      <w:sz w:val="21"/>
                      <w:szCs w:val="21"/>
                      <w:lang w:val="en-US" w:eastAsia="zh-CN"/>
                    </w:rPr>
                    <w:t>加强宣传教育，粘贴和设置公告、宣传册、警示标语（牌）等</w:t>
                  </w:r>
                  <w:r>
                    <w:rPr>
                      <w:rFonts w:hint="eastAsia" w:ascii="Times New Roman" w:hAnsi="Times New Roman" w:cs="Times New Roman"/>
                      <w:color w:val="auto"/>
                      <w:sz w:val="21"/>
                      <w:szCs w:val="21"/>
                      <w:lang w:val="en-US" w:eastAsia="zh-CN"/>
                    </w:rPr>
                    <w:t>；加强</w:t>
                  </w:r>
                  <w:r>
                    <w:rPr>
                      <w:rFonts w:hint="eastAsia"/>
                      <w:color w:val="auto"/>
                      <w:spacing w:val="0"/>
                      <w:sz w:val="21"/>
                      <w:szCs w:val="21"/>
                      <w:lang w:val="en-US" w:eastAsia="zh-CN"/>
                    </w:rPr>
                    <w:t>森林防火</w:t>
                  </w:r>
                  <w:r>
                    <w:rPr>
                      <w:rFonts w:hint="eastAsia"/>
                      <w:color w:val="auto"/>
                      <w:spacing w:val="0"/>
                      <w:sz w:val="21"/>
                      <w:szCs w:val="21"/>
                      <w:lang w:eastAsia="zh-CN"/>
                    </w:rPr>
                    <w:t>以及危险品管理；制定生态环境监测方案。</w:t>
                  </w:r>
                </w:p>
              </w:tc>
              <w:tc>
                <w:tcPr>
                  <w:tcW w:w="173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bl>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、项目主要经济技术指标</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本项目位于遂宁市蓬溪县，总占地面积7533.02hm²，其中永久占地面积26.57hm²，临时占地面积7506.45hm²，项目占地类型为林地（灌木林地）、其他土地（空闲地）</w:t>
            </w:r>
            <w:r>
              <w:rPr>
                <w:rFonts w:hint="eastAsia" w:ascii="Times New Roman" w:hAnsi="Times New Roman" w:cs="Times New Roman"/>
                <w:color w:val="auto"/>
                <w:kern w:val="2"/>
                <w:sz w:val="24"/>
                <w:szCs w:val="24"/>
                <w:lang w:val="en-US" w:eastAsia="zh-CN" w:bidi="ar-SA"/>
              </w:rPr>
              <w:t>，项目占地为按照每年实施计划分步进行流转，土地流转示例见附件6</w:t>
            </w:r>
            <w:r>
              <w:rPr>
                <w:rFonts w:hint="default" w:ascii="Times New Roman" w:hAnsi="Times New Roman" w:eastAsia="宋体" w:cs="Times New Roman"/>
                <w:color w:val="auto"/>
                <w:kern w:val="2"/>
                <w:sz w:val="24"/>
                <w:szCs w:val="24"/>
                <w:lang w:val="en-US" w:eastAsia="zh-CN" w:bidi="ar-SA"/>
              </w:rPr>
              <w:t>。本项目主要经济技术指标详见</w:t>
            </w:r>
            <w:r>
              <w:rPr>
                <w:rFonts w:hint="eastAsia" w:ascii="Times New Roman" w:hAnsi="Times New Roman" w:cs="Times New Roman"/>
                <w:color w:val="auto"/>
                <w:kern w:val="2"/>
                <w:sz w:val="24"/>
                <w:szCs w:val="24"/>
                <w:lang w:val="en-US" w:eastAsia="zh-CN" w:bidi="ar-SA"/>
              </w:rPr>
              <w:t>下</w:t>
            </w:r>
            <w:r>
              <w:rPr>
                <w:rFonts w:hint="default" w:ascii="Times New Roman" w:hAnsi="Times New Roman" w:eastAsia="宋体" w:cs="Times New Roman"/>
                <w:color w:val="auto"/>
                <w:kern w:val="2"/>
                <w:sz w:val="24"/>
                <w:szCs w:val="24"/>
                <w:lang w:val="en-US" w:eastAsia="zh-CN" w:bidi="ar-SA"/>
              </w:rPr>
              <w:t>表所示。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主要技术经济指标表（林业建设、林业产业）</w:t>
            </w:r>
          </w:p>
          <w:tbl>
            <w:tblPr>
              <w:tblStyle w:val="55"/>
              <w:tblW w:w="796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8"/>
              <w:gridCol w:w="2771"/>
              <w:gridCol w:w="1614"/>
              <w:gridCol w:w="23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1278"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序号</w:t>
                  </w:r>
                </w:p>
              </w:tc>
              <w:tc>
                <w:tcPr>
                  <w:tcW w:w="2771"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项目</w:t>
                  </w:r>
                </w:p>
              </w:tc>
              <w:tc>
                <w:tcPr>
                  <w:tcW w:w="1614"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单位</w:t>
                  </w:r>
                </w:p>
              </w:tc>
              <w:tc>
                <w:tcPr>
                  <w:tcW w:w="2306"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规模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4" w:hRule="atLeast"/>
              </w:trPr>
              <w:tc>
                <w:tcPr>
                  <w:tcW w:w="1278"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一</w:t>
                  </w:r>
                </w:p>
              </w:tc>
              <w:tc>
                <w:tcPr>
                  <w:tcW w:w="2771"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建设规模</w:t>
                  </w:r>
                </w:p>
              </w:tc>
              <w:tc>
                <w:tcPr>
                  <w:tcW w:w="1614"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p>
              </w:tc>
              <w:tc>
                <w:tcPr>
                  <w:tcW w:w="2306"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4" w:hRule="atLeast"/>
              </w:trPr>
              <w:tc>
                <w:tcPr>
                  <w:tcW w:w="1278"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1</w:t>
                  </w:r>
                </w:p>
              </w:tc>
              <w:tc>
                <w:tcPr>
                  <w:tcW w:w="2771"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营造林建设</w:t>
                  </w:r>
                </w:p>
              </w:tc>
              <w:tc>
                <w:tcPr>
                  <w:tcW w:w="1614"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亩</w:t>
                  </w:r>
                </w:p>
              </w:tc>
              <w:tc>
                <w:tcPr>
                  <w:tcW w:w="2306"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106596.78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1278"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1.1</w:t>
                  </w:r>
                </w:p>
              </w:tc>
              <w:tc>
                <w:tcPr>
                  <w:tcW w:w="2771"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集约人工林栽培</w:t>
                  </w:r>
                </w:p>
              </w:tc>
              <w:tc>
                <w:tcPr>
                  <w:tcW w:w="1614"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亩</w:t>
                  </w:r>
                </w:p>
              </w:tc>
              <w:tc>
                <w:tcPr>
                  <w:tcW w:w="2306"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7552.50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1278"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1.2</w:t>
                  </w:r>
                </w:p>
              </w:tc>
              <w:tc>
                <w:tcPr>
                  <w:tcW w:w="2771"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中幼龄林抚育</w:t>
                  </w:r>
                </w:p>
              </w:tc>
              <w:tc>
                <w:tcPr>
                  <w:tcW w:w="1614"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亩</w:t>
                  </w:r>
                </w:p>
              </w:tc>
              <w:tc>
                <w:tcPr>
                  <w:tcW w:w="2306"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65502.67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1278"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1.3</w:t>
                  </w:r>
                </w:p>
              </w:tc>
              <w:tc>
                <w:tcPr>
                  <w:tcW w:w="2771"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现有林改培</w:t>
                  </w:r>
                </w:p>
              </w:tc>
              <w:tc>
                <w:tcPr>
                  <w:tcW w:w="1614"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亩</w:t>
                  </w:r>
                </w:p>
              </w:tc>
              <w:tc>
                <w:tcPr>
                  <w:tcW w:w="2306"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33541.61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0" w:hRule="atLeast"/>
              </w:trPr>
              <w:tc>
                <w:tcPr>
                  <w:tcW w:w="1278"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2</w:t>
                  </w:r>
                </w:p>
              </w:tc>
              <w:tc>
                <w:tcPr>
                  <w:tcW w:w="2771"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林业产业建设</w:t>
                  </w:r>
                </w:p>
              </w:tc>
              <w:tc>
                <w:tcPr>
                  <w:tcW w:w="1614"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亩</w:t>
                  </w:r>
                </w:p>
              </w:tc>
              <w:tc>
                <w:tcPr>
                  <w:tcW w:w="2306"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6000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6" w:hRule="atLeast"/>
              </w:trPr>
              <w:tc>
                <w:tcPr>
                  <w:tcW w:w="1278"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2.1</w:t>
                  </w:r>
                </w:p>
              </w:tc>
              <w:tc>
                <w:tcPr>
                  <w:tcW w:w="2771"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林菌</w:t>
                  </w:r>
                </w:p>
              </w:tc>
              <w:tc>
                <w:tcPr>
                  <w:tcW w:w="1614"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亩</w:t>
                  </w:r>
                </w:p>
              </w:tc>
              <w:tc>
                <w:tcPr>
                  <w:tcW w:w="2306"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1000.06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1278"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2.2</w:t>
                  </w:r>
                </w:p>
              </w:tc>
              <w:tc>
                <w:tcPr>
                  <w:tcW w:w="2771"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林药</w:t>
                  </w:r>
                </w:p>
              </w:tc>
              <w:tc>
                <w:tcPr>
                  <w:tcW w:w="1614"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亩</w:t>
                  </w:r>
                </w:p>
              </w:tc>
              <w:tc>
                <w:tcPr>
                  <w:tcW w:w="2306"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4999.94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1278"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3</w:t>
                  </w:r>
                </w:p>
              </w:tc>
              <w:tc>
                <w:tcPr>
                  <w:tcW w:w="2771"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林地流转</w:t>
                  </w:r>
                </w:p>
              </w:tc>
              <w:tc>
                <w:tcPr>
                  <w:tcW w:w="1614"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亩</w:t>
                  </w:r>
                </w:p>
              </w:tc>
              <w:tc>
                <w:tcPr>
                  <w:tcW w:w="2306" w:type="dxa"/>
                  <w:vAlign w:val="top"/>
                </w:tcPr>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pacing w:val="-4"/>
                      <w:kern w:val="2"/>
                      <w:sz w:val="21"/>
                      <w:szCs w:val="21"/>
                      <w:lang w:val="en-US" w:eastAsia="zh-CN" w:bidi="ar-SA"/>
                    </w:rPr>
                  </w:pPr>
                  <w:r>
                    <w:rPr>
                      <w:rFonts w:hint="default" w:ascii="Times New Roman" w:hAnsi="Times New Roman" w:eastAsia="Times New Roman" w:cs="Times New Roman"/>
                      <w:color w:val="auto"/>
                      <w:spacing w:val="-4"/>
                      <w:kern w:val="2"/>
                      <w:sz w:val="21"/>
                      <w:szCs w:val="21"/>
                      <w:lang w:val="en-US" w:eastAsia="zh-CN" w:bidi="ar-SA"/>
                    </w:rPr>
                    <w:t>106596.78</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　主要技术指标表（</w:t>
            </w:r>
            <w:r>
              <w:rPr>
                <w:rFonts w:hint="eastAsia" w:cs="Times New Roman"/>
                <w:b/>
                <w:bCs/>
                <w:color w:val="auto"/>
                <w:sz w:val="21"/>
                <w:szCs w:val="21"/>
                <w:lang w:val="en-US" w:eastAsia="zh-CN"/>
              </w:rPr>
              <w:t>道路</w:t>
            </w:r>
            <w:r>
              <w:rPr>
                <w:rFonts w:hint="eastAsia" w:ascii="Times New Roman" w:hAnsi="Times New Roman" w:eastAsia="宋体" w:cs="Times New Roman"/>
                <w:b/>
                <w:bCs/>
                <w:color w:val="auto"/>
                <w:sz w:val="21"/>
                <w:szCs w:val="21"/>
                <w:lang w:val="en-US" w:eastAsia="zh-CN"/>
              </w:rPr>
              <w:t>）</w:t>
            </w:r>
          </w:p>
          <w:tbl>
            <w:tblPr>
              <w:tblStyle w:val="55"/>
              <w:tblW w:w="79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293"/>
              <w:gridCol w:w="1470"/>
              <w:gridCol w:w="3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9" w:hRule="atLeast"/>
              </w:trPr>
              <w:tc>
                <w:tcPr>
                  <w:tcW w:w="875" w:type="dxa"/>
                  <w:tcBorders>
                    <w:top w:val="single" w:color="000000" w:sz="2" w:space="0"/>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2293" w:type="dxa"/>
                  <w:tcBorders>
                    <w:top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道路名称</w:t>
                  </w:r>
                </w:p>
              </w:tc>
              <w:tc>
                <w:tcPr>
                  <w:tcW w:w="1470" w:type="dxa"/>
                  <w:tcBorders>
                    <w:top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道路长度（km）</w:t>
                  </w:r>
                </w:p>
              </w:tc>
              <w:tc>
                <w:tcPr>
                  <w:tcW w:w="3284" w:type="dxa"/>
                  <w:tcBorders>
                    <w:top w:val="single" w:color="000000" w:sz="2" w:space="0"/>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1" w:hRule="atLeast"/>
              </w:trPr>
              <w:tc>
                <w:tcPr>
                  <w:tcW w:w="875" w:type="dxa"/>
                  <w:vMerge w:val="restart"/>
                  <w:tcBorders>
                    <w:left w:val="single" w:color="000000" w:sz="2" w:space="0"/>
                    <w:bottom w:val="nil"/>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香溪谷片区生产便道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1.591</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路基宽度4米，沥青路面，1.5米彩色沥青</w:t>
                  </w:r>
                  <w:r>
                    <w:rPr>
                      <w:rFonts w:hint="eastAsia" w:cs="Times New Roman"/>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1" w:hRule="atLeast"/>
              </w:trPr>
              <w:tc>
                <w:tcPr>
                  <w:tcW w:w="875" w:type="dxa"/>
                  <w:vMerge w:val="continue"/>
                  <w:tcBorders>
                    <w:top w:val="nil"/>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香溪谷片区巡护道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0.704</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4"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高峰山片区巡护道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1" w:hRule="atLeast"/>
              </w:trPr>
              <w:tc>
                <w:tcPr>
                  <w:tcW w:w="875" w:type="dxa"/>
                  <w:vMerge w:val="restart"/>
                  <w:tcBorders>
                    <w:left w:val="single" w:color="000000" w:sz="2" w:space="0"/>
                    <w:bottom w:val="nil"/>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金桥之心山顶公园片区生产便道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1.228</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路基宽度4.5米，沥青路面，1.5米彩色沥青</w:t>
                  </w:r>
                  <w:r>
                    <w:rPr>
                      <w:rFonts w:hint="eastAsia" w:cs="Times New Roman"/>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1" w:hRule="atLeast"/>
              </w:trPr>
              <w:tc>
                <w:tcPr>
                  <w:tcW w:w="875" w:type="dxa"/>
                  <w:vMerge w:val="continue"/>
                  <w:tcBorders>
                    <w:top w:val="nil"/>
                    <w:left w:val="single" w:color="000000" w:sz="2" w:space="0"/>
                    <w:bottom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93" w:type="dxa"/>
                  <w:tcBorders>
                    <w:bottom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金桥之心山顶公园片区巡护道</w:t>
                  </w:r>
                </w:p>
              </w:tc>
              <w:tc>
                <w:tcPr>
                  <w:tcW w:w="1470" w:type="dxa"/>
                  <w:tcBorders>
                    <w:bottom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4.34</w:t>
                  </w:r>
                </w:p>
              </w:tc>
              <w:tc>
                <w:tcPr>
                  <w:tcW w:w="3284" w:type="dxa"/>
                  <w:tcBorders>
                    <w:bottom w:val="single" w:color="000000" w:sz="2" w:space="0"/>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9" w:hRule="atLeast"/>
              </w:trPr>
              <w:tc>
                <w:tcPr>
                  <w:tcW w:w="875" w:type="dxa"/>
                  <w:vMerge w:val="restart"/>
                  <w:tcBorders>
                    <w:top w:val="single" w:color="000000" w:sz="2" w:space="0"/>
                    <w:left w:val="single" w:color="000000" w:sz="2" w:space="0"/>
                    <w:bottom w:val="nil"/>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293" w:type="dxa"/>
                  <w:tcBorders>
                    <w:top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唐兴古城芝溪河片区生产便道（桥）</w:t>
                  </w:r>
                </w:p>
              </w:tc>
              <w:tc>
                <w:tcPr>
                  <w:tcW w:w="1470" w:type="dxa"/>
                  <w:tcBorders>
                    <w:top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3284" w:type="dxa"/>
                  <w:tcBorders>
                    <w:top w:val="single" w:color="000000" w:sz="2" w:space="0"/>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钢桁架人行生产便桥</w:t>
                  </w:r>
                  <w:r>
                    <w:rPr>
                      <w:rFonts w:hint="eastAsia" w:cs="Times New Roman"/>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5" w:hRule="atLeast"/>
              </w:trPr>
              <w:tc>
                <w:tcPr>
                  <w:tcW w:w="875" w:type="dxa"/>
                  <w:vMerge w:val="continue"/>
                  <w:tcBorders>
                    <w:top w:val="nil"/>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唐兴古城芝溪河片区巡护道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3.237</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875" w:type="dxa"/>
                  <w:vMerge w:val="restart"/>
                  <w:tcBorders>
                    <w:left w:val="single" w:color="000000" w:sz="2" w:space="0"/>
                    <w:bottom w:val="nil"/>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金桥滨河绿带片区生产便道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4.531</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路基宽度4.5米，沥青路面，1.5米彩色沥青</w:t>
                  </w:r>
                  <w:r>
                    <w:rPr>
                      <w:rFonts w:hint="eastAsia" w:cs="Times New Roman"/>
                      <w:color w:val="auto"/>
                      <w:sz w:val="21"/>
                      <w:szCs w:val="21"/>
                      <w:highlight w:val="none"/>
                      <w:lang w:val="en-US" w:eastAsia="zh-CN"/>
                    </w:rPr>
                    <w:t>，路线为加铺改建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875" w:type="dxa"/>
                  <w:vMerge w:val="continue"/>
                  <w:tcBorders>
                    <w:top w:val="nil"/>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金桥滨河绿带片区巡护道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7.082</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任隆镇桃花产业园片区巡护道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1.626</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5"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槐花镇香桂产业园片区巡护道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0.178</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蓬南镇白芷产业园片区巡护道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0.348</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875" w:type="dxa"/>
                  <w:vMerge w:val="restart"/>
                  <w:tcBorders>
                    <w:left w:val="single" w:color="000000" w:sz="2" w:space="0"/>
                    <w:bottom w:val="nil"/>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墨砚湖片区生产便道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1.262</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沥青道路，1.5米彩色路面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875" w:type="dxa"/>
                  <w:vMerge w:val="continue"/>
                  <w:tcBorders>
                    <w:top w:val="nil"/>
                    <w:left w:val="single" w:color="000000" w:sz="2" w:space="0"/>
                    <w:bottom w:val="nil"/>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墨砚湖片区巡护道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6.084</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9" w:hRule="atLeast"/>
              </w:trPr>
              <w:tc>
                <w:tcPr>
                  <w:tcW w:w="875" w:type="dxa"/>
                  <w:vMerge w:val="continue"/>
                  <w:tcBorders>
                    <w:top w:val="nil"/>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墨砚湖片区七星村生产便道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0.849</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按路基宽度4.5米进行既有水泥混凝土路面黑化及附属设施改造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赤城湖片区巡护道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2.345</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40"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牛角沟村书法森林公园生产便道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2.258</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按路基宽度4.5m进行既有水泥混凝土公路拓宽，并加铺单层沥青面层，其中1.5m宽彩色路面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新建村书法森林公园巡护道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0.839</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5"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三凤镇书法森林公园巡护道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1.032</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文井镇书法森林公园巡护道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3.707</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天福镇书法森林公园巡护道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0.833</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常乐镇书法森林公园巡护道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0.887</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5"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明月镇书法森林公园巡护道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0.383</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吉祥镇书法森林公园巡护道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1.517</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红江镇书法森林公园巡护道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2.467</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果园村书法森林公园巡护道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1.058</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43"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会仙桥村书法森林公园</w:t>
                  </w:r>
                </w:p>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（国储林试点示范基地）巡护道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9"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2293"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九龙寨村书法森林公园巡护道</w:t>
                  </w:r>
                </w:p>
              </w:tc>
              <w:tc>
                <w:tcPr>
                  <w:tcW w:w="1470" w:type="dxa"/>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0.983</w:t>
                  </w:r>
                </w:p>
              </w:tc>
              <w:tc>
                <w:tcPr>
                  <w:tcW w:w="3284" w:type="dxa"/>
                  <w:tcBorders>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人行巡护道路，供巡护人员通行，含1座跨河吊桥</w:t>
                  </w:r>
                  <w:r>
                    <w:rPr>
                      <w:rFonts w:hint="eastAsia" w:cs="Times New Roman"/>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trPr>
              <w:tc>
                <w:tcPr>
                  <w:tcW w:w="875" w:type="dxa"/>
                  <w:vMerge w:val="restart"/>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p>
              </w:tc>
              <w:tc>
                <w:tcPr>
                  <w:tcW w:w="2293" w:type="dxa"/>
                  <w:tcBorders>
                    <w:bottom w:val="single" w:color="auto" w:sz="4"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马岩村书法森林公园生产便道</w:t>
                  </w:r>
                </w:p>
              </w:tc>
              <w:tc>
                <w:tcPr>
                  <w:tcW w:w="1470" w:type="dxa"/>
                  <w:tcBorders>
                    <w:bottom w:val="single" w:color="auto" w:sz="4"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0.742</w:t>
                  </w:r>
                </w:p>
              </w:tc>
              <w:tc>
                <w:tcPr>
                  <w:tcW w:w="3284" w:type="dxa"/>
                  <w:tcBorders>
                    <w:bottom w:val="single" w:color="auto" w:sz="4" w:space="0"/>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路基宽度4.5米沥青混凝土</w:t>
                  </w:r>
                  <w:r>
                    <w:rPr>
                      <w:rFonts w:hint="eastAsia" w:ascii="Times New Roman" w:hAnsi="Times New Roman" w:eastAsia="宋体" w:cs="Times New Roman"/>
                      <w:color w:val="auto"/>
                      <w:sz w:val="21"/>
                      <w:szCs w:val="21"/>
                      <w:highlight w:val="none"/>
                      <w:lang w:val="en-US" w:eastAsia="zh-CN"/>
                    </w:rPr>
                    <w:t>道路，</w:t>
                  </w:r>
                  <w:r>
                    <w:rPr>
                      <w:rFonts w:hint="default" w:ascii="Times New Roman" w:hAnsi="Times New Roman" w:eastAsia="宋体" w:cs="Times New Roman"/>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3" w:hRule="atLeast"/>
              </w:trPr>
              <w:tc>
                <w:tcPr>
                  <w:tcW w:w="875" w:type="dxa"/>
                  <w:vMerge w:val="continue"/>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293" w:type="dxa"/>
                  <w:tcBorders>
                    <w:top w:val="single" w:color="auto" w:sz="4" w:space="0"/>
                    <w:bottom w:val="single" w:color="auto" w:sz="4" w:space="0"/>
                  </w:tcBorders>
                  <w:vAlign w:val="top"/>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马岩村书法森林公园巡护道</w:t>
                  </w:r>
                </w:p>
              </w:tc>
              <w:tc>
                <w:tcPr>
                  <w:tcW w:w="1470" w:type="dxa"/>
                  <w:tcBorders>
                    <w:top w:val="single" w:color="auto" w:sz="4" w:space="0"/>
                    <w:bottom w:val="single" w:color="auto" w:sz="4"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1.294</w:t>
                  </w:r>
                </w:p>
              </w:tc>
              <w:tc>
                <w:tcPr>
                  <w:tcW w:w="3284" w:type="dxa"/>
                  <w:tcBorders>
                    <w:top w:val="single" w:color="auto" w:sz="4" w:space="0"/>
                    <w:bottom w:val="single" w:color="auto" w:sz="4" w:space="0"/>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人行巡护道路，供巡护人员通行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3" w:hRule="atLeast"/>
              </w:trPr>
              <w:tc>
                <w:tcPr>
                  <w:tcW w:w="875" w:type="dxa"/>
                  <w:tcBorders>
                    <w:lef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2293" w:type="dxa"/>
                  <w:tcBorders>
                    <w:top w:val="single" w:color="auto" w:sz="4" w:space="0"/>
                    <w:bottom w:val="single" w:color="auto" w:sz="4" w:space="0"/>
                  </w:tcBorders>
                  <w:vAlign w:val="top"/>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狮山村书法森林公园生产便道</w:t>
                  </w:r>
                </w:p>
              </w:tc>
              <w:tc>
                <w:tcPr>
                  <w:tcW w:w="1470" w:type="dxa"/>
                  <w:tcBorders>
                    <w:top w:val="single" w:color="auto" w:sz="4" w:space="0"/>
                    <w:bottom w:val="single" w:color="auto" w:sz="4"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0.77</w:t>
                  </w:r>
                </w:p>
              </w:tc>
              <w:tc>
                <w:tcPr>
                  <w:tcW w:w="3284" w:type="dxa"/>
                  <w:tcBorders>
                    <w:top w:val="single" w:color="auto" w:sz="4" w:space="0"/>
                    <w:bottom w:val="single" w:color="auto" w:sz="4" w:space="0"/>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按路基宽度4.5米进行既有水泥混凝土路面黑化及附属设施改造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3" w:hRule="atLeast"/>
              </w:trPr>
              <w:tc>
                <w:tcPr>
                  <w:tcW w:w="7922" w:type="dxa"/>
                  <w:gridSpan w:val="4"/>
                  <w:tcBorders>
                    <w:left w:val="single" w:color="000000" w:sz="2" w:space="0"/>
                    <w:right w:val="single" w:color="000000" w:sz="2" w:space="0"/>
                  </w:tcBorders>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蓬溪县国家储备林建设项目基础设施建设道路部分长度合计</w:t>
                  </w:r>
                </w:p>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生产便道：13.281km</w:t>
                  </w:r>
                </w:p>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巡护道路：43.287km</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　主要技术指标表（房建）</w:t>
            </w:r>
          </w:p>
          <w:tbl>
            <w:tblPr>
              <w:tblStyle w:val="22"/>
              <w:tblW w:w="79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4"/>
              <w:gridCol w:w="2532"/>
              <w:gridCol w:w="543"/>
              <w:gridCol w:w="1085"/>
              <w:gridCol w:w="660"/>
              <w:gridCol w:w="818"/>
              <w:gridCol w:w="604"/>
              <w:gridCol w:w="636"/>
              <w:gridCol w:w="6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60" w:hRule="atLeast"/>
              </w:trPr>
              <w:tc>
                <w:tcPr>
                  <w:tcW w:w="484" w:type="dxa"/>
                  <w:tcBorders>
                    <w:top w:val="single" w:color="000000" w:sz="8"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2532" w:type="dxa"/>
                  <w:tcBorders>
                    <w:top w:val="single" w:color="000000" w:sz="8"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子项名称</w:t>
                  </w:r>
                </w:p>
              </w:tc>
              <w:tc>
                <w:tcPr>
                  <w:tcW w:w="543" w:type="dxa"/>
                  <w:tcBorders>
                    <w:top w:val="single" w:color="000000" w:sz="8"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单位</w:t>
                  </w:r>
                </w:p>
              </w:tc>
              <w:tc>
                <w:tcPr>
                  <w:tcW w:w="1085" w:type="dxa"/>
                  <w:tcBorders>
                    <w:top w:val="single" w:color="000000" w:sz="8"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工程量</w:t>
                  </w:r>
                </w:p>
              </w:tc>
              <w:tc>
                <w:tcPr>
                  <w:tcW w:w="660" w:type="dxa"/>
                  <w:tcBorders>
                    <w:top w:val="single" w:color="000000" w:sz="8"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建筑层数</w:t>
                  </w:r>
                </w:p>
              </w:tc>
              <w:tc>
                <w:tcPr>
                  <w:tcW w:w="818" w:type="dxa"/>
                  <w:tcBorders>
                    <w:top w:val="single" w:color="000000" w:sz="8"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建筑高度(m）</w:t>
                  </w:r>
                </w:p>
              </w:tc>
              <w:tc>
                <w:tcPr>
                  <w:tcW w:w="604" w:type="dxa"/>
                  <w:tcBorders>
                    <w:top w:val="single" w:color="000000" w:sz="8"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耐火等级</w:t>
                  </w:r>
                </w:p>
              </w:tc>
              <w:tc>
                <w:tcPr>
                  <w:tcW w:w="636" w:type="dxa"/>
                  <w:tcBorders>
                    <w:top w:val="single" w:color="000000" w:sz="8"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屋面防水等级</w:t>
                  </w:r>
                </w:p>
              </w:tc>
              <w:tc>
                <w:tcPr>
                  <w:tcW w:w="606" w:type="dxa"/>
                  <w:tcBorders>
                    <w:top w:val="single" w:color="000000" w:sz="8"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结构类型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高峰山片区防火瞭望塔</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座</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44.30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高峰山片区管护用房1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248.59</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7.49</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高峰山片区管护用房3</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416.92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10.54</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高峰山片区管护用房4</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583.81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8.64</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高峰山片区管护用房5</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1526.37</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14.13</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金桥之心山顶公园生态停车场1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2206.87</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金桥之心山顶公园生态停车场2</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金桥之心山顶公园管护用房1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134.60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金桥之心山顶公园管护用房2</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247.89</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金桥之心山顶公园管护用房3</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232.32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金桥之心山顶公园管护用房4</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1129.10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7.80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槐花香桂产业园管护用房</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480.59</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8.65</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槐花香桂产业园生态停车场</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618.95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槐花香桂产业园防火瞭望台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座</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任隆镇桃花产业防火瞭望台1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任隆镇桃花产业消防水池</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个</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蓬南白芷产业园防火瞭望台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墨砚湖片区管护用房1</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1273.24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9.90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墨砚湖片区管护用房2</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2034.23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14.56</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墨砚湖片区管护用房3</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1025.77</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墨砚湖片区管护用房4</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2197.45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11.70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墨砚湖片区防火瞭望台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94.64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墨砚湖片区防火瞭望塔</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墨砚湖片区七星村管护用房</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323.88</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墨砚湖片区七星村消防水池</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个</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赤城湖片区管理用房</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1273.24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9.90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赤城湖片区生态停车场</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966.69</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新建村书法森林公园消防水池</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个</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4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新建村书法森林公园防火瞭望台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新建村书法森林公园防火瞭望塔</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19.50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新建村书法森林公园生态停车场</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662.57</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三凤镇书法森林公园防火瞭望塔</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三凤镇书法森林公园防火瞭望台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178</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宝梵村书法森林公园防火瞭望台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文井镇双龙桥村书法森林公园防火瞭望塔</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19.50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文井镇双龙桥村书法森林公园防火瞭望台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天福镇书法森林公园防火瞭望塔</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天福镇书法森林公园生态停车场</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953.17</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常乐镇书法森林公园管护用房</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480.59</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常乐镇书法森林公园防火瞭望台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常乐镇书法森林公园防火瞭望塔</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19.50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常乐镇书法森林公园消防水池</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个</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明月镇书法森林公园防火瞭望塔</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明月镇书法森林公园防火瞭望台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吉祥镇书法森林公园防火瞭望台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红江镇书法森林公园防火瞭望塔</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红江镇书法森林公园防火瞭望台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178</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马岩村书法森林公园管护用房</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265.54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7.65</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马岩村书法森林公园防火瞭望台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马岩村书法森林公园防火瞭望塔</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19.50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马岩村书法森林公园晒坝</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940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荷叶乡书法森林公园防火瞭望塔</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框架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53</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荷叶乡书法森林公园防火瞭望台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果园村书法森林公园防火瞭望塔</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19.50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Ⅱ级</w:t>
                  </w: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果园村书法森林公园防火瞭望台</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青龙咀村书法森林公园消防水池</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个</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青龙咀村书法森林公园灌溉系统</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km</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会先桥村书法森林公园消防水池</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个</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会先桥村书法森林公园生态停车场</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129.05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484" w:type="dxa"/>
                  <w:tcBorders>
                    <w:top w:val="single" w:color="000000" w:sz="4" w:space="0"/>
                    <w:left w:val="single" w:color="000000" w:sz="8" w:space="0"/>
                    <w:bottom w:val="single" w:color="000000" w:sz="8"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2532" w:type="dxa"/>
                  <w:tcBorders>
                    <w:top w:val="single" w:color="000000" w:sz="4" w:space="0"/>
                    <w:left w:val="single" w:color="000000" w:sz="4" w:space="0"/>
                    <w:bottom w:val="single" w:color="000000" w:sz="8"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拱市村书法森林公园消防水池</w:t>
                  </w:r>
                </w:p>
              </w:tc>
              <w:tc>
                <w:tcPr>
                  <w:tcW w:w="543" w:type="dxa"/>
                  <w:tcBorders>
                    <w:top w:val="single" w:color="000000" w:sz="4" w:space="0"/>
                    <w:left w:val="single" w:color="000000" w:sz="4" w:space="0"/>
                    <w:bottom w:val="single" w:color="000000" w:sz="8"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个</w:t>
                  </w:r>
                </w:p>
              </w:tc>
              <w:tc>
                <w:tcPr>
                  <w:tcW w:w="1085" w:type="dxa"/>
                  <w:tcBorders>
                    <w:top w:val="single" w:color="000000" w:sz="4" w:space="0"/>
                    <w:left w:val="single" w:color="000000" w:sz="4" w:space="0"/>
                    <w:bottom w:val="single" w:color="000000" w:sz="8"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60" w:type="dxa"/>
                  <w:tcBorders>
                    <w:top w:val="single" w:color="000000" w:sz="4" w:space="0"/>
                    <w:left w:val="single" w:color="000000" w:sz="4" w:space="0"/>
                    <w:bottom w:val="single" w:color="000000" w:sz="8"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18" w:type="dxa"/>
                  <w:tcBorders>
                    <w:top w:val="single" w:color="000000" w:sz="4" w:space="0"/>
                    <w:left w:val="single" w:color="000000" w:sz="4" w:space="0"/>
                    <w:bottom w:val="single" w:color="000000" w:sz="8"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4" w:type="dxa"/>
                  <w:tcBorders>
                    <w:top w:val="single" w:color="000000" w:sz="4" w:space="0"/>
                    <w:left w:val="single" w:color="000000" w:sz="4" w:space="0"/>
                    <w:bottom w:val="single" w:color="000000" w:sz="8"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36" w:type="dxa"/>
                  <w:tcBorders>
                    <w:top w:val="single" w:color="000000" w:sz="4" w:space="0"/>
                    <w:left w:val="single" w:color="000000" w:sz="4" w:space="0"/>
                    <w:bottom w:val="single" w:color="000000" w:sz="8" w:space="0"/>
                    <w:right w:val="single" w:color="000000" w:sz="4"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6" w:type="dxa"/>
                  <w:tcBorders>
                    <w:top w:val="single" w:color="000000" w:sz="4" w:space="0"/>
                    <w:left w:val="single" w:color="000000" w:sz="4" w:space="0"/>
                    <w:bottom w:val="single" w:color="000000" w:sz="8" w:space="0"/>
                    <w:right w:val="single" w:color="000000" w:sz="8" w:space="0"/>
                  </w:tcBorders>
                  <w:shd w:val="clear" w:color="auto" w:fill="auto"/>
                  <w:vAlign w:val="center"/>
                </w:tcPr>
                <w:p>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bl>
          <w:p>
            <w:pPr>
              <w:pStyle w:val="5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right="0" w:firstLine="482" w:firstLineChars="200"/>
              <w:jc w:val="both"/>
              <w:textAlignment w:val="auto"/>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道路设计</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482" w:firstLineChars="200"/>
              <w:textAlignment w:val="auto"/>
              <w:outlineLvl w:val="3"/>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5.1道路横断面</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相关要求，本次蓬溪县国家储备林建设及森林质量提升项目基础设施建设道路部分，按照对既有原路进行拓宽并黑化，不改变原路平面线型及纵坡，局部截弯取直段落按照《林区公路设计规范》（LY/T5005-2014）标准规范进行设计。</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确定的公路等级、设计标准，本项目按单车道林防四级公路标准修建，设计速度15km/h，路基宽度为4.0m。一般路段宽度为4.0m，路基标准横断面组成如下：2×0.5m（土路肩）+3.0m（行车道）。路肩采用土路肩硬化。</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路基宽度4.5m：2×0.5m路肩+1×3.5m行车道，路肩为土路肩硬化。</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路基宽度4.0m：2×0.25m路肩+1×3.5m行车道，路肩为土路肩。</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路拱横坡：为便于路面积水快速排出，采用双向坡，路拱横坡为2%和1.5%。</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482" w:firstLineChars="200"/>
              <w:textAlignment w:val="auto"/>
              <w:outlineLvl w:val="3"/>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5.2各生产便道路线布设情况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生产便道路线长度13.281km，巡护道路路线长度43.372km。</w:t>
            </w:r>
            <w:r>
              <w:rPr>
                <w:rFonts w:hint="eastAsia" w:ascii="Times New Roman" w:hAnsi="Times New Roman" w:cs="Times New Roman"/>
                <w:color w:val="auto"/>
                <w:sz w:val="24"/>
                <w:szCs w:val="24"/>
                <w:highlight w:val="none"/>
                <w:lang w:val="en-US" w:eastAsia="zh-CN"/>
              </w:rPr>
              <w:t>生产便道布设情况如下：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香溪谷片区生产便道</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本路段起点与现有道路平面交叉，环绕香溪谷水域一圈，路段止点回到起点位置。路线为新建，全长1.591km，路基宽度4.0米。</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default" w:ascii="Times New Roman" w:hAnsi="Times New Roman" w:cs="Times New Roman"/>
                <w:color w:val="auto"/>
                <w:sz w:val="24"/>
                <w:szCs w:val="24"/>
                <w:highlight w:val="none"/>
                <w:lang w:val="en-US" w:eastAsia="zh-CN"/>
              </w:rPr>
            </w:pPr>
            <w:r>
              <w:rPr>
                <w:color w:val="auto"/>
                <w:position w:val="-91"/>
              </w:rPr>
              <w:drawing>
                <wp:inline distT="0" distB="0" distL="0" distR="0">
                  <wp:extent cx="5086985" cy="2919095"/>
                  <wp:effectExtent l="9525" t="9525" r="27940" b="2413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6"/>
                          <a:srcRect r="12751" b="-25"/>
                          <a:stretch>
                            <a:fillRect/>
                          </a:stretch>
                        </pic:blipFill>
                        <pic:spPr>
                          <a:xfrm>
                            <a:off x="0" y="0"/>
                            <a:ext cx="5086985" cy="2919095"/>
                          </a:xfrm>
                          <a:prstGeom prst="rect">
                            <a:avLst/>
                          </a:prstGeom>
                          <a:ln w="6350">
                            <a:solidFill>
                              <a:schemeClr val="tx1"/>
                            </a:solid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2）金桥之心山顶公园片区生产便道</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本路段起点接现有道路，一路上坡，经山腰管用房后下坡，至山脚规划道路为止点。路线为新建，初设路线全长1.23km，路基宽度4.5米。</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drawing>
                <wp:inline distT="0" distB="0" distL="0" distR="0">
                  <wp:extent cx="5106035" cy="3110230"/>
                  <wp:effectExtent l="9525" t="9525" r="27940" b="23495"/>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7"/>
                          <a:srcRect r="8665" b="1097"/>
                          <a:stretch>
                            <a:fillRect/>
                          </a:stretch>
                        </pic:blipFill>
                        <pic:spPr>
                          <a:xfrm>
                            <a:off x="0" y="0"/>
                            <a:ext cx="5106035" cy="3110230"/>
                          </a:xfrm>
                          <a:prstGeom prst="rect">
                            <a:avLst/>
                          </a:prstGeom>
                          <a:ln w="6350">
                            <a:solidFill>
                              <a:schemeClr val="tx1"/>
                            </a:solid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3）唐兴古城芝溪河片区生产便桥</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本便桥连接芝溪河两岸，大大提高了两岸的生产便利，方便林下经济发展及消防车辆的快速通行，桥长0.05km。</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drawing>
                <wp:inline distT="0" distB="0" distL="0" distR="0">
                  <wp:extent cx="5066665" cy="2038985"/>
                  <wp:effectExtent l="9525" t="9525" r="10160" b="2794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8"/>
                          <a:srcRect l="1483" r="3513" b="-437"/>
                          <a:stretch>
                            <a:fillRect/>
                          </a:stretch>
                        </pic:blipFill>
                        <pic:spPr>
                          <a:xfrm>
                            <a:off x="0" y="0"/>
                            <a:ext cx="5066665" cy="2038985"/>
                          </a:xfrm>
                          <a:prstGeom prst="rect">
                            <a:avLst/>
                          </a:prstGeom>
                          <a:ln w="6350">
                            <a:solidFill>
                              <a:schemeClr val="tx1"/>
                            </a:solid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4）金桥滨河绿带片区生产便道</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本路段为涪江沿岸堤顶路，路线起点接县界与船山区交界现有道路，一路沿堤顶，下跨两座桥梁，止点为现有道路。路线为加铺改建，路线全长4.53km，路基宽度4.5米。</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drawing>
                <wp:inline distT="0" distB="0" distL="0" distR="0">
                  <wp:extent cx="5088255" cy="2863850"/>
                  <wp:effectExtent l="9525" t="9525" r="26670" b="22225"/>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9"/>
                          <a:srcRect l="5556" r="5392" b="611"/>
                          <a:stretch>
                            <a:fillRect/>
                          </a:stretch>
                        </pic:blipFill>
                        <pic:spPr>
                          <a:xfrm>
                            <a:off x="0" y="0"/>
                            <a:ext cx="5088255" cy="2863850"/>
                          </a:xfrm>
                          <a:prstGeom prst="rect">
                            <a:avLst/>
                          </a:prstGeom>
                          <a:ln w="6350">
                            <a:solidFill>
                              <a:schemeClr val="tx1"/>
                            </a:solid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5）墨砚湖片区生产便道</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墨砚湖片区共3条生产便道，其中1条新建，2条黑化改建。新建道路起点接墨砚湖规划8米宽规划道路，上山后接规划停车场，止点接现有村道；两条改建路位于联二寨位置，现状为水泥路，改建为沥青混凝土路面。墨砚湖片区生产便道路线全长2.111km，路基宽度4.5米。</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drawing>
                <wp:inline distT="0" distB="0" distL="0" distR="0">
                  <wp:extent cx="5078730" cy="2767965"/>
                  <wp:effectExtent l="9525" t="9525" r="17145" b="2286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20"/>
                          <a:srcRect l="7403" r="6142" b="1728"/>
                          <a:stretch>
                            <a:fillRect/>
                          </a:stretch>
                        </pic:blipFill>
                        <pic:spPr>
                          <a:xfrm>
                            <a:off x="0" y="0"/>
                            <a:ext cx="5078730" cy="2767965"/>
                          </a:xfrm>
                          <a:prstGeom prst="rect">
                            <a:avLst/>
                          </a:prstGeom>
                          <a:ln w="6350">
                            <a:solidFill>
                              <a:schemeClr val="tx1"/>
                            </a:solid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6）牛角沟村书法森林公园生产便道</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本片区两条生产便道均为加宽改建道路，便道1起止点接现有沥青路，便道2起点接现有道路，止点接便道1。路线全长2.258km，路基宽度4.5米。</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drawing>
                <wp:inline distT="0" distB="0" distL="0" distR="0">
                  <wp:extent cx="5097780" cy="2309495"/>
                  <wp:effectExtent l="9525" t="9525" r="17145" b="2413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1"/>
                          <a:srcRect l="3554" r="2397" b="-1206"/>
                          <a:stretch>
                            <a:fillRect/>
                          </a:stretch>
                        </pic:blipFill>
                        <pic:spPr>
                          <a:xfrm>
                            <a:off x="0" y="0"/>
                            <a:ext cx="5097780" cy="2309495"/>
                          </a:xfrm>
                          <a:prstGeom prst="rect">
                            <a:avLst/>
                          </a:prstGeom>
                          <a:ln w="6350">
                            <a:solidFill>
                              <a:schemeClr val="tx1"/>
                            </a:solid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7）马岩村书法森林公园生产便道</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本路段起点位于红江镇马岩村，起止点接现有道路，路线沿山林走线。路线为新建，初设路线全长0.742km，路基宽度4.5米。</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drawing>
                <wp:inline distT="0" distB="0" distL="0" distR="0">
                  <wp:extent cx="5097780" cy="1794510"/>
                  <wp:effectExtent l="9525" t="9525" r="17145" b="24765"/>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2"/>
                          <a:srcRect l="3403" r="4172" b="-2706"/>
                          <a:stretch>
                            <a:fillRect/>
                          </a:stretch>
                        </pic:blipFill>
                        <pic:spPr>
                          <a:xfrm>
                            <a:off x="0" y="0"/>
                            <a:ext cx="5097780" cy="1794510"/>
                          </a:xfrm>
                          <a:prstGeom prst="rect">
                            <a:avLst/>
                          </a:prstGeom>
                          <a:ln w="6350">
                            <a:solidFill>
                              <a:schemeClr val="tx1"/>
                            </a:solid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8）狮山村书法森林公园生产便道</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本路段起点天福镇狮山村，为原路改建，原路为水泥路，起点接场镇外围现有沥青路，经狮山寺，沿原路下山，接农业产业园沥青路。路线为改建，初设路线全长0.77km，路基宽度4.5米。</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eastAsia" w:ascii="Times New Roman" w:hAnsi="Times New Roman" w:cs="Times New Roman"/>
                <w:color w:val="auto"/>
                <w:sz w:val="24"/>
                <w:szCs w:val="24"/>
                <w:highlight w:val="none"/>
                <w:lang w:val="en-US" w:eastAsia="zh-CN"/>
              </w:rPr>
            </w:pPr>
            <w:r>
              <w:rPr>
                <w:color w:val="auto"/>
                <w:position w:val="-98"/>
              </w:rPr>
              <w:drawing>
                <wp:inline distT="0" distB="0" distL="0" distR="0">
                  <wp:extent cx="5033645" cy="3064510"/>
                  <wp:effectExtent l="9525" t="9525" r="24130" b="12065"/>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3"/>
                          <a:srcRect l="9090" r="7522" b="102"/>
                          <a:stretch>
                            <a:fillRect/>
                          </a:stretch>
                        </pic:blipFill>
                        <pic:spPr>
                          <a:xfrm>
                            <a:off x="0" y="0"/>
                            <a:ext cx="5033645" cy="3064510"/>
                          </a:xfrm>
                          <a:prstGeom prst="rect">
                            <a:avLst/>
                          </a:prstGeom>
                          <a:ln w="6350">
                            <a:solidFill>
                              <a:schemeClr val="tx1"/>
                            </a:solidFill>
                          </a:ln>
                        </pic:spPr>
                      </pic:pic>
                    </a:graphicData>
                  </a:graphic>
                </wp:inline>
              </w:drawing>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jc w:val="both"/>
              <w:textAlignment w:val="auto"/>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5.3桥涵概况</w:t>
            </w:r>
          </w:p>
          <w:p>
            <w:pPr>
              <w:kinsoku w:val="0"/>
              <w:autoSpaceDE w:val="0"/>
              <w:autoSpaceDN w:val="0"/>
              <w:adjustRightInd w:val="0"/>
              <w:snapToGrid w:val="0"/>
              <w:spacing w:before="219" w:line="346" w:lineRule="auto"/>
              <w:ind w:left="179" w:right="167" w:firstLine="479"/>
              <w:jc w:val="left"/>
              <w:textAlignment w:val="baseline"/>
              <w:rPr>
                <w:rFonts w:ascii="宋体" w:hAnsi="宋体" w:eastAsia="宋体" w:cs="宋体"/>
                <w:snapToGrid w:val="0"/>
                <w:color w:val="auto"/>
                <w:kern w:val="0"/>
                <w:sz w:val="24"/>
                <w:szCs w:val="24"/>
                <w:lang w:val="en-US" w:eastAsia="en-US" w:bidi="ar-SA"/>
              </w:rPr>
            </w:pPr>
            <w:r>
              <w:rPr>
                <w:rFonts w:ascii="宋体" w:hAnsi="宋体" w:eastAsia="宋体" w:cs="宋体"/>
                <w:snapToGrid w:val="0"/>
                <w:color w:val="auto"/>
                <w:spacing w:val="-2"/>
                <w:kern w:val="0"/>
                <w:sz w:val="24"/>
                <w:szCs w:val="24"/>
                <w:lang w:val="en-US" w:eastAsia="en-US" w:bidi="ar-SA"/>
              </w:rPr>
              <w:t>蓬溪县国家储备林项目基础设施建设共设置两座桥梁，分别位于唐兴</w:t>
            </w:r>
            <w:r>
              <w:rPr>
                <w:rFonts w:ascii="宋体" w:hAnsi="宋体" w:eastAsia="宋体" w:cs="宋体"/>
                <w:snapToGrid w:val="0"/>
                <w:color w:val="auto"/>
                <w:spacing w:val="-3"/>
                <w:kern w:val="0"/>
                <w:sz w:val="24"/>
                <w:szCs w:val="24"/>
                <w:lang w:val="en-US" w:eastAsia="en-US" w:bidi="ar-SA"/>
              </w:rPr>
              <w:t>古城芝溪河片区和九</w:t>
            </w:r>
            <w:r>
              <w:rPr>
                <w:rFonts w:ascii="宋体" w:hAnsi="宋体" w:eastAsia="宋体" w:cs="宋体"/>
                <w:snapToGrid w:val="0"/>
                <w:color w:val="auto"/>
                <w:spacing w:val="-1"/>
                <w:kern w:val="0"/>
                <w:sz w:val="24"/>
                <w:szCs w:val="24"/>
                <w:lang w:val="en-US" w:eastAsia="en-US" w:bidi="ar-SA"/>
              </w:rPr>
              <w:t>龙寨村书法森林公园巡护路。</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en-US"/>
              </w:rPr>
            </w:pPr>
            <w:r>
              <w:rPr>
                <w:rFonts w:hint="eastAsia" w:ascii="Times New Roman" w:hAnsi="Times New Roman" w:eastAsia="宋体" w:cs="Times New Roman"/>
                <w:b/>
                <w:bCs/>
                <w:color w:val="auto"/>
                <w:sz w:val="21"/>
                <w:szCs w:val="21"/>
                <w:lang w:val="en-US" w:eastAsia="en-US"/>
              </w:rPr>
              <w:t>表6-1  桥梁布置表</w:t>
            </w:r>
          </w:p>
          <w:p>
            <w:pPr>
              <w:widowControl/>
              <w:kinsoku w:val="0"/>
              <w:autoSpaceDE w:val="0"/>
              <w:autoSpaceDN w:val="0"/>
              <w:adjustRightInd w:val="0"/>
              <w:snapToGrid w:val="0"/>
              <w:spacing w:line="89" w:lineRule="exact"/>
              <w:ind w:firstLine="0" w:firstLineChars="0"/>
              <w:jc w:val="left"/>
              <w:textAlignment w:val="baseline"/>
              <w:rPr>
                <w:rFonts w:ascii="Arial" w:hAnsi="Arial" w:eastAsia="Arial" w:cs="Arial"/>
                <w:snapToGrid w:val="0"/>
                <w:color w:val="auto"/>
                <w:kern w:val="0"/>
                <w:sz w:val="21"/>
                <w:szCs w:val="21"/>
                <w:lang w:eastAsia="en-US"/>
              </w:rPr>
            </w:pPr>
          </w:p>
          <w:tbl>
            <w:tblPr>
              <w:tblStyle w:val="55"/>
              <w:tblW w:w="792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7"/>
              <w:gridCol w:w="1164"/>
              <w:gridCol w:w="847"/>
              <w:gridCol w:w="996"/>
              <w:gridCol w:w="593"/>
              <w:gridCol w:w="561"/>
              <w:gridCol w:w="601"/>
              <w:gridCol w:w="1048"/>
              <w:gridCol w:w="18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jc w:val="center"/>
              </w:trPr>
              <w:tc>
                <w:tcPr>
                  <w:tcW w:w="287" w:type="dxa"/>
                  <w:vMerge w:val="restart"/>
                  <w:tcBorders>
                    <w:top w:val="single" w:color="000000" w:sz="2" w:space="0"/>
                    <w:left w:val="single" w:color="000000" w:sz="2" w:space="0"/>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33" w:line="21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序号</w:t>
                  </w:r>
                </w:p>
              </w:tc>
              <w:tc>
                <w:tcPr>
                  <w:tcW w:w="1164" w:type="dxa"/>
                  <w:vMerge w:val="restart"/>
                  <w:tcBorders>
                    <w:top w:val="single" w:color="00000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中心桩号</w:t>
                  </w:r>
                </w:p>
              </w:tc>
              <w:tc>
                <w:tcPr>
                  <w:tcW w:w="847" w:type="dxa"/>
                  <w:vMerge w:val="restart"/>
                  <w:tcBorders>
                    <w:top w:val="single" w:color="00000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90"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8"/>
                      <w:kern w:val="0"/>
                      <w:sz w:val="21"/>
                      <w:szCs w:val="21"/>
                      <w:lang w:eastAsia="en-US"/>
                    </w:rPr>
                    <w:t>河名或桥</w:t>
                  </w:r>
                  <w:r>
                    <w:rPr>
                      <w:rFonts w:hint="default" w:ascii="Times New Roman" w:hAnsi="Times New Roman" w:eastAsia="宋体" w:cs="Times New Roman"/>
                      <w:snapToGrid w:val="0"/>
                      <w:color w:val="auto"/>
                      <w:kern w:val="0"/>
                      <w:sz w:val="21"/>
                      <w:szCs w:val="21"/>
                      <w:lang w:eastAsia="en-US"/>
                    </w:rPr>
                    <w:t>名</w:t>
                  </w:r>
                </w:p>
              </w:tc>
              <w:tc>
                <w:tcPr>
                  <w:tcW w:w="996" w:type="dxa"/>
                  <w:vMerge w:val="restart"/>
                  <w:tcBorders>
                    <w:top w:val="single" w:color="00000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1" w:line="292"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7"/>
                      <w:kern w:val="0"/>
                      <w:sz w:val="21"/>
                      <w:szCs w:val="21"/>
                      <w:lang w:eastAsia="en-US"/>
                    </w:rPr>
                    <w:t>孔数及</w:t>
                  </w:r>
                  <w:r>
                    <w:rPr>
                      <w:rFonts w:hint="default" w:ascii="Times New Roman" w:hAnsi="Times New Roman" w:eastAsia="宋体" w:cs="Times New Roman"/>
                      <w:snapToGrid w:val="0"/>
                      <w:color w:val="auto"/>
                      <w:spacing w:val="43"/>
                      <w:kern w:val="0"/>
                      <w:sz w:val="21"/>
                      <w:szCs w:val="21"/>
                      <w:lang w:eastAsia="en-US"/>
                    </w:rPr>
                    <w:t>跨径</w:t>
                  </w:r>
                  <w:r>
                    <w:rPr>
                      <w:rFonts w:hint="default" w:ascii="Times New Roman" w:hAnsi="Times New Roman" w:eastAsia="宋体" w:cs="Times New Roman"/>
                      <w:snapToGrid w:val="0"/>
                      <w:color w:val="auto"/>
                      <w:spacing w:val="2"/>
                      <w:kern w:val="0"/>
                      <w:sz w:val="21"/>
                      <w:szCs w:val="21"/>
                      <w:lang w:eastAsia="en-US"/>
                    </w:rPr>
                    <w:t>(孔-m)</w:t>
                  </w:r>
                </w:p>
              </w:tc>
              <w:tc>
                <w:tcPr>
                  <w:tcW w:w="593" w:type="dxa"/>
                  <w:vMerge w:val="restart"/>
                  <w:tcBorders>
                    <w:top w:val="single" w:color="00000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302"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桥梁全长(m)</w:t>
                  </w:r>
                </w:p>
              </w:tc>
              <w:tc>
                <w:tcPr>
                  <w:tcW w:w="561" w:type="dxa"/>
                  <w:vMerge w:val="restart"/>
                  <w:tcBorders>
                    <w:top w:val="single" w:color="00000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302"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桥梁</w:t>
                  </w:r>
                  <w:r>
                    <w:rPr>
                      <w:rFonts w:hint="default" w:ascii="Times New Roman" w:hAnsi="Times New Roman" w:eastAsia="宋体" w:cs="Times New Roman"/>
                      <w:snapToGrid w:val="0"/>
                      <w:color w:val="auto"/>
                      <w:spacing w:val="-4"/>
                      <w:kern w:val="0"/>
                      <w:sz w:val="21"/>
                      <w:szCs w:val="21"/>
                      <w:lang w:eastAsia="en-US"/>
                    </w:rPr>
                    <w:t>全宽</w:t>
                  </w:r>
                  <w:r>
                    <w:rPr>
                      <w:rFonts w:hint="default" w:ascii="Times New Roman" w:hAnsi="Times New Roman" w:eastAsia="宋体" w:cs="Times New Roman"/>
                      <w:snapToGrid w:val="0"/>
                      <w:color w:val="auto"/>
                      <w:spacing w:val="1"/>
                      <w:kern w:val="0"/>
                      <w:sz w:val="21"/>
                      <w:szCs w:val="21"/>
                      <w:lang w:eastAsia="en-US"/>
                    </w:rPr>
                    <w:t>(m)</w:t>
                  </w:r>
                </w:p>
              </w:tc>
              <w:tc>
                <w:tcPr>
                  <w:tcW w:w="601" w:type="dxa"/>
                  <w:vMerge w:val="restart"/>
                  <w:tcBorders>
                    <w:top w:val="single" w:color="000000" w:sz="2"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全桥面积(m</w:t>
                  </w:r>
                  <w:r>
                    <w:rPr>
                      <w:rFonts w:hint="default" w:ascii="Times New Roman" w:hAnsi="Times New Roman" w:eastAsia="宋体" w:cs="Times New Roman"/>
                      <w:snapToGrid w:val="0"/>
                      <w:color w:val="auto"/>
                      <w:spacing w:val="3"/>
                      <w:kern w:val="0"/>
                      <w:sz w:val="21"/>
                      <w:szCs w:val="21"/>
                      <w:vertAlign w:val="superscript"/>
                      <w:lang w:eastAsia="en-US"/>
                    </w:rPr>
                    <w:t>2</w:t>
                  </w:r>
                  <w:r>
                    <w:rPr>
                      <w:rFonts w:hint="default" w:ascii="Times New Roman" w:hAnsi="Times New Roman" w:eastAsia="宋体" w:cs="Times New Roman"/>
                      <w:snapToGrid w:val="0"/>
                      <w:color w:val="auto"/>
                      <w:spacing w:val="3"/>
                      <w:kern w:val="0"/>
                      <w:sz w:val="21"/>
                      <w:szCs w:val="21"/>
                      <w:lang w:eastAsia="en-US"/>
                    </w:rPr>
                    <w:t>)</w:t>
                  </w:r>
                </w:p>
              </w:tc>
              <w:tc>
                <w:tcPr>
                  <w:tcW w:w="2880" w:type="dxa"/>
                  <w:gridSpan w:val="2"/>
                  <w:tcBorders>
                    <w:top w:val="single" w:color="000000" w:sz="2" w:space="0"/>
                    <w:righ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结构类型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jc w:val="center"/>
              </w:trPr>
              <w:tc>
                <w:tcPr>
                  <w:tcW w:w="287" w:type="dxa"/>
                  <w:vMerge w:val="continue"/>
                  <w:tcBorders>
                    <w:top w:val="nil"/>
                    <w:left w:val="single" w:color="000000" w:sz="2" w:space="0"/>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116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847"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996"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593"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561"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601"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val="en-US" w:eastAsia="en-US"/>
                    </w:rPr>
                  </w:pPr>
                </w:p>
              </w:tc>
              <w:tc>
                <w:tcPr>
                  <w:tcW w:w="1048" w:type="dxa"/>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上部结构</w:t>
                  </w:r>
                </w:p>
              </w:tc>
              <w:tc>
                <w:tcPr>
                  <w:tcW w:w="1832" w:type="dxa"/>
                  <w:tcBorders>
                    <w:righ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下部结构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2" w:hRule="atLeast"/>
                <w:jc w:val="center"/>
              </w:trPr>
              <w:tc>
                <w:tcPr>
                  <w:tcW w:w="287" w:type="dxa"/>
                  <w:tcBorders>
                    <w:lef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w:t>
                  </w:r>
                </w:p>
              </w:tc>
              <w:tc>
                <w:tcPr>
                  <w:tcW w:w="116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K0+025</w:t>
                  </w:r>
                </w:p>
              </w:tc>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芝溪河经乐桥</w:t>
                  </w:r>
                </w:p>
              </w:tc>
              <w:tc>
                <w:tcPr>
                  <w:tcW w:w="99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5+40+5</w:t>
                  </w:r>
                </w:p>
              </w:tc>
              <w:tc>
                <w:tcPr>
                  <w:tcW w:w="5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50</w:t>
                  </w:r>
                </w:p>
              </w:tc>
              <w:tc>
                <w:tcPr>
                  <w:tcW w:w="5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3.8</w:t>
                  </w:r>
                </w:p>
              </w:tc>
              <w:tc>
                <w:tcPr>
                  <w:tcW w:w="6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190</w:t>
                  </w:r>
                </w:p>
              </w:tc>
              <w:tc>
                <w:tcPr>
                  <w:tcW w:w="104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钢桁架</w:t>
                  </w:r>
                </w:p>
              </w:tc>
              <w:tc>
                <w:tcPr>
                  <w:tcW w:w="1832" w:type="dxa"/>
                  <w:tcBorders>
                    <w:righ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重力式台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9" w:hRule="atLeast"/>
                <w:jc w:val="center"/>
              </w:trPr>
              <w:tc>
                <w:tcPr>
                  <w:tcW w:w="287" w:type="dxa"/>
                  <w:tcBorders>
                    <w:left w:val="single" w:color="000000" w:sz="2" w:space="0"/>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2</w:t>
                  </w:r>
                </w:p>
              </w:tc>
              <w:tc>
                <w:tcPr>
                  <w:tcW w:w="1164" w:type="dxa"/>
                  <w:tcBorders>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K0+523.1</w:t>
                  </w:r>
                </w:p>
              </w:tc>
              <w:tc>
                <w:tcPr>
                  <w:tcW w:w="847" w:type="dxa"/>
                  <w:tcBorders>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九龙寨村吊桥</w:t>
                  </w:r>
                </w:p>
              </w:tc>
              <w:tc>
                <w:tcPr>
                  <w:tcW w:w="996" w:type="dxa"/>
                  <w:tcBorders>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1-24</w:t>
                  </w:r>
                </w:p>
              </w:tc>
              <w:tc>
                <w:tcPr>
                  <w:tcW w:w="593" w:type="dxa"/>
                  <w:tcBorders>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38.2</w:t>
                  </w:r>
                </w:p>
              </w:tc>
              <w:tc>
                <w:tcPr>
                  <w:tcW w:w="561" w:type="dxa"/>
                  <w:tcBorders>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2</w:t>
                  </w:r>
                </w:p>
              </w:tc>
              <w:tc>
                <w:tcPr>
                  <w:tcW w:w="601" w:type="dxa"/>
                  <w:tcBorders>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76.4</w:t>
                  </w:r>
                </w:p>
              </w:tc>
              <w:tc>
                <w:tcPr>
                  <w:tcW w:w="1048" w:type="dxa"/>
                  <w:tcBorders>
                    <w:bottom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钢缆</w:t>
                  </w:r>
                </w:p>
              </w:tc>
              <w:tc>
                <w:tcPr>
                  <w:tcW w:w="1832" w:type="dxa"/>
                  <w:tcBorders>
                    <w:bottom w:val="single" w:color="000000" w:sz="2" w:space="0"/>
                    <w:right w:val="single" w:color="000000" w:sz="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62" w:line="228" w:lineRule="auto"/>
                    <w:ind w:left="24" w:leftChars="10" w:right="57" w:firstLine="0" w:firstLineChars="0"/>
                    <w:jc w:val="center"/>
                    <w:textAlignment w:val="baseline"/>
                    <w:rPr>
                      <w:rFonts w:hint="default" w:ascii="Times New Roman" w:hAnsi="Times New Roman" w:eastAsia="宋体" w:cs="Times New Roman"/>
                      <w:snapToGrid w:val="0"/>
                      <w:color w:val="auto"/>
                      <w:spacing w:val="3"/>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重力式台</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en-US"/>
              </w:rPr>
            </w:pP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en-US"/>
              </w:rPr>
              <w:t>上部结构</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en-US"/>
              </w:rPr>
            </w:pPr>
            <w:r>
              <w:rPr>
                <w:rFonts w:hint="eastAsia" w:ascii="Times New Roman" w:hAnsi="Times New Roman" w:cs="Times New Roman"/>
                <w:color w:val="auto"/>
                <w:sz w:val="24"/>
                <w:szCs w:val="24"/>
                <w:highlight w:val="none"/>
                <w:lang w:val="en-US" w:eastAsia="en-US"/>
              </w:rPr>
              <w:t>芝溪河经乐桥上跨芝溪河，采用5+40+5m下承式钢桁架桥，主梁主跨40m两端各延长5m，桥结构形式为连续钢桁梁结构，上部结构主要由桁架和横梁组成框架结构，整体受力。桥面铺装及栏杆等作为恒载施加在横梁上。主梁分节段在工厂焊接，</w:t>
            </w:r>
            <w:r>
              <w:rPr>
                <w:rFonts w:hint="eastAsia" w:cs="Times New Roman"/>
                <w:color w:val="auto"/>
                <w:sz w:val="24"/>
                <w:szCs w:val="24"/>
                <w:highlight w:val="none"/>
                <w:lang w:val="en-US" w:eastAsia="zh-CN"/>
              </w:rPr>
              <w:t>现场</w:t>
            </w:r>
            <w:r>
              <w:rPr>
                <w:rFonts w:hint="eastAsia" w:ascii="Times New Roman" w:hAnsi="Times New Roman" w:cs="Times New Roman"/>
                <w:color w:val="auto"/>
                <w:sz w:val="24"/>
                <w:szCs w:val="24"/>
                <w:highlight w:val="none"/>
                <w:lang w:val="en-US" w:eastAsia="en-US"/>
              </w:rPr>
              <w:t>组装。</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en-US"/>
              </w:rPr>
            </w:pPr>
            <w:r>
              <w:rPr>
                <w:rFonts w:hint="eastAsia" w:ascii="Times New Roman" w:hAnsi="Times New Roman" w:cs="Times New Roman"/>
                <w:color w:val="auto"/>
                <w:sz w:val="24"/>
                <w:szCs w:val="24"/>
                <w:highlight w:val="none"/>
                <w:lang w:val="en-US" w:eastAsia="en-US"/>
              </w:rPr>
              <w:t>九龙寨村吊桥上跨石板河，桥梁采用跨径为24m的人行吊桥，人行道净宽2.1m，矢跨比1/40。</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en-US"/>
              </w:rPr>
            </w:pP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en-US"/>
              </w:rPr>
              <w:t>下部结构</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en-US"/>
              </w:rPr>
            </w:pPr>
            <w:r>
              <w:rPr>
                <w:rFonts w:hint="eastAsia" w:ascii="Times New Roman" w:hAnsi="Times New Roman" w:cs="Times New Roman"/>
                <w:color w:val="auto"/>
                <w:sz w:val="24"/>
                <w:szCs w:val="24"/>
                <w:highlight w:val="none"/>
                <w:lang w:val="en-US" w:eastAsia="en-US"/>
              </w:rPr>
              <w:t>桥台均采用重力式桥台扩大基础，基底承载力不低于250kpa。</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en-US"/>
              </w:rPr>
            </w:pPr>
            <w:r>
              <w:rPr>
                <w:rFonts w:hint="eastAsia"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en-US"/>
              </w:rPr>
              <w:t>桥梁附属工程</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en-US"/>
              </w:rPr>
            </w:pPr>
            <w:r>
              <w:rPr>
                <w:rFonts w:hint="eastAsia" w:ascii="Times New Roman" w:hAnsi="Times New Roman" w:cs="Times New Roman"/>
                <w:color w:val="auto"/>
                <w:sz w:val="24"/>
                <w:szCs w:val="24"/>
                <w:highlight w:val="none"/>
                <w:lang w:val="en-US" w:eastAsia="en-US"/>
              </w:rPr>
              <w:t>支座：采用普通板式橡胶支座。</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en-US"/>
              </w:rPr>
            </w:pPr>
            <w:r>
              <w:rPr>
                <w:rFonts w:hint="eastAsia" w:ascii="Times New Roman" w:hAnsi="Times New Roman" w:cs="Times New Roman"/>
                <w:color w:val="auto"/>
                <w:sz w:val="24"/>
                <w:szCs w:val="24"/>
                <w:highlight w:val="none"/>
                <w:lang w:val="en-US" w:eastAsia="en-US"/>
              </w:rPr>
              <w:t>伸缩缝：采用镀锌钢板+活动螺栓的形式做简易伸缩缝，车行桥采用F-40型伸缩缝。</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en-US"/>
              </w:rPr>
            </w:pPr>
            <w:r>
              <w:rPr>
                <w:rFonts w:hint="eastAsia" w:ascii="Times New Roman" w:hAnsi="Times New Roman" w:cs="Times New Roman"/>
                <w:color w:val="auto"/>
                <w:sz w:val="24"/>
                <w:szCs w:val="24"/>
                <w:highlight w:val="none"/>
                <w:lang w:val="en-US" w:eastAsia="en-US"/>
              </w:rPr>
              <w:t>桥面铺装：芝溪河经乐桥采用“U”形压型钢板(6mm)+7~8.6cmC30细石防水钢筋混凝土+2cm厚水泥砂浆+2cm厚彩色防滑地砖；九龙寨村吊桥桥面采用木桥面</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en-US"/>
              </w:rPr>
              <w:t>满铺于人行道索上。每块桥面板与人行道索均采用U型螺栓连结。</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en-US"/>
              </w:rPr>
            </w:pPr>
            <w:r>
              <w:rPr>
                <w:rFonts w:hint="eastAsia" w:ascii="Times New Roman" w:hAnsi="Times New Roman" w:cs="Times New Roman"/>
                <w:color w:val="auto"/>
                <w:sz w:val="24"/>
                <w:szCs w:val="24"/>
                <w:highlight w:val="none"/>
                <w:lang w:val="en-US" w:eastAsia="en-US"/>
              </w:rPr>
              <w:t>栏杆：栏杆采用玻璃栏杆，具体形式由业主指定。</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项目桥梁不在水体内设置桥墩，不涉水施工。</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2" w:firstLineChars="200"/>
              <w:jc w:val="left"/>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5.4人行巡护道路</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人行巡护道路：包括衔接瞭望塔、防火气象站等的人行道路。路线选设应尽量设在向阳的坡面上，随坡就势，应符合通行安全的基本要求。道路宽度为1.5m～3m，最大坡度不大于45。陡坡设置梯道，梯道踏步高度不大于20cm，踏步宽度不小于30cm。险情易发地段设置安全扶手，保证通行安全。</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jc w:val="both"/>
              <w:textAlignment w:val="auto"/>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6、建筑设计</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482" w:firstLineChars="200"/>
              <w:textAlignment w:val="auto"/>
              <w:outlineLvl w:val="3"/>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6.1</w:t>
            </w:r>
            <w:r>
              <w:rPr>
                <w:rFonts w:hint="default" w:ascii="Times New Roman" w:hAnsi="Times New Roman" w:eastAsia="宋体" w:cs="Times New Roman"/>
                <w:b/>
                <w:bCs/>
                <w:color w:val="auto"/>
                <w:sz w:val="24"/>
                <w:szCs w:val="24"/>
                <w:highlight w:val="none"/>
                <w:lang w:val="en-US" w:eastAsia="zh-CN"/>
              </w:rPr>
              <w:t>管护用房</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高峰山片区管护用房1：</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该建筑为2</w:t>
            </w:r>
            <w:r>
              <w:rPr>
                <w:rFonts w:hint="default" w:ascii="Times New Roman" w:hAnsi="Times New Roman" w:eastAsia="宋体" w:cs="Times New Roman"/>
                <w:color w:val="auto"/>
                <w:sz w:val="24"/>
                <w:szCs w:val="24"/>
                <w:highlight w:val="none"/>
              </w:rPr>
              <w:t>层框架结构建筑，一层设置门厅、库房、业务用房、卫生间，二层设置业务用房、卫生间。</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高峰山片区管护用房</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该建筑为2</w:t>
            </w:r>
            <w:r>
              <w:rPr>
                <w:rFonts w:hint="default" w:ascii="Times New Roman" w:hAnsi="Times New Roman" w:eastAsia="宋体" w:cs="Times New Roman"/>
                <w:color w:val="auto"/>
                <w:sz w:val="24"/>
                <w:szCs w:val="24"/>
                <w:highlight w:val="none"/>
              </w:rPr>
              <w:t>层框架结构建筑，一层设置门厅、业务用房、管理用房、卫生间，二层设置业务用房、卫生间。</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高峰山片区管护用房</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该建筑为2</w:t>
            </w:r>
            <w:r>
              <w:rPr>
                <w:rFonts w:hint="default" w:ascii="Times New Roman" w:hAnsi="Times New Roman" w:eastAsia="宋体" w:cs="Times New Roman"/>
                <w:color w:val="auto"/>
                <w:sz w:val="24"/>
                <w:szCs w:val="24"/>
                <w:highlight w:val="none"/>
              </w:rPr>
              <w:t>层框架结构建筑，一层设置门厅、业务用房、管理用房、卫生间，二层设置业务用房、卫生间。</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高峰山片区管护用房</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该建筑为3</w:t>
            </w:r>
            <w:r>
              <w:rPr>
                <w:rFonts w:hint="default" w:ascii="Times New Roman" w:hAnsi="Times New Roman" w:eastAsia="宋体" w:cs="Times New Roman"/>
                <w:color w:val="auto"/>
                <w:sz w:val="24"/>
                <w:szCs w:val="24"/>
                <w:highlight w:val="none"/>
              </w:rPr>
              <w:t>层框架结构建筑，一层设置门厅、</w:t>
            </w:r>
            <w:r>
              <w:rPr>
                <w:rFonts w:hint="default" w:ascii="Times New Roman" w:hAnsi="Times New Roman" w:eastAsia="宋体" w:cs="Times New Roman"/>
                <w:color w:val="auto"/>
                <w:sz w:val="24"/>
                <w:szCs w:val="24"/>
                <w:highlight w:val="none"/>
                <w:lang w:val="en-US" w:eastAsia="zh-CN"/>
              </w:rPr>
              <w:t>餐厅、厨房、</w:t>
            </w:r>
            <w:r>
              <w:rPr>
                <w:rFonts w:hint="default" w:ascii="Times New Roman" w:hAnsi="Times New Roman" w:eastAsia="宋体" w:cs="Times New Roman"/>
                <w:color w:val="auto"/>
                <w:sz w:val="24"/>
                <w:szCs w:val="24"/>
                <w:highlight w:val="none"/>
              </w:rPr>
              <w:t>库房、管理用房、业务用房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卫生间，二</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rPr>
              <w:t>层设置业务用房、卫生间。</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color w:val="auto"/>
              </w:rPr>
            </w:pPr>
            <w:r>
              <w:rPr>
                <w:color w:val="auto"/>
              </w:rPr>
              <w:drawing>
                <wp:inline distT="0" distB="0" distL="114300" distR="114300">
                  <wp:extent cx="5074920" cy="5226050"/>
                  <wp:effectExtent l="9525" t="9525" r="20955" b="222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4"/>
                          <a:stretch>
                            <a:fillRect/>
                          </a:stretch>
                        </pic:blipFill>
                        <pic:spPr>
                          <a:xfrm>
                            <a:off x="0" y="0"/>
                            <a:ext cx="5074920" cy="5226050"/>
                          </a:xfrm>
                          <a:prstGeom prst="rect">
                            <a:avLst/>
                          </a:prstGeom>
                          <a:noFill/>
                          <a:ln w="6350" cmpd="sng">
                            <a:solidFill>
                              <a:schemeClr val="tx1"/>
                            </a:solidFill>
                            <a:prstDash val="solid"/>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高峰山片区管护用房总平面布置</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金桥之心山顶公园管护用房1：</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该建筑为1</w:t>
            </w:r>
            <w:r>
              <w:rPr>
                <w:rFonts w:hint="default" w:ascii="Times New Roman" w:hAnsi="Times New Roman" w:eastAsia="宋体" w:cs="Times New Roman"/>
                <w:color w:val="auto"/>
                <w:sz w:val="24"/>
                <w:szCs w:val="24"/>
                <w:highlight w:val="none"/>
              </w:rPr>
              <w:t>层框架结构建筑，一层设置配套服务用房。</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金桥之心山顶公园管护用房</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该建筑为2</w:t>
            </w:r>
            <w:r>
              <w:rPr>
                <w:rFonts w:hint="default" w:ascii="Times New Roman" w:hAnsi="Times New Roman" w:eastAsia="宋体" w:cs="Times New Roman"/>
                <w:color w:val="auto"/>
                <w:sz w:val="24"/>
                <w:szCs w:val="24"/>
                <w:highlight w:val="none"/>
              </w:rPr>
              <w:t>层框架结构建筑，</w:t>
            </w:r>
            <w:r>
              <w:rPr>
                <w:rFonts w:hint="default" w:ascii="Times New Roman" w:hAnsi="Times New Roman" w:eastAsia="宋体" w:cs="Times New Roman"/>
                <w:color w:val="auto"/>
                <w:sz w:val="24"/>
                <w:szCs w:val="24"/>
                <w:highlight w:val="none"/>
                <w:lang w:val="en-US" w:eastAsia="zh-CN"/>
              </w:rPr>
              <w:t>房间均</w:t>
            </w:r>
            <w:r>
              <w:rPr>
                <w:rFonts w:hint="default" w:ascii="Times New Roman" w:hAnsi="Times New Roman" w:eastAsia="宋体" w:cs="Times New Roman"/>
                <w:color w:val="auto"/>
                <w:sz w:val="24"/>
                <w:szCs w:val="24"/>
                <w:highlight w:val="none"/>
              </w:rPr>
              <w:t>设置</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配套服务用房。</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金桥之心山顶公园管护用房</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该建筑为2</w:t>
            </w:r>
            <w:r>
              <w:rPr>
                <w:rFonts w:hint="default" w:ascii="Times New Roman" w:hAnsi="Times New Roman" w:eastAsia="宋体" w:cs="Times New Roman"/>
                <w:color w:val="auto"/>
                <w:sz w:val="24"/>
                <w:szCs w:val="24"/>
                <w:highlight w:val="none"/>
              </w:rPr>
              <w:t>层框架结构建筑，一层设置门厅、配套服务用房、卫生间，二层设置配套服务用房、卫生间。</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金桥之心山顶公园管护用房</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该建筑为2</w:t>
            </w:r>
            <w:r>
              <w:rPr>
                <w:rFonts w:hint="default" w:ascii="Times New Roman" w:hAnsi="Times New Roman" w:eastAsia="宋体" w:cs="Times New Roman"/>
                <w:color w:val="auto"/>
                <w:sz w:val="24"/>
                <w:szCs w:val="24"/>
                <w:highlight w:val="none"/>
              </w:rPr>
              <w:t>层框架结构建筑，一层设置门厅、业务用房、卫生间，二层设置业务用房、卫生间</w:t>
            </w:r>
            <w:r>
              <w:rPr>
                <w:rFonts w:hint="eastAsia" w:cs="Times New Roman"/>
                <w:color w:val="auto"/>
                <w:sz w:val="24"/>
                <w:szCs w:val="24"/>
                <w:highlight w:val="none"/>
                <w:lang w:eastAsia="zh-CN"/>
              </w:rPr>
              <w:t>。</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槐花香桂产业园管护用房：</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该建筑为2</w:t>
            </w:r>
            <w:r>
              <w:rPr>
                <w:rFonts w:hint="default" w:ascii="Times New Roman" w:hAnsi="Times New Roman" w:eastAsia="宋体" w:cs="Times New Roman"/>
                <w:color w:val="auto"/>
                <w:sz w:val="24"/>
                <w:szCs w:val="24"/>
                <w:highlight w:val="none"/>
              </w:rPr>
              <w:t>层框架结构建筑，一层设置业务用房、管护用房、卫生间，二层设置业务用房。</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墨砚湖片区管护用房1：</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该建筑为2</w:t>
            </w:r>
            <w:r>
              <w:rPr>
                <w:rFonts w:hint="default" w:ascii="Times New Roman" w:hAnsi="Times New Roman" w:eastAsia="宋体" w:cs="Times New Roman"/>
                <w:color w:val="auto"/>
                <w:sz w:val="24"/>
                <w:szCs w:val="24"/>
                <w:highlight w:val="none"/>
              </w:rPr>
              <w:t>层框架结构建筑，一层设置业务用房、消防监控室</w:t>
            </w:r>
            <w:r>
              <w:rPr>
                <w:rFonts w:hint="default" w:ascii="Times New Roman" w:hAnsi="Times New Roman" w:eastAsia="宋体" w:cs="Times New Roman"/>
                <w:color w:val="auto"/>
                <w:sz w:val="24"/>
                <w:szCs w:val="24"/>
                <w:highlight w:val="none"/>
                <w:lang w:eastAsia="zh-CN"/>
              </w:rPr>
              <w:t>、业务用房、科教宣传、</w:t>
            </w:r>
            <w:r>
              <w:rPr>
                <w:rFonts w:hint="default" w:ascii="Times New Roman" w:hAnsi="Times New Roman" w:eastAsia="宋体" w:cs="Times New Roman"/>
                <w:color w:val="auto"/>
                <w:sz w:val="24"/>
                <w:szCs w:val="24"/>
                <w:highlight w:val="none"/>
              </w:rPr>
              <w:t>库房、配电间、卫生间，二层设置业务用房</w:t>
            </w:r>
            <w:r>
              <w:rPr>
                <w:rFonts w:hint="default" w:ascii="Times New Roman" w:hAnsi="Times New Roman" w:eastAsia="宋体" w:cs="Times New Roman"/>
                <w:color w:val="auto"/>
                <w:sz w:val="24"/>
                <w:szCs w:val="24"/>
                <w:highlight w:val="none"/>
                <w:lang w:eastAsia="zh-CN"/>
              </w:rPr>
              <w:t>、会议室、管护交流区</w:t>
            </w:r>
            <w:r>
              <w:rPr>
                <w:rFonts w:hint="default" w:ascii="Times New Roman" w:hAnsi="Times New Roman" w:eastAsia="宋体" w:cs="Times New Roman"/>
                <w:color w:val="auto"/>
                <w:sz w:val="24"/>
                <w:szCs w:val="24"/>
                <w:highlight w:val="none"/>
              </w:rPr>
              <w:t>、卫生间。</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墨砚湖片区管护用房</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该建筑为3</w:t>
            </w:r>
            <w:r>
              <w:rPr>
                <w:rFonts w:hint="default" w:ascii="Times New Roman" w:hAnsi="Times New Roman" w:eastAsia="宋体" w:cs="Times New Roman"/>
                <w:color w:val="auto"/>
                <w:sz w:val="24"/>
                <w:szCs w:val="24"/>
                <w:highlight w:val="none"/>
              </w:rPr>
              <w:t>层框架结构建筑，一层设置食堂、厨房、业务用房、卫生间，二层设置业务用房、卫生间，三层设置业务用房、卫生间。</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墨砚湖片区管护用房</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该建筑为2</w:t>
            </w:r>
            <w:r>
              <w:rPr>
                <w:rFonts w:hint="default" w:ascii="Times New Roman" w:hAnsi="Times New Roman" w:eastAsia="宋体" w:cs="Times New Roman"/>
                <w:color w:val="auto"/>
                <w:sz w:val="24"/>
                <w:szCs w:val="24"/>
                <w:highlight w:val="none"/>
              </w:rPr>
              <w:t>层框架结构建筑，一层设置门厅、业务用房、库房、值班管理用房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卫生间，二层设置业务用房、库房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卫生间。</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墨砚湖片区管护用房</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该建筑为3</w:t>
            </w:r>
            <w:r>
              <w:rPr>
                <w:rFonts w:hint="default" w:ascii="Times New Roman" w:hAnsi="Times New Roman" w:eastAsia="宋体" w:cs="Times New Roman"/>
                <w:color w:val="auto"/>
                <w:sz w:val="24"/>
                <w:szCs w:val="24"/>
                <w:highlight w:val="none"/>
              </w:rPr>
              <w:t>层框架结构建筑，一层设置门厅、库房、业务用房、工具用房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卫生间，二层设置业务用房、卫生间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三层设置会议室、卫生间。</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墨砚湖片区七星村管护用房：</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该建筑为2</w:t>
            </w:r>
            <w:r>
              <w:rPr>
                <w:rFonts w:hint="default" w:ascii="Times New Roman" w:hAnsi="Times New Roman" w:eastAsia="宋体" w:cs="Times New Roman"/>
                <w:color w:val="auto"/>
                <w:sz w:val="24"/>
                <w:szCs w:val="24"/>
                <w:highlight w:val="none"/>
              </w:rPr>
              <w:t>层框架结构建筑，一层设置业务用房、管理用房、卫生间，二层设置业务用房、卫生间。</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赤城湖片区管理用房：</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该建筑为2</w:t>
            </w:r>
            <w:r>
              <w:rPr>
                <w:rFonts w:hint="default" w:ascii="Times New Roman" w:hAnsi="Times New Roman" w:eastAsia="宋体" w:cs="Times New Roman"/>
                <w:color w:val="auto"/>
                <w:sz w:val="24"/>
                <w:szCs w:val="24"/>
                <w:highlight w:val="none"/>
              </w:rPr>
              <w:t>层框架结构建筑，一层设置业务用房、消防监控室</w:t>
            </w:r>
            <w:r>
              <w:rPr>
                <w:rFonts w:hint="default" w:ascii="Times New Roman" w:hAnsi="Times New Roman" w:eastAsia="宋体" w:cs="Times New Roman"/>
                <w:color w:val="auto"/>
                <w:sz w:val="24"/>
                <w:szCs w:val="24"/>
                <w:highlight w:val="none"/>
                <w:lang w:eastAsia="zh-CN"/>
              </w:rPr>
              <w:t>、业务用房、科教宣传、</w:t>
            </w:r>
            <w:r>
              <w:rPr>
                <w:rFonts w:hint="default" w:ascii="Times New Roman" w:hAnsi="Times New Roman" w:eastAsia="宋体" w:cs="Times New Roman"/>
                <w:color w:val="auto"/>
                <w:sz w:val="24"/>
                <w:szCs w:val="24"/>
                <w:highlight w:val="none"/>
              </w:rPr>
              <w:t>库房、配电间、卫生间，二层设置业务用房</w:t>
            </w:r>
            <w:r>
              <w:rPr>
                <w:rFonts w:hint="default" w:ascii="Times New Roman" w:hAnsi="Times New Roman" w:eastAsia="宋体" w:cs="Times New Roman"/>
                <w:color w:val="auto"/>
                <w:sz w:val="24"/>
                <w:szCs w:val="24"/>
                <w:highlight w:val="none"/>
                <w:lang w:eastAsia="zh-CN"/>
              </w:rPr>
              <w:t>、会议室、管护交流区</w:t>
            </w:r>
            <w:r>
              <w:rPr>
                <w:rFonts w:hint="default" w:ascii="Times New Roman" w:hAnsi="Times New Roman" w:eastAsia="宋体" w:cs="Times New Roman"/>
                <w:color w:val="auto"/>
                <w:sz w:val="24"/>
                <w:szCs w:val="24"/>
                <w:highlight w:val="none"/>
              </w:rPr>
              <w:t>、卫生间。</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常乐镇书法森林公园管护用房：</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该建筑为2</w:t>
            </w:r>
            <w:r>
              <w:rPr>
                <w:rFonts w:hint="default" w:ascii="Times New Roman" w:hAnsi="Times New Roman" w:eastAsia="宋体" w:cs="Times New Roman"/>
                <w:color w:val="auto"/>
                <w:sz w:val="24"/>
                <w:szCs w:val="24"/>
                <w:highlight w:val="none"/>
              </w:rPr>
              <w:t>层框架结构建筑，一层设置管护用房，二层设置管护用房。</w:t>
            </w:r>
          </w:p>
          <w:p>
            <w:pPr>
              <w:keepNext w:val="0"/>
              <w:keepLines w:val="0"/>
              <w:pageBreakBefore w:val="0"/>
              <w:widowControl w:val="0"/>
              <w:numPr>
                <w:ilvl w:val="0"/>
                <w:numId w:val="3"/>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马岩村书法森林公园管护用房：</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该建筑为2</w:t>
            </w:r>
            <w:r>
              <w:rPr>
                <w:rFonts w:hint="default" w:ascii="Times New Roman" w:hAnsi="Times New Roman" w:eastAsia="宋体" w:cs="Times New Roman"/>
                <w:color w:val="auto"/>
                <w:sz w:val="24"/>
                <w:szCs w:val="24"/>
                <w:highlight w:val="none"/>
              </w:rPr>
              <w:t>层框架结构建筑，一层设置业务用房、卫生间，二层设置业务用房。</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482" w:firstLineChars="200"/>
              <w:textAlignment w:val="auto"/>
              <w:outlineLvl w:val="3"/>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2生态停车场</w:t>
            </w:r>
          </w:p>
          <w:p>
            <w:pPr>
              <w:keepNext w:val="0"/>
              <w:keepLines w:val="0"/>
              <w:pageBreakBefore w:val="0"/>
              <w:widowControl w:val="0"/>
              <w:numPr>
                <w:ilvl w:val="0"/>
                <w:numId w:val="4"/>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金桥之心山顶公园生态停车场1：</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停车场硬化约</w:t>
            </w:r>
            <w:r>
              <w:rPr>
                <w:rFonts w:hint="default" w:ascii="Times New Roman" w:hAnsi="Times New Roman" w:eastAsia="宋体" w:cs="Times New Roman"/>
                <w:color w:val="auto"/>
                <w:sz w:val="24"/>
                <w:szCs w:val="24"/>
                <w:highlight w:val="none"/>
                <w:lang w:val="en-US" w:eastAsia="zh-CN"/>
              </w:rPr>
              <w:t>2206.87</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共计</w:t>
            </w:r>
            <w:r>
              <w:rPr>
                <w:rFonts w:hint="default" w:ascii="Times New Roman" w:hAnsi="Times New Roman" w:eastAsia="宋体"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个标准车位。</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color w:val="auto"/>
              </w:rPr>
            </w:pPr>
            <w:r>
              <w:rPr>
                <w:color w:val="auto"/>
              </w:rPr>
              <w:drawing>
                <wp:inline distT="0" distB="0" distL="114300" distR="114300">
                  <wp:extent cx="5094605" cy="3965575"/>
                  <wp:effectExtent l="9525" t="9525" r="20320" b="254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094605" cy="3965575"/>
                          </a:xfrm>
                          <a:prstGeom prst="rect">
                            <a:avLst/>
                          </a:prstGeom>
                          <a:noFill/>
                          <a:ln w="6350" cmpd="sng">
                            <a:solidFill>
                              <a:schemeClr val="tx1"/>
                            </a:solidFill>
                            <a:prstDash val="solid"/>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典型生态停车场平面布置图</w:t>
            </w:r>
          </w:p>
          <w:p>
            <w:pPr>
              <w:keepNext w:val="0"/>
              <w:keepLines w:val="0"/>
              <w:pageBreakBefore w:val="0"/>
              <w:widowControl w:val="0"/>
              <w:numPr>
                <w:ilvl w:val="0"/>
                <w:numId w:val="4"/>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金桥之心山顶公园生态停车场</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停车场硬化约220㎡</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共计</w:t>
            </w:r>
            <w:r>
              <w:rPr>
                <w:rFonts w:hint="default"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个标准车位。</w:t>
            </w:r>
          </w:p>
          <w:p>
            <w:pPr>
              <w:keepNext w:val="0"/>
              <w:keepLines w:val="0"/>
              <w:pageBreakBefore w:val="0"/>
              <w:widowControl w:val="0"/>
              <w:numPr>
                <w:ilvl w:val="0"/>
                <w:numId w:val="4"/>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槐花香桂产业园生态停车场：</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停车场硬化约618.95㎡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共计</w:t>
            </w:r>
            <w:r>
              <w:rPr>
                <w:rFonts w:hint="default"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个标准车位。</w:t>
            </w:r>
          </w:p>
          <w:p>
            <w:pPr>
              <w:keepNext w:val="0"/>
              <w:keepLines w:val="0"/>
              <w:pageBreakBefore w:val="0"/>
              <w:widowControl w:val="0"/>
              <w:numPr>
                <w:ilvl w:val="0"/>
                <w:numId w:val="4"/>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赤城湖片区生态停车场：</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停车场</w:t>
            </w:r>
            <w:r>
              <w:rPr>
                <w:rFonts w:hint="default" w:ascii="Times New Roman" w:hAnsi="Times New Roman" w:eastAsia="宋体" w:cs="Times New Roman"/>
                <w:color w:val="auto"/>
                <w:sz w:val="24"/>
                <w:szCs w:val="24"/>
                <w:highlight w:val="none"/>
                <w:lang w:val="en-US" w:eastAsia="zh-CN"/>
              </w:rPr>
              <w:t>面积约966.69</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跟赤城湖管护用房合建</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共计</w:t>
            </w:r>
            <w:r>
              <w:rPr>
                <w:rFonts w:hint="default"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个标准车位。</w:t>
            </w:r>
          </w:p>
          <w:p>
            <w:pPr>
              <w:keepNext w:val="0"/>
              <w:keepLines w:val="0"/>
              <w:pageBreakBefore w:val="0"/>
              <w:widowControl w:val="0"/>
              <w:numPr>
                <w:ilvl w:val="0"/>
                <w:numId w:val="4"/>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新建村书法森林公园生态停车场：</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停车场硬化约662.57㎡</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共计</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个标准车位。</w:t>
            </w:r>
          </w:p>
          <w:p>
            <w:pPr>
              <w:keepNext w:val="0"/>
              <w:keepLines w:val="0"/>
              <w:pageBreakBefore w:val="0"/>
              <w:widowControl w:val="0"/>
              <w:numPr>
                <w:ilvl w:val="0"/>
                <w:numId w:val="4"/>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天福镇书法森林公园生态停车场：</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停车场硬化约953.17㎡</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共计</w:t>
            </w:r>
            <w:r>
              <w:rPr>
                <w:rFonts w:hint="default" w:ascii="Times New Roman" w:hAnsi="Times New Roman" w:eastAsia="宋体"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rPr>
              <w:t>个标准车位。</w:t>
            </w:r>
          </w:p>
          <w:p>
            <w:pPr>
              <w:keepNext w:val="0"/>
              <w:keepLines w:val="0"/>
              <w:pageBreakBefore w:val="0"/>
              <w:widowControl w:val="0"/>
              <w:numPr>
                <w:ilvl w:val="0"/>
                <w:numId w:val="4"/>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会先桥村书法森林公园生态停车场：</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停车场硬化约129.05㎡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共计</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个标准车位。</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482" w:firstLineChars="200"/>
              <w:textAlignment w:val="auto"/>
              <w:outlineLvl w:val="3"/>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.3防火瞭望台</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槐花香桂产业园防火瞭望台：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约151.32㎡。</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color w:val="auto"/>
              </w:rPr>
            </w:pPr>
            <w:r>
              <w:rPr>
                <w:color w:val="auto"/>
              </w:rPr>
              <w:drawing>
                <wp:inline distT="0" distB="0" distL="114300" distR="114300">
                  <wp:extent cx="5084445" cy="3614420"/>
                  <wp:effectExtent l="9525" t="9525" r="11430" b="146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6"/>
                          <a:stretch>
                            <a:fillRect/>
                          </a:stretch>
                        </pic:blipFill>
                        <pic:spPr>
                          <a:xfrm>
                            <a:off x="0" y="0"/>
                            <a:ext cx="5084445" cy="3614420"/>
                          </a:xfrm>
                          <a:prstGeom prst="rect">
                            <a:avLst/>
                          </a:prstGeom>
                          <a:noFill/>
                          <a:ln w="6350" cmpd="sng">
                            <a:solidFill>
                              <a:schemeClr val="tx1"/>
                            </a:solidFill>
                            <a:prstDash val="solid"/>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典型防火瞭望台</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任隆镇桃花产业防火瞭望台1：</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约151.32㎡。</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蓬南白芷产业园防火瞭望台：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约151.32㎡。</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墨砚湖片区防火瞭望台：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w:t>
            </w:r>
            <w:r>
              <w:rPr>
                <w:rFonts w:hint="default" w:ascii="Times New Roman" w:hAnsi="Times New Roman" w:eastAsia="宋体" w:cs="Times New Roman"/>
                <w:color w:val="auto"/>
                <w:sz w:val="24"/>
                <w:szCs w:val="24"/>
                <w:highlight w:val="none"/>
                <w:lang w:val="en-US" w:eastAsia="zh-CN"/>
              </w:rPr>
              <w:t>94.64</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新建村书法森林公园防火瞭望台：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w:t>
            </w:r>
            <w:r>
              <w:rPr>
                <w:rFonts w:hint="default" w:ascii="Times New Roman" w:hAnsi="Times New Roman" w:eastAsia="宋体" w:cs="Times New Roman"/>
                <w:color w:val="auto"/>
                <w:sz w:val="24"/>
                <w:szCs w:val="24"/>
                <w:highlight w:val="none"/>
                <w:lang w:val="en-US" w:eastAsia="zh-CN"/>
              </w:rPr>
              <w:t>136</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三凤镇书法森林公园防火瞭望台：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w:t>
            </w:r>
            <w:r>
              <w:rPr>
                <w:rFonts w:hint="default" w:ascii="Times New Roman" w:hAnsi="Times New Roman" w:eastAsia="宋体" w:cs="Times New Roman"/>
                <w:color w:val="auto"/>
                <w:sz w:val="24"/>
                <w:szCs w:val="24"/>
                <w:highlight w:val="none"/>
                <w:lang w:val="en-US" w:eastAsia="zh-CN"/>
              </w:rPr>
              <w:t>178</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宝梵村书法森林公园防火瞭望台：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约151.32㎡。</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文井镇双龙桥村书法森林公园防火瞭望台：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w:t>
            </w:r>
            <w:r>
              <w:rPr>
                <w:rFonts w:hint="default" w:ascii="Times New Roman" w:hAnsi="Times New Roman" w:eastAsia="宋体" w:cs="Times New Roman"/>
                <w:color w:val="auto"/>
                <w:sz w:val="24"/>
                <w:szCs w:val="24"/>
                <w:highlight w:val="none"/>
                <w:lang w:val="en-US" w:eastAsia="zh-CN"/>
              </w:rPr>
              <w:t>136</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常乐镇书法森林公园防火瞭望台：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约1</w:t>
            </w:r>
            <w:r>
              <w:rPr>
                <w:rFonts w:hint="default" w:ascii="Times New Roman" w:hAnsi="Times New Roman" w:eastAsia="宋体" w:cs="Times New Roman"/>
                <w:color w:val="auto"/>
                <w:sz w:val="24"/>
                <w:szCs w:val="24"/>
                <w:highlight w:val="none"/>
                <w:lang w:val="en-US" w:eastAsia="zh-CN"/>
              </w:rPr>
              <w:t>36</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明月镇书法森林公园防火瞭望台：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w:t>
            </w:r>
            <w:r>
              <w:rPr>
                <w:rFonts w:hint="default" w:ascii="Times New Roman" w:hAnsi="Times New Roman" w:eastAsia="宋体" w:cs="Times New Roman"/>
                <w:color w:val="auto"/>
                <w:sz w:val="24"/>
                <w:szCs w:val="24"/>
                <w:highlight w:val="none"/>
                <w:lang w:val="en-US" w:eastAsia="zh-CN"/>
              </w:rPr>
              <w:t>333</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吉祥镇书法森林公园防火瞭望台：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w:t>
            </w:r>
            <w:r>
              <w:rPr>
                <w:rFonts w:hint="default" w:ascii="Times New Roman" w:hAnsi="Times New Roman" w:eastAsia="宋体" w:cs="Times New Roman"/>
                <w:color w:val="auto"/>
                <w:sz w:val="24"/>
                <w:szCs w:val="24"/>
                <w:highlight w:val="none"/>
                <w:lang w:val="en-US" w:eastAsia="zh-CN"/>
              </w:rPr>
              <w:t>136</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红江镇书法森林公园防火瞭望台：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w:t>
            </w:r>
            <w:r>
              <w:rPr>
                <w:rFonts w:hint="default" w:ascii="Times New Roman" w:hAnsi="Times New Roman" w:eastAsia="宋体" w:cs="Times New Roman"/>
                <w:color w:val="auto"/>
                <w:sz w:val="24"/>
                <w:szCs w:val="24"/>
                <w:highlight w:val="none"/>
                <w:lang w:val="en-US" w:eastAsia="zh-CN"/>
              </w:rPr>
              <w:t>178</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马岩村书法森林公园防火瞭望台：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w:t>
            </w:r>
            <w:r>
              <w:rPr>
                <w:rFonts w:hint="default" w:ascii="Times New Roman" w:hAnsi="Times New Roman" w:eastAsia="宋体" w:cs="Times New Roman"/>
                <w:color w:val="auto"/>
                <w:sz w:val="24"/>
                <w:szCs w:val="24"/>
                <w:highlight w:val="none"/>
                <w:lang w:val="en-US" w:eastAsia="zh-CN"/>
              </w:rPr>
              <w:t>136</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荷叶乡书法森林公园防火瞭望台：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果园村书法森林公园防火瞭望台：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架空瞭望平台</w:t>
            </w:r>
            <w:r>
              <w:rPr>
                <w:rFonts w:hint="default" w:ascii="Times New Roman" w:hAnsi="Times New Roman" w:eastAsia="宋体" w:cs="Times New Roman"/>
                <w:color w:val="auto"/>
                <w:sz w:val="24"/>
                <w:szCs w:val="24"/>
                <w:highlight w:val="none"/>
              </w:rPr>
              <w:t>约</w:t>
            </w:r>
            <w:r>
              <w:rPr>
                <w:rFonts w:hint="default" w:ascii="Times New Roman" w:hAnsi="Times New Roman" w:eastAsia="宋体" w:cs="Times New Roman"/>
                <w:color w:val="auto"/>
                <w:sz w:val="24"/>
                <w:szCs w:val="24"/>
                <w:highlight w:val="none"/>
                <w:lang w:val="en-US" w:eastAsia="zh-CN"/>
              </w:rPr>
              <w:t>136</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482" w:firstLineChars="200"/>
              <w:textAlignment w:val="auto"/>
              <w:outlineLvl w:val="3"/>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.4防火瞭望塔</w:t>
            </w:r>
          </w:p>
          <w:p>
            <w:pPr>
              <w:keepNext w:val="0"/>
              <w:keepLines w:val="0"/>
              <w:pageBreakBefore w:val="0"/>
              <w:widowControl w:val="0"/>
              <w:numPr>
                <w:ilvl w:val="0"/>
                <w:numId w:val="6"/>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高峰山片区防火瞭望塔：</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①本工程结构层数为地上</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功能设置为</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层瞭望平台。结构主体高度最高为</w:t>
            </w:r>
            <w:r>
              <w:rPr>
                <w:rFonts w:hint="default" w:ascii="Times New Roman" w:hAnsi="Times New Roman" w:eastAsia="宋体" w:cs="Times New Roman"/>
                <w:color w:val="auto"/>
                <w:sz w:val="24"/>
                <w:szCs w:val="24"/>
                <w:highlight w:val="none"/>
                <w:lang w:val="en-US" w:eastAsia="zh-CN"/>
              </w:rPr>
              <w:t>43.2</w:t>
            </w:r>
            <w:r>
              <w:rPr>
                <w:rFonts w:hint="default" w:ascii="Times New Roman" w:hAnsi="Times New Roman" w:eastAsia="宋体" w:cs="Times New Roman"/>
                <w:color w:val="auto"/>
                <w:sz w:val="24"/>
                <w:szCs w:val="24"/>
                <w:highlight w:val="none"/>
              </w:rPr>
              <w:t>m。</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②结构体系选型：本工程采用的结构形式为混凝土框架</w:t>
            </w:r>
            <w:r>
              <w:rPr>
                <w:rFonts w:hint="default" w:ascii="Times New Roman" w:hAnsi="Times New Roman" w:eastAsia="宋体" w:cs="Times New Roman"/>
                <w:color w:val="auto"/>
                <w:sz w:val="24"/>
                <w:szCs w:val="24"/>
                <w:highlight w:val="none"/>
                <w:lang w:val="en-US" w:eastAsia="zh-CN"/>
              </w:rPr>
              <w:t>-核心筒</w:t>
            </w:r>
            <w:r>
              <w:rPr>
                <w:rFonts w:hint="default" w:ascii="Times New Roman" w:hAnsi="Times New Roman" w:eastAsia="宋体" w:cs="Times New Roman"/>
                <w:color w:val="auto"/>
                <w:sz w:val="24"/>
                <w:szCs w:val="24"/>
                <w:highlight w:val="none"/>
              </w:rPr>
              <w:t>结构。</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③本工程抗震设防类别：属标准设防类（丙类），结构安全等级为二级，基础设计等级为丙级。</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④结构设计使用年限为50年。</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⑤框架抗震等级为三级</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核心筒</w:t>
            </w:r>
            <w:r>
              <w:rPr>
                <w:rFonts w:hint="default" w:ascii="Times New Roman" w:hAnsi="Times New Roman" w:eastAsia="宋体" w:cs="Times New Roman"/>
                <w:color w:val="auto"/>
                <w:sz w:val="24"/>
                <w:szCs w:val="24"/>
                <w:highlight w:val="none"/>
              </w:rPr>
              <w:t>抗震等级为</w:t>
            </w:r>
            <w:r>
              <w:rPr>
                <w:rFonts w:hint="default" w:ascii="Times New Roman" w:hAnsi="Times New Roman" w:eastAsia="宋体"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rPr>
              <w:t>级。</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center"/>
              <w:textAlignment w:val="auto"/>
              <w:rPr>
                <w:color w:val="auto"/>
              </w:rPr>
            </w:pPr>
            <w:r>
              <w:rPr>
                <w:color w:val="auto"/>
              </w:rPr>
              <w:drawing>
                <wp:inline distT="0" distB="0" distL="114300" distR="114300">
                  <wp:extent cx="2991485" cy="4662805"/>
                  <wp:effectExtent l="0" t="0" r="18415" b="44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7"/>
                          <a:stretch>
                            <a:fillRect/>
                          </a:stretch>
                        </pic:blipFill>
                        <pic:spPr>
                          <a:xfrm>
                            <a:off x="0" y="0"/>
                            <a:ext cx="2991485" cy="46628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典型防火瞭望塔</w:t>
            </w:r>
          </w:p>
          <w:p>
            <w:pPr>
              <w:keepNext w:val="0"/>
              <w:keepLines w:val="0"/>
              <w:pageBreakBefore w:val="0"/>
              <w:widowControl w:val="0"/>
              <w:numPr>
                <w:ilvl w:val="0"/>
                <w:numId w:val="6"/>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混凝土框架结构</w:t>
            </w:r>
            <w:r>
              <w:rPr>
                <w:rFonts w:hint="default" w:ascii="Times New Roman" w:hAnsi="Times New Roman" w:eastAsia="宋体" w:cs="Times New Roman"/>
                <w:color w:val="auto"/>
                <w:sz w:val="24"/>
                <w:szCs w:val="24"/>
                <w:highlight w:val="none"/>
              </w:rPr>
              <w:t>防火瞭望塔：</w:t>
            </w:r>
          </w:p>
          <w:p>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中规划有混凝土框架结构防火瞭望塔6个，分别为：墨砚湖片区防火瞭望塔、三凤镇书法森林公园防火瞭望塔、天福镇书法森林公园防火瞭望塔、明月镇书法森林公园防火瞭望塔、红江镇书法森林公园防火瞭望塔、荷叶乡书法森林公园防火瞭望塔。</w:t>
            </w:r>
          </w:p>
          <w:p>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防火瞭望塔为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层框架结构构筑物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瞭望高度为19.65米</w:t>
            </w:r>
            <w:r>
              <w:rPr>
                <w:rFonts w:hint="default" w:ascii="Times New Roman" w:hAnsi="Times New Roman" w:eastAsia="宋体" w:cs="Times New Roman"/>
                <w:color w:val="auto"/>
                <w:sz w:val="24"/>
                <w:szCs w:val="24"/>
                <w:highlight w:val="none"/>
              </w:rPr>
              <w:t>，功能设置为3层瞭望平台。</w:t>
            </w:r>
          </w:p>
          <w:p>
            <w:pPr>
              <w:keepNext w:val="0"/>
              <w:keepLines w:val="0"/>
              <w:pageBreakBefore w:val="0"/>
              <w:widowControl w:val="0"/>
              <w:numPr>
                <w:ilvl w:val="0"/>
                <w:numId w:val="6"/>
              </w:numPr>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钢架结构防火瞭望塔：</w:t>
            </w:r>
          </w:p>
          <w:p>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中规划有混凝土框架结构防火瞭望塔5个，分别为：新建村书法森林公园防火瞭望塔、文井镇双龙桥村书法森林公园防火瞭望塔、常乐镇书法森林公园防火瞭望塔、马岩村书法森林公园防火瞭望塔、果园村书法森林公园防火瞭望塔</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防火瞭望塔为</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层框架结构构筑物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瞭望高度为18.15米</w:t>
            </w:r>
            <w:r>
              <w:rPr>
                <w:rFonts w:hint="default" w:ascii="Times New Roman" w:hAnsi="Times New Roman" w:eastAsia="宋体" w:cs="Times New Roman"/>
                <w:color w:val="auto"/>
                <w:sz w:val="24"/>
                <w:szCs w:val="24"/>
                <w:highlight w:val="none"/>
              </w:rPr>
              <w:t>，功能设置为</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层瞭望平台。</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482" w:firstLineChars="200"/>
              <w:textAlignment w:val="auto"/>
              <w:outlineLvl w:val="3"/>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.5消防水池</w:t>
            </w:r>
          </w:p>
          <w:p>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本项目中规划消防水池13个，具体为：任隆镇桃花产</w:t>
            </w:r>
            <w:r>
              <w:rPr>
                <w:rFonts w:hint="eastAsia" w:cs="Times New Roman"/>
                <w:color w:val="auto"/>
                <w:sz w:val="24"/>
                <w:szCs w:val="24"/>
                <w:highlight w:val="none"/>
                <w:lang w:val="en-US" w:eastAsia="zh-CN"/>
              </w:rPr>
              <w:t>业园</w:t>
            </w:r>
            <w:r>
              <w:rPr>
                <w:rFonts w:hint="default" w:ascii="Times New Roman" w:hAnsi="Times New Roman" w:eastAsia="宋体" w:cs="Times New Roman"/>
                <w:color w:val="auto"/>
                <w:sz w:val="24"/>
                <w:szCs w:val="24"/>
                <w:highlight w:val="none"/>
                <w:lang w:val="en-US" w:eastAsia="zh-CN"/>
              </w:rPr>
              <w:t>消防水池1个、墨砚湖片区七星村消防水池6个、新建村书法森林公园消防水池1个、常乐镇书法森林公园消防水池1个、青龙咀村书法森林公园消防水池2个、会先桥村书法森林公园消防水池1个、拱市村书法森林公园消防水池1个。</w:t>
            </w:r>
          </w:p>
          <w:p>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消防水池采用钢筋混凝土水池，容积为200立方米。</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482" w:firstLineChars="200"/>
              <w:textAlignment w:val="auto"/>
              <w:outlineLvl w:val="3"/>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.6马岩村书法森林公园晒坝</w:t>
            </w:r>
          </w:p>
          <w:p>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硬化2个晒</w:t>
            </w:r>
            <w:r>
              <w:rPr>
                <w:rFonts w:hint="eastAsia" w:ascii="Times New Roman" w:hAnsi="Times New Roman" w:eastAsia="宋体" w:cs="Times New Roman"/>
                <w:color w:val="auto"/>
                <w:sz w:val="24"/>
                <w:szCs w:val="24"/>
                <w:highlight w:val="none"/>
                <w:lang w:val="en-US" w:eastAsia="zh-CN"/>
              </w:rPr>
              <w:t>坝</w:t>
            </w:r>
            <w:r>
              <w:rPr>
                <w:rFonts w:hint="default" w:ascii="Times New Roman" w:hAnsi="Times New Roman" w:eastAsia="宋体" w:cs="Times New Roman"/>
                <w:color w:val="auto"/>
                <w:sz w:val="24"/>
                <w:szCs w:val="24"/>
                <w:highlight w:val="none"/>
                <w:lang w:val="en-US" w:eastAsia="zh-CN"/>
              </w:rPr>
              <w:t>，总面积为940平方米。采用C15细石混凝土80厚作为面层进行硬化。</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482" w:firstLineChars="200"/>
              <w:textAlignment w:val="auto"/>
              <w:outlineLvl w:val="3"/>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.7青龙咀村书法森林公园灌溉系统</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highlight w:val="none"/>
                <w:lang w:val="en-US" w:eastAsia="zh-CN"/>
              </w:rPr>
              <w:t>灌溉长度为2.2公里。</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jc w:val="both"/>
              <w:textAlignment w:val="auto"/>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7</w:t>
            </w: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cs="Times New Roman"/>
                <w:b/>
                <w:bCs/>
                <w:color w:val="auto"/>
                <w:kern w:val="2"/>
                <w:sz w:val="24"/>
                <w:szCs w:val="24"/>
                <w:lang w:val="en-US" w:eastAsia="zh-CN" w:bidi="ar-SA"/>
              </w:rPr>
              <w:t>土石方平衡</w:t>
            </w:r>
          </w:p>
          <w:p>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根据主体设计土石方及实际情况，本项目建设期土石方开挖总量</w:t>
            </w:r>
            <w:r>
              <w:rPr>
                <w:rFonts w:hint="eastAsia" w:ascii="Times New Roman" w:hAnsi="Times New Roman" w:eastAsia="宋体" w:cs="Times New Roman"/>
                <w:color w:val="auto"/>
                <w:sz w:val="24"/>
                <w:szCs w:val="24"/>
                <w:highlight w:val="none"/>
                <w:lang w:val="en-US" w:eastAsia="zh-CN"/>
              </w:rPr>
              <w:t>277.23</w:t>
            </w:r>
            <w:r>
              <w:rPr>
                <w:rFonts w:hint="default" w:ascii="Times New Roman" w:hAnsi="Times New Roman" w:eastAsia="宋体" w:cs="Times New Roman"/>
                <w:color w:val="auto"/>
                <w:sz w:val="24"/>
                <w:szCs w:val="24"/>
                <w:highlight w:val="none"/>
                <w:lang w:val="en-US" w:eastAsia="zh-CN"/>
              </w:rPr>
              <w:t>万m³（含表土剥离</w:t>
            </w:r>
            <w:r>
              <w:rPr>
                <w:rFonts w:hint="eastAsia" w:ascii="Times New Roman" w:hAnsi="Times New Roman" w:eastAsia="宋体"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lang w:val="en-US" w:eastAsia="zh-CN"/>
              </w:rPr>
              <w:t>万m³），回填土石方总量</w:t>
            </w:r>
            <w:r>
              <w:rPr>
                <w:rFonts w:hint="eastAsia" w:ascii="Times New Roman" w:hAnsi="Times New Roman" w:eastAsia="宋体" w:cs="Times New Roman"/>
                <w:color w:val="auto"/>
                <w:sz w:val="24"/>
                <w:szCs w:val="24"/>
                <w:highlight w:val="none"/>
                <w:lang w:val="en-US" w:eastAsia="zh-CN"/>
              </w:rPr>
              <w:t>277.23</w:t>
            </w:r>
            <w:r>
              <w:rPr>
                <w:rFonts w:hint="default" w:ascii="Times New Roman" w:hAnsi="Times New Roman" w:eastAsia="宋体" w:cs="Times New Roman"/>
                <w:color w:val="auto"/>
                <w:sz w:val="24"/>
                <w:szCs w:val="24"/>
                <w:highlight w:val="none"/>
                <w:lang w:val="en-US" w:eastAsia="zh-CN"/>
              </w:rPr>
              <w:t>万m³（含表土回覆</w:t>
            </w:r>
            <w:r>
              <w:rPr>
                <w:rFonts w:hint="eastAsia" w:ascii="Times New Roman" w:hAnsi="Times New Roman" w:eastAsia="宋体"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lang w:val="en-US" w:eastAsia="zh-CN"/>
              </w:rPr>
              <w:t>万m³）。通过建设区域综合利用后，</w:t>
            </w:r>
            <w:r>
              <w:rPr>
                <w:rFonts w:hint="eastAsia" w:ascii="Times New Roman" w:hAnsi="Times New Roman" w:eastAsia="宋体" w:cs="Times New Roman"/>
                <w:color w:val="auto"/>
                <w:sz w:val="24"/>
                <w:szCs w:val="24"/>
                <w:highlight w:val="none"/>
                <w:lang w:val="en-US" w:eastAsia="zh-CN"/>
              </w:rPr>
              <w:t>本项目无弃方产生，不需外购表土，因此，项目建设无需设置取土场和弃渣场</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center"/>
              <w:textAlignment w:val="auto"/>
              <w:rPr>
                <w:rFonts w:hint="default"/>
                <w:b/>
                <w:bCs/>
                <w:color w:val="auto"/>
                <w:sz w:val="21"/>
                <w:szCs w:val="21"/>
                <w:lang w:val="en-US" w:eastAsia="zh-CN"/>
              </w:rPr>
            </w:pPr>
            <w:r>
              <w:rPr>
                <w:rFonts w:hint="default"/>
                <w:b/>
                <w:bCs/>
                <w:color w:val="auto"/>
                <w:sz w:val="21"/>
                <w:szCs w:val="21"/>
                <w:lang w:val="en-US" w:eastAsia="zh-CN"/>
              </w:rPr>
              <w:t>表</w:t>
            </w:r>
            <w:r>
              <w:rPr>
                <w:rFonts w:hint="eastAsia"/>
                <w:b/>
                <w:bCs/>
                <w:color w:val="auto"/>
                <w:sz w:val="21"/>
                <w:szCs w:val="21"/>
                <w:lang w:val="en-US" w:eastAsia="zh-CN"/>
              </w:rPr>
              <w:t xml:space="preserve">2-6  </w:t>
            </w:r>
            <w:r>
              <w:rPr>
                <w:rFonts w:hint="default"/>
                <w:b/>
                <w:bCs/>
                <w:color w:val="auto"/>
                <w:sz w:val="21"/>
                <w:szCs w:val="21"/>
                <w:lang w:val="en-US" w:eastAsia="zh-CN"/>
              </w:rPr>
              <w:t>工程土石方平衡表  单位：万m³</w:t>
            </w:r>
          </w:p>
          <w:tbl>
            <w:tblPr>
              <w:tblStyle w:val="22"/>
              <w:tblW w:w="79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8"/>
              <w:gridCol w:w="1772"/>
              <w:gridCol w:w="650"/>
              <w:gridCol w:w="897"/>
              <w:gridCol w:w="897"/>
              <w:gridCol w:w="774"/>
              <w:gridCol w:w="897"/>
              <w:gridCol w:w="8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29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项目组成</w:t>
                  </w:r>
                </w:p>
              </w:tc>
              <w:tc>
                <w:tcPr>
                  <w:tcW w:w="244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土方开挖（万m³）</w:t>
                  </w:r>
                </w:p>
              </w:tc>
              <w:tc>
                <w:tcPr>
                  <w:tcW w:w="256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土石方回填（万m³）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表土</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土石方</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表土</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土石方</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文井镇片区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3.87</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林业产业区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1.72</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22.95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23.03</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22.95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任隆镇片区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9.84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9.84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9.84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0.61</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12.59</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槐花镇片区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14.62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14.62</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14.62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5.91</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24.76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24.82</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24.76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金桥镇片区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5.87</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8.26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8.26</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8.26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18.35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常乐镇片区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6.72</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林业产业区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2.71</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0.29</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15.42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15.44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15.42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宝梵镇片区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1.69</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4.23</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4.23</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4.23</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0.31</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8.16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8.18</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8.16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吉祥镇片区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4.32</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7.10</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天福镇片区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1.96</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1.48</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林业产业区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9.57</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14.81</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大石镇片区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5.48</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4.29</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13.56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13.66</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13.56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三凤镇片区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5.27</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林业产业区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0.76</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14.19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14.21</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14.19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明月镇片区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3.96</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7.48</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林业产业区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0.20</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14.73</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14.73</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红江镇片区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1.38</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1.99</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5.53</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5.53</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赤城镇片区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4.73</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4.73</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4.73</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11.22</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4.66</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林业产业区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1.88</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2.46</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24.67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24.95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24.67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蓬南镇片区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4.18</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林业产业区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0.21</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14.77</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鸣凤镇片区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2.75</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5.72</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12.46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12.46</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12.46</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21.36</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新会镇片区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林业产业区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4.33</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4.33</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4.33</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11.31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11.33</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11.31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群利镇片区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7.41</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林业产业区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4.59</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4.59</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13.22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13.24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13.22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13.22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荷叶乡片区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6.74</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6.74</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林业产业区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0.39</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10.52</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高升乡片区</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集约人工林栽培区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中幼龄林抚育区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2.57</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现有林改培区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3.92</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3.92</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附属设施区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0.91</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8.47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8.57</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8.47</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29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276.03</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277.23</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276.03</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277.23</w:t>
                  </w:r>
                </w:p>
              </w:tc>
            </w:tr>
          </w:tbl>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8、</w:t>
            </w:r>
            <w:r>
              <w:rPr>
                <w:rFonts w:hint="default" w:ascii="Times New Roman" w:hAnsi="Times New Roman" w:eastAsia="宋体" w:cs="Times New Roman"/>
                <w:b/>
                <w:bCs/>
                <w:color w:val="auto"/>
                <w:kern w:val="2"/>
                <w:sz w:val="24"/>
                <w:szCs w:val="24"/>
                <w:lang w:val="en-US" w:eastAsia="zh-CN" w:bidi="ar-SA"/>
              </w:rPr>
              <w:t>主要原辅材料、能源消耗</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项目主要原辅材料、能源消耗见下表2</w:t>
            </w:r>
            <w:r>
              <w:rPr>
                <w:rFonts w:hint="eastAsia" w:ascii="Times New Roman" w:hAnsi="Times New Roman" w:cs="Times New Roman"/>
                <w:color w:val="auto"/>
                <w:kern w:val="2"/>
                <w:sz w:val="24"/>
                <w:szCs w:val="24"/>
                <w:lang w:val="en-US" w:eastAsia="zh-CN" w:bidi="ar-SA"/>
              </w:rPr>
              <w:t>-7</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7</w:t>
            </w:r>
            <w:r>
              <w:rPr>
                <w:rFonts w:hint="eastAsia" w:ascii="Times New Roman" w:hAnsi="Times New Roman" w:eastAsia="宋体" w:cs="Times New Roman"/>
                <w:b/>
                <w:bCs/>
                <w:color w:val="auto"/>
                <w:sz w:val="21"/>
                <w:szCs w:val="21"/>
                <w:lang w:val="en-US" w:eastAsia="zh-CN"/>
              </w:rPr>
              <w:t>　项目主要原辅材料、能源消耗一览表</w:t>
            </w:r>
          </w:p>
          <w:tbl>
            <w:tblPr>
              <w:tblStyle w:val="55"/>
              <w:tblW w:w="7969" w:type="dxa"/>
              <w:jc w:val="center"/>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832"/>
              <w:gridCol w:w="1773"/>
              <w:gridCol w:w="1773"/>
              <w:gridCol w:w="3591"/>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79" w:hRule="atLeast"/>
                <w:jc w:val="center"/>
              </w:trPr>
              <w:tc>
                <w:tcPr>
                  <w:tcW w:w="832"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z w:val="21"/>
                      <w:szCs w:val="21"/>
                    </w:rPr>
                  </w:pPr>
                  <w:r>
                    <w:rPr>
                      <w:color w:val="auto"/>
                      <w:spacing w:val="5"/>
                      <w:sz w:val="21"/>
                      <w:szCs w:val="21"/>
                    </w:rPr>
                    <w:t>序号</w:t>
                  </w:r>
                </w:p>
              </w:tc>
              <w:tc>
                <w:tcPr>
                  <w:tcW w:w="1773"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z w:val="21"/>
                      <w:szCs w:val="21"/>
                    </w:rPr>
                  </w:pPr>
                  <w:r>
                    <w:rPr>
                      <w:color w:val="auto"/>
                      <w:spacing w:val="3"/>
                      <w:sz w:val="21"/>
                      <w:szCs w:val="21"/>
                    </w:rPr>
                    <w:t>名称</w:t>
                  </w:r>
                </w:p>
              </w:tc>
              <w:tc>
                <w:tcPr>
                  <w:tcW w:w="1773"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z w:val="21"/>
                      <w:szCs w:val="21"/>
                    </w:rPr>
                  </w:pPr>
                  <w:r>
                    <w:rPr>
                      <w:color w:val="auto"/>
                      <w:spacing w:val="3"/>
                      <w:sz w:val="21"/>
                      <w:szCs w:val="21"/>
                    </w:rPr>
                    <w:t>用量</w:t>
                  </w:r>
                </w:p>
              </w:tc>
              <w:tc>
                <w:tcPr>
                  <w:tcW w:w="359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z w:val="21"/>
                      <w:szCs w:val="21"/>
                    </w:rPr>
                  </w:pPr>
                  <w:r>
                    <w:rPr>
                      <w:color w:val="auto"/>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79" w:hRule="atLeast"/>
                <w:jc w:val="center"/>
              </w:trPr>
              <w:tc>
                <w:tcPr>
                  <w:tcW w:w="8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1</w:t>
                  </w:r>
                </w:p>
              </w:tc>
              <w:tc>
                <w:tcPr>
                  <w:tcW w:w="1773" w:type="dxa"/>
                  <w:tcBorders>
                    <w:tl2br w:val="nil"/>
                    <w:tr2bl w:val="nil"/>
                  </w:tcBorders>
                  <w:shd w:val="clear" w:color="auto" w:fill="auto"/>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pacing w:val="4"/>
                      <w:kern w:val="2"/>
                      <w:sz w:val="21"/>
                      <w:szCs w:val="21"/>
                      <w:lang w:val="en-US" w:eastAsia="en-US" w:bidi="ar-SA"/>
                    </w:rPr>
                  </w:pPr>
                  <w:r>
                    <w:rPr>
                      <w:rFonts w:hint="eastAsia"/>
                      <w:color w:val="auto"/>
                      <w:spacing w:val="6"/>
                      <w:sz w:val="21"/>
                      <w:szCs w:val="21"/>
                      <w:lang w:val="en-US" w:eastAsia="zh-CN"/>
                    </w:rPr>
                    <w:t>苗木</w:t>
                  </w:r>
                </w:p>
              </w:tc>
              <w:tc>
                <w:tcPr>
                  <w:tcW w:w="177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z w:val="21"/>
                      <w:szCs w:val="21"/>
                      <w:lang w:val="en-US" w:eastAsia="zh-CN"/>
                    </w:rPr>
                    <w:t>566.44万株</w:t>
                  </w:r>
                </w:p>
              </w:tc>
              <w:tc>
                <w:tcPr>
                  <w:tcW w:w="3591" w:type="dxa"/>
                  <w:tcBorders>
                    <w:tl2br w:val="nil"/>
                    <w:tr2bl w:val="nil"/>
                  </w:tcBorders>
                  <w:shd w:val="clear" w:color="auto" w:fill="auto"/>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spacing w:val="7"/>
                      <w:sz w:val="21"/>
                      <w:szCs w:val="21"/>
                      <w:lang w:val="en-US" w:eastAsia="zh-CN"/>
                    </w:rPr>
                  </w:pPr>
                  <w:r>
                    <w:rPr>
                      <w:rFonts w:hint="eastAsia"/>
                      <w:color w:val="auto"/>
                      <w:spacing w:val="7"/>
                      <w:sz w:val="21"/>
                      <w:szCs w:val="21"/>
                      <w:lang w:val="en-US" w:eastAsia="zh-CN"/>
                    </w:rPr>
                    <w:t>包含青冈、栾树、合欢、刺槐、香椿、</w:t>
                  </w:r>
                </w:p>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color w:val="auto"/>
                      <w:spacing w:val="7"/>
                      <w:kern w:val="2"/>
                      <w:sz w:val="21"/>
                      <w:szCs w:val="21"/>
                      <w:lang w:val="en-US" w:eastAsia="en-US" w:bidi="ar-SA"/>
                    </w:rPr>
                  </w:pPr>
                  <w:r>
                    <w:rPr>
                      <w:rFonts w:hint="eastAsia"/>
                      <w:color w:val="auto"/>
                      <w:spacing w:val="7"/>
                      <w:sz w:val="21"/>
                      <w:szCs w:val="21"/>
                      <w:lang w:val="en-US" w:eastAsia="zh-CN"/>
                    </w:rPr>
                    <w:t>黄连木、岩桂、枫香、银杏、油樟。采用与项目区自然地理条件相近的地区出圃的合格苗木，优先采用项目所在地出圃的合格苗木。</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79" w:hRule="atLeast"/>
                <w:jc w:val="center"/>
              </w:trPr>
              <w:tc>
                <w:tcPr>
                  <w:tcW w:w="8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2</w:t>
                  </w:r>
                </w:p>
              </w:tc>
              <w:tc>
                <w:tcPr>
                  <w:tcW w:w="1773" w:type="dxa"/>
                  <w:tcBorders>
                    <w:tl2br w:val="nil"/>
                    <w:tr2bl w:val="nil"/>
                  </w:tcBorders>
                  <w:shd w:val="clear" w:color="auto" w:fill="auto"/>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pacing w:val="6"/>
                      <w:sz w:val="21"/>
                      <w:szCs w:val="21"/>
                      <w:lang w:val="en-US" w:eastAsia="zh-CN"/>
                    </w:rPr>
                  </w:pPr>
                  <w:r>
                    <w:rPr>
                      <w:rFonts w:hint="eastAsia"/>
                      <w:color w:val="auto"/>
                      <w:spacing w:val="6"/>
                      <w:sz w:val="21"/>
                      <w:szCs w:val="21"/>
                      <w:lang w:val="en-US" w:eastAsia="zh-CN"/>
                    </w:rPr>
                    <w:t>标志牌</w:t>
                  </w:r>
                </w:p>
              </w:tc>
              <w:tc>
                <w:tcPr>
                  <w:tcW w:w="177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若干</w:t>
                  </w:r>
                </w:p>
              </w:tc>
              <w:tc>
                <w:tcPr>
                  <w:tcW w:w="3591" w:type="dxa"/>
                  <w:tcBorders>
                    <w:tl2br w:val="nil"/>
                    <w:tr2bl w:val="nil"/>
                  </w:tcBorders>
                  <w:shd w:val="clear" w:color="auto" w:fill="auto"/>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pacing w:val="7"/>
                      <w:sz w:val="21"/>
                      <w:szCs w:val="21"/>
                      <w:lang w:val="en-US" w:eastAsia="zh-CN"/>
                    </w:rPr>
                  </w:pPr>
                  <w:r>
                    <w:rPr>
                      <w:rFonts w:hint="eastAsia"/>
                      <w:color w:val="auto"/>
                      <w:sz w:val="21"/>
                      <w:szCs w:val="21"/>
                      <w:lang w:val="en-US" w:eastAsia="zh-CN"/>
                    </w:rPr>
                    <w:t>外购</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jc w:val="center"/>
              </w:trPr>
              <w:tc>
                <w:tcPr>
                  <w:tcW w:w="8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3</w:t>
                  </w:r>
                </w:p>
              </w:tc>
              <w:tc>
                <w:tcPr>
                  <w:tcW w:w="1773"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砂石</w:t>
                  </w:r>
                </w:p>
              </w:tc>
              <w:tc>
                <w:tcPr>
                  <w:tcW w:w="1773"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万</w:t>
                  </w:r>
                  <w:r>
                    <w:rPr>
                      <w:rFonts w:hint="default" w:ascii="Times New Roman" w:hAnsi="Times New Roman" w:cs="Times New Roman"/>
                      <w:color w:val="auto"/>
                      <w:sz w:val="21"/>
                      <w:szCs w:val="21"/>
                      <w:lang w:val="en-US" w:eastAsia="zh-CN"/>
                    </w:rPr>
                    <w:t>t</w:t>
                  </w:r>
                </w:p>
              </w:tc>
              <w:tc>
                <w:tcPr>
                  <w:tcW w:w="359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外购</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jc w:val="center"/>
              </w:trPr>
              <w:tc>
                <w:tcPr>
                  <w:tcW w:w="8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4</w:t>
                  </w:r>
                </w:p>
              </w:tc>
              <w:tc>
                <w:tcPr>
                  <w:tcW w:w="1773"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混凝土</w:t>
                  </w: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vertAlign w:val="superscript"/>
                      <w:lang w:val="en-US" w:eastAsia="zh-CN"/>
                    </w:rPr>
                  </w:pPr>
                  <w:r>
                    <w:rPr>
                      <w:rFonts w:hint="default" w:ascii="Times New Roman" w:hAnsi="Times New Roman" w:eastAsia="宋体" w:cs="Times New Roman"/>
                      <w:color w:val="auto"/>
                      <w:sz w:val="21"/>
                      <w:szCs w:val="21"/>
                      <w:lang w:val="en-US" w:eastAsia="zh-CN"/>
                    </w:rPr>
                    <w:t>10万m</w:t>
                  </w:r>
                  <w:r>
                    <w:rPr>
                      <w:rFonts w:hint="default" w:ascii="Times New Roman" w:hAnsi="Times New Roman" w:eastAsia="宋体" w:cs="Times New Roman"/>
                      <w:color w:val="auto"/>
                      <w:sz w:val="21"/>
                      <w:szCs w:val="21"/>
                      <w:vertAlign w:val="superscript"/>
                      <w:lang w:val="en-US" w:eastAsia="zh-CN"/>
                    </w:rPr>
                    <w:t>3</w:t>
                  </w:r>
                </w:p>
              </w:tc>
              <w:tc>
                <w:tcPr>
                  <w:tcW w:w="359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z w:val="21"/>
                      <w:szCs w:val="21"/>
                    </w:rPr>
                  </w:pPr>
                  <w:r>
                    <w:rPr>
                      <w:rFonts w:hint="eastAsia"/>
                      <w:color w:val="auto"/>
                      <w:sz w:val="21"/>
                      <w:szCs w:val="21"/>
                      <w:lang w:val="en-US" w:eastAsia="zh-CN"/>
                    </w:rPr>
                    <w:t>外购</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jc w:val="center"/>
              </w:trPr>
              <w:tc>
                <w:tcPr>
                  <w:tcW w:w="8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pacing w:val="1"/>
                      <w:sz w:val="21"/>
                      <w:szCs w:val="21"/>
                      <w:lang w:val="en-US" w:eastAsia="zh-CN"/>
                    </w:rPr>
                    <w:t>5</w:t>
                  </w:r>
                </w:p>
              </w:tc>
              <w:tc>
                <w:tcPr>
                  <w:tcW w:w="1773"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钢筋</w:t>
                  </w: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14万t</w:t>
                  </w:r>
                </w:p>
              </w:tc>
              <w:tc>
                <w:tcPr>
                  <w:tcW w:w="359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外购</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jc w:val="center"/>
              </w:trPr>
              <w:tc>
                <w:tcPr>
                  <w:tcW w:w="8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6</w:t>
                  </w:r>
                </w:p>
              </w:tc>
              <w:tc>
                <w:tcPr>
                  <w:tcW w:w="1773" w:type="dxa"/>
                  <w:tcBorders>
                    <w:tl2br w:val="nil"/>
                    <w:tr2bl w:val="nil"/>
                  </w:tcBorders>
                  <w:shd w:val="clear" w:color="auto" w:fill="auto"/>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kern w:val="2"/>
                      <w:sz w:val="21"/>
                      <w:szCs w:val="21"/>
                      <w:lang w:val="en-US" w:eastAsia="en-US" w:bidi="ar-SA"/>
                    </w:rPr>
                  </w:pPr>
                  <w:r>
                    <w:rPr>
                      <w:color w:val="auto"/>
                      <w:spacing w:val="4"/>
                      <w:sz w:val="21"/>
                      <w:szCs w:val="21"/>
                    </w:rPr>
                    <w:t>肥料</w:t>
                  </w:r>
                </w:p>
              </w:tc>
              <w:tc>
                <w:tcPr>
                  <w:tcW w:w="177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Times New Roman" w:cs="Times New Roman"/>
                      <w:color w:val="auto"/>
                      <w:kern w:val="2"/>
                      <w:sz w:val="21"/>
                      <w:szCs w:val="21"/>
                      <w:lang w:val="en-US" w:eastAsia="zh-CN" w:bidi="ar-SA"/>
                    </w:rPr>
                  </w:pPr>
                  <w:r>
                    <w:rPr>
                      <w:rFonts w:hint="eastAsia" w:cs="Times New Roman"/>
                      <w:color w:val="auto"/>
                      <w:spacing w:val="2"/>
                      <w:sz w:val="21"/>
                      <w:szCs w:val="21"/>
                      <w:lang w:val="en-US" w:eastAsia="zh-CN"/>
                    </w:rPr>
                    <w:t>3000</w:t>
                  </w:r>
                  <w:r>
                    <w:rPr>
                      <w:rFonts w:ascii="Times New Roman" w:hAnsi="Times New Roman" w:eastAsia="Times New Roman" w:cs="Times New Roman"/>
                      <w:color w:val="auto"/>
                      <w:spacing w:val="2"/>
                      <w:sz w:val="21"/>
                      <w:szCs w:val="21"/>
                    </w:rPr>
                    <w:t>t</w:t>
                  </w:r>
                </w:p>
              </w:tc>
              <w:tc>
                <w:tcPr>
                  <w:tcW w:w="3591" w:type="dxa"/>
                  <w:tcBorders>
                    <w:tl2br w:val="nil"/>
                    <w:tr2bl w:val="nil"/>
                  </w:tcBorders>
                  <w:shd w:val="clear" w:color="auto" w:fill="auto"/>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kern w:val="2"/>
                      <w:sz w:val="21"/>
                      <w:szCs w:val="21"/>
                      <w:lang w:val="en-US" w:eastAsia="en-US" w:bidi="ar-SA"/>
                    </w:rPr>
                  </w:pPr>
                  <w:r>
                    <w:rPr>
                      <w:color w:val="auto"/>
                      <w:spacing w:val="7"/>
                      <w:sz w:val="21"/>
                      <w:szCs w:val="21"/>
                    </w:rPr>
                    <w:t>外购有机肥</w:t>
                  </w:r>
                  <w:r>
                    <w:rPr>
                      <w:rFonts w:hint="eastAsia"/>
                      <w:color w:val="auto"/>
                      <w:spacing w:val="7"/>
                      <w:sz w:val="21"/>
                      <w:szCs w:val="21"/>
                      <w:lang w:val="en-US" w:eastAsia="zh-CN"/>
                    </w:rPr>
                    <w:t>及复合肥</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95" w:hRule="atLeast"/>
                <w:jc w:val="center"/>
              </w:trPr>
              <w:tc>
                <w:tcPr>
                  <w:tcW w:w="8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1773"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4"/>
                      <w:sz w:val="21"/>
                      <w:szCs w:val="21"/>
                    </w:rPr>
                  </w:pPr>
                  <w:r>
                    <w:rPr>
                      <w:color w:val="auto"/>
                      <w:spacing w:val="4"/>
                      <w:sz w:val="21"/>
                      <w:szCs w:val="21"/>
                    </w:rPr>
                    <w:t>农药</w:t>
                  </w: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pacing w:val="2"/>
                      <w:sz w:val="21"/>
                      <w:szCs w:val="21"/>
                      <w:lang w:val="en-US" w:eastAsia="zh-CN"/>
                    </w:rPr>
                  </w:pPr>
                  <w:r>
                    <w:rPr>
                      <w:rFonts w:hint="eastAsia" w:eastAsia="宋体" w:cs="Times New Roman"/>
                      <w:color w:val="auto"/>
                      <w:spacing w:val="-2"/>
                      <w:sz w:val="21"/>
                      <w:szCs w:val="21"/>
                      <w:lang w:val="en-US" w:eastAsia="zh-CN"/>
                    </w:rPr>
                    <w:t>20</w:t>
                  </w:r>
                  <w:r>
                    <w:rPr>
                      <w:rFonts w:ascii="Times New Roman" w:hAnsi="Times New Roman" w:eastAsia="Times New Roman" w:cs="Times New Roman"/>
                      <w:color w:val="auto"/>
                      <w:spacing w:val="-2"/>
                      <w:sz w:val="21"/>
                      <w:szCs w:val="21"/>
                    </w:rPr>
                    <w:t>t/a</w:t>
                  </w:r>
                </w:p>
              </w:tc>
              <w:tc>
                <w:tcPr>
                  <w:tcW w:w="359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pacing w:val="7"/>
                      <w:sz w:val="21"/>
                      <w:szCs w:val="21"/>
                    </w:rPr>
                  </w:pPr>
                  <w:r>
                    <w:rPr>
                      <w:color w:val="auto"/>
                      <w:spacing w:val="8"/>
                      <w:sz w:val="21"/>
                      <w:szCs w:val="21"/>
                    </w:rPr>
                    <w:t>外购高效低毒低残留的农药</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95" w:hRule="atLeast"/>
                <w:jc w:val="center"/>
              </w:trPr>
              <w:tc>
                <w:tcPr>
                  <w:tcW w:w="8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w:t>
                  </w:r>
                </w:p>
              </w:tc>
              <w:tc>
                <w:tcPr>
                  <w:tcW w:w="1773"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auto"/>
                      <w:spacing w:val="4"/>
                      <w:sz w:val="21"/>
                      <w:szCs w:val="21"/>
                      <w:lang w:val="en-US" w:eastAsia="zh-CN"/>
                    </w:rPr>
                  </w:pPr>
                  <w:r>
                    <w:rPr>
                      <w:rFonts w:hint="eastAsia"/>
                      <w:color w:val="auto"/>
                      <w:spacing w:val="4"/>
                      <w:sz w:val="21"/>
                      <w:szCs w:val="21"/>
                      <w:lang w:val="en-US" w:eastAsia="zh-CN"/>
                    </w:rPr>
                    <w:t>石灰</w:t>
                  </w: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pacing w:val="-2"/>
                      <w:sz w:val="21"/>
                      <w:szCs w:val="21"/>
                      <w:lang w:val="en-US" w:eastAsia="zh-CN"/>
                    </w:rPr>
                  </w:pPr>
                  <w:r>
                    <w:rPr>
                      <w:rFonts w:hint="eastAsia" w:eastAsia="宋体" w:cs="Times New Roman"/>
                      <w:color w:val="auto"/>
                      <w:spacing w:val="-2"/>
                      <w:sz w:val="21"/>
                      <w:szCs w:val="21"/>
                      <w:lang w:val="en-US" w:eastAsia="zh-CN"/>
                    </w:rPr>
                    <w:t>800t</w:t>
                  </w:r>
                </w:p>
              </w:tc>
              <w:tc>
                <w:tcPr>
                  <w:tcW w:w="3591"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auto"/>
                      <w:spacing w:val="8"/>
                      <w:sz w:val="21"/>
                      <w:szCs w:val="21"/>
                      <w:lang w:val="en-US" w:eastAsia="zh-CN"/>
                    </w:rPr>
                  </w:pPr>
                  <w:r>
                    <w:rPr>
                      <w:rFonts w:hint="eastAsia"/>
                      <w:color w:val="auto"/>
                      <w:spacing w:val="8"/>
                      <w:sz w:val="21"/>
                      <w:szCs w:val="21"/>
                      <w:lang w:val="en-US" w:eastAsia="zh-CN"/>
                    </w:rPr>
                    <w:t>病虫害防治</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jc w:val="center"/>
              </w:trPr>
              <w:tc>
                <w:tcPr>
                  <w:tcW w:w="8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w:t>
                  </w:r>
                </w:p>
              </w:tc>
              <w:tc>
                <w:tcPr>
                  <w:tcW w:w="1773" w:type="dxa"/>
                  <w:tcBorders>
                    <w:tl2br w:val="nil"/>
                    <w:tr2bl w:val="nil"/>
                  </w:tcBorders>
                  <w:shd w:val="clear" w:color="auto" w:fill="auto"/>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color w:val="auto"/>
                      <w:sz w:val="21"/>
                      <w:szCs w:val="21"/>
                    </w:rPr>
                    <w:t>水</w:t>
                  </w:r>
                </w:p>
              </w:tc>
              <w:tc>
                <w:tcPr>
                  <w:tcW w:w="1773" w:type="dxa"/>
                  <w:tcBorders>
                    <w:tl2br w:val="nil"/>
                    <w:tr2bl w:val="nil"/>
                  </w:tcBorders>
                  <w:shd w:val="clear" w:color="auto" w:fill="auto"/>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2"/>
                      <w:sz w:val="21"/>
                      <w:szCs w:val="21"/>
                    </w:rPr>
                    <w:t>20</w:t>
                  </w:r>
                  <w:r>
                    <w:rPr>
                      <w:color w:val="auto"/>
                      <w:spacing w:val="2"/>
                      <w:sz w:val="21"/>
                      <w:szCs w:val="21"/>
                    </w:rPr>
                    <w:t>万</w:t>
                  </w:r>
                  <w:r>
                    <w:rPr>
                      <w:rFonts w:ascii="Times New Roman" w:hAnsi="Times New Roman" w:eastAsia="Times New Roman"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r>
                    <w:rPr>
                      <w:rFonts w:ascii="Times New Roman" w:hAnsi="Times New Roman" w:eastAsia="Times New Roman" w:cs="Times New Roman"/>
                      <w:color w:val="auto"/>
                      <w:spacing w:val="2"/>
                      <w:sz w:val="21"/>
                      <w:szCs w:val="21"/>
                    </w:rPr>
                    <w:t>/a</w:t>
                  </w:r>
                </w:p>
              </w:tc>
              <w:tc>
                <w:tcPr>
                  <w:tcW w:w="3591" w:type="dxa"/>
                  <w:tcBorders>
                    <w:tl2br w:val="nil"/>
                    <w:tr2bl w:val="nil"/>
                  </w:tcBorders>
                  <w:shd w:val="clear" w:color="auto" w:fill="auto"/>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spacing w:val="9"/>
                      <w:sz w:val="21"/>
                      <w:szCs w:val="21"/>
                      <w:lang w:val="en-US" w:eastAsia="zh-CN"/>
                    </w:rPr>
                  </w:pPr>
                  <w:r>
                    <w:rPr>
                      <w:color w:val="auto"/>
                      <w:spacing w:val="9"/>
                      <w:sz w:val="21"/>
                      <w:szCs w:val="21"/>
                    </w:rPr>
                    <w:t>生活用水使用桶装水</w:t>
                  </w:r>
                  <w:r>
                    <w:rPr>
                      <w:rFonts w:hint="eastAsia"/>
                      <w:color w:val="auto"/>
                      <w:spacing w:val="9"/>
                      <w:sz w:val="21"/>
                      <w:szCs w:val="21"/>
                      <w:lang w:val="en-US" w:eastAsia="zh-CN"/>
                    </w:rPr>
                    <w:t>及自来水</w:t>
                  </w:r>
                </w:p>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color w:val="auto"/>
                      <w:spacing w:val="9"/>
                      <w:sz w:val="21"/>
                      <w:szCs w:val="21"/>
                    </w:rPr>
                    <w:t>灌溉使用自然地表水体</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368" w:hRule="atLeast"/>
                <w:jc w:val="center"/>
              </w:trPr>
              <w:tc>
                <w:tcPr>
                  <w:tcW w:w="8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1773" w:type="dxa"/>
                  <w:tcBorders>
                    <w:tl2br w:val="nil"/>
                    <w:tr2bl w:val="nil"/>
                  </w:tcBorders>
                  <w:shd w:val="clear" w:color="auto" w:fill="auto"/>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kern w:val="2"/>
                      <w:sz w:val="21"/>
                      <w:szCs w:val="21"/>
                      <w:lang w:val="en-US" w:eastAsia="en-US" w:bidi="ar-SA"/>
                    </w:rPr>
                  </w:pPr>
                  <w:r>
                    <w:rPr>
                      <w:color w:val="auto"/>
                      <w:sz w:val="21"/>
                      <w:szCs w:val="21"/>
                    </w:rPr>
                    <w:t>电</w:t>
                  </w:r>
                </w:p>
              </w:tc>
              <w:tc>
                <w:tcPr>
                  <w:tcW w:w="177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color w:val="auto"/>
                      <w:kern w:val="2"/>
                      <w:sz w:val="21"/>
                      <w:szCs w:val="21"/>
                      <w:lang w:val="en-US" w:eastAsia="en-US" w:bidi="ar-SA"/>
                    </w:rPr>
                  </w:pPr>
                  <w:r>
                    <w:rPr>
                      <w:rFonts w:hint="eastAsia" w:eastAsia="宋体" w:cs="Times New Roman"/>
                      <w:color w:val="auto"/>
                      <w:sz w:val="21"/>
                      <w:szCs w:val="21"/>
                      <w:lang w:val="en-US" w:eastAsia="zh-CN"/>
                    </w:rPr>
                    <w:t>653万</w:t>
                  </w:r>
                  <w:r>
                    <w:rPr>
                      <w:rFonts w:hint="eastAsia" w:cs="Times New Roman"/>
                      <w:color w:val="auto"/>
                      <w:sz w:val="21"/>
                      <w:szCs w:val="21"/>
                      <w:lang w:val="en-US" w:eastAsia="zh-CN"/>
                    </w:rPr>
                    <w:t>kW</w:t>
                  </w:r>
                  <w:r>
                    <w:rPr>
                      <w:rFonts w:ascii="Times New Roman" w:hAnsi="Times New Roman" w:eastAsia="Times New Roman" w:cs="Times New Roman"/>
                      <w:color w:val="auto"/>
                      <w:sz w:val="21"/>
                      <w:szCs w:val="21"/>
                    </w:rPr>
                    <w:t>·h/a</w:t>
                  </w:r>
                </w:p>
              </w:tc>
              <w:tc>
                <w:tcPr>
                  <w:tcW w:w="3591" w:type="dxa"/>
                  <w:tcBorders>
                    <w:tl2br w:val="nil"/>
                    <w:tr2bl w:val="nil"/>
                  </w:tcBorders>
                  <w:shd w:val="clear" w:color="auto" w:fill="auto"/>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kern w:val="2"/>
                      <w:sz w:val="21"/>
                      <w:szCs w:val="21"/>
                      <w:lang w:val="en-US" w:eastAsia="en-US" w:bidi="ar-SA"/>
                    </w:rPr>
                  </w:pPr>
                  <w:r>
                    <w:rPr>
                      <w:color w:val="auto"/>
                      <w:spacing w:val="5"/>
                      <w:sz w:val="21"/>
                      <w:szCs w:val="21"/>
                    </w:rPr>
                    <w:t>由区域电网供给</w:t>
                  </w:r>
                </w:p>
              </w:tc>
            </w:tr>
          </w:tbl>
          <w:p>
            <w:pPr>
              <w:pStyle w:val="4"/>
              <w:rPr>
                <w:rFonts w:hint="default"/>
                <w:color w:val="auto"/>
                <w:spacing w:val="-2"/>
                <w:lang w:val="en-US" w:eastAsia="zh-CN"/>
              </w:rPr>
            </w:pPr>
          </w:p>
          <w:p>
            <w:pPr>
              <w:pStyle w:val="4"/>
              <w:ind w:left="0" w:leftChars="0" w:firstLine="0" w:firstLineChars="0"/>
              <w:rPr>
                <w:rFonts w:hint="default"/>
                <w:color w:val="auto"/>
                <w:spacing w:val="-2"/>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582" w:hRule="atLeast"/>
          <w:jc w:val="center"/>
        </w:trPr>
        <w:tc>
          <w:tcPr>
            <w:tcW w:w="3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总平面及现场布置</w:t>
            </w:r>
          </w:p>
        </w:tc>
        <w:tc>
          <w:tcPr>
            <w:tcW w:w="8193" w:type="dxa"/>
            <w:tcBorders>
              <w:tl2br w:val="nil"/>
              <w:tr2bl w:val="nil"/>
            </w:tcBorders>
            <w:vAlign w:val="top"/>
          </w:tcPr>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b/>
                <w:bCs/>
                <w:snapToGrid/>
                <w:color w:val="auto"/>
                <w:kern w:val="2"/>
                <w:sz w:val="24"/>
                <w:szCs w:val="24"/>
                <w:lang w:val="en-US" w:eastAsia="zh-CN" w:bidi="ar-SA"/>
              </w:rPr>
            </w:pPr>
            <w:r>
              <w:rPr>
                <w:rFonts w:hint="eastAsia" w:ascii="Times New Roman" w:hAnsi="Times New Roman" w:cs="Times New Roman"/>
                <w:b/>
                <w:bCs/>
                <w:snapToGrid/>
                <w:color w:val="auto"/>
                <w:kern w:val="2"/>
                <w:sz w:val="24"/>
                <w:szCs w:val="24"/>
                <w:lang w:val="en-US" w:eastAsia="zh-CN" w:bidi="ar-SA"/>
              </w:rPr>
              <w:t>1、林业建设</w:t>
            </w:r>
          </w:p>
          <w:p>
            <w:pPr>
              <w:pStyle w:val="5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color w:val="auto"/>
                <w:kern w:val="2"/>
                <w:sz w:val="24"/>
                <w:szCs w:val="24"/>
                <w:lang w:val="en-US" w:eastAsia="zh-CN" w:bidi="ar-SA"/>
              </w:rPr>
            </w:pPr>
            <w:r>
              <w:rPr>
                <w:color w:val="auto"/>
              </w:rPr>
              <w:drawing>
                <wp:inline distT="0" distB="0" distL="114300" distR="114300">
                  <wp:extent cx="5070475" cy="6675120"/>
                  <wp:effectExtent l="9525" t="9525" r="25400" b="2095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8"/>
                          <a:stretch>
                            <a:fillRect/>
                          </a:stretch>
                        </pic:blipFill>
                        <pic:spPr>
                          <a:xfrm>
                            <a:off x="0" y="0"/>
                            <a:ext cx="5070475" cy="6675120"/>
                          </a:xfrm>
                          <a:prstGeom prst="rect">
                            <a:avLst/>
                          </a:prstGeom>
                          <a:noFill/>
                          <a:ln w="635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ascii="Times New Roman" w:hAnsi="Times New Roman" w:eastAsia="宋体" w:cs="Times New Roman"/>
                <w:b/>
                <w:bCs/>
                <w:color w:val="auto"/>
                <w:sz w:val="21"/>
                <w:szCs w:val="21"/>
                <w:lang w:val="en-US" w:eastAsia="zh-CN"/>
              </w:rPr>
              <w:t>图2-</w:t>
            </w:r>
            <w:r>
              <w:rPr>
                <w:rFonts w:hint="eastAsia"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　林业</w:t>
            </w:r>
            <w:r>
              <w:rPr>
                <w:rFonts w:hint="default" w:ascii="Times New Roman" w:hAnsi="Times New Roman" w:eastAsia="宋体" w:cs="Times New Roman"/>
                <w:b/>
                <w:bCs/>
                <w:color w:val="auto"/>
                <w:sz w:val="21"/>
                <w:szCs w:val="21"/>
                <w:lang w:val="en-US" w:eastAsia="zh-CN"/>
              </w:rPr>
              <w:t>建设项目布局图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施工方案</w:t>
            </w:r>
          </w:p>
        </w:tc>
        <w:tc>
          <w:tcPr>
            <w:tcW w:w="8193" w:type="dxa"/>
            <w:tcBorders>
              <w:tl2br w:val="nil"/>
              <w:tr2bl w:val="nil"/>
            </w:tcBorders>
            <w:vAlign w:val="center"/>
          </w:tcPr>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bCs/>
                <w:snapToGrid/>
                <w:color w:val="auto"/>
                <w:kern w:val="2"/>
                <w:sz w:val="24"/>
                <w:szCs w:val="24"/>
                <w:lang w:val="en-US" w:eastAsia="zh-CN" w:bidi="ar-SA"/>
              </w:rPr>
            </w:pPr>
            <w:r>
              <w:rPr>
                <w:rFonts w:hint="default" w:ascii="Times New Roman" w:hAnsi="Times New Roman" w:eastAsia="宋体" w:cs="Times New Roman"/>
                <w:color w:val="auto"/>
                <w:sz w:val="24"/>
                <w:szCs w:val="24"/>
                <w:highlight w:val="none"/>
                <w:lang w:val="en-US" w:eastAsia="zh-CN"/>
              </w:rPr>
              <w:t>一、</w:t>
            </w:r>
            <w:r>
              <w:rPr>
                <w:rFonts w:hint="eastAsia" w:ascii="Times New Roman" w:hAnsi="Times New Roman" w:cs="Times New Roman"/>
                <w:b/>
                <w:bCs/>
                <w:snapToGrid/>
                <w:color w:val="auto"/>
                <w:kern w:val="2"/>
                <w:sz w:val="24"/>
                <w:szCs w:val="24"/>
                <w:lang w:val="en-US" w:eastAsia="zh-CN" w:bidi="ar-SA"/>
              </w:rPr>
              <w:t>林业建设方案</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jc w:val="both"/>
              <w:textAlignment w:val="auto"/>
              <w:rPr>
                <w:rFonts w:hint="eastAsia" w:ascii="Times New Roman" w:hAnsi="Times New Roman" w:eastAsia="宋体" w:cs="Times New Roman"/>
                <w:b/>
                <w:bCs/>
                <w:snapToGrid/>
                <w:color w:val="auto"/>
                <w:kern w:val="2"/>
                <w:sz w:val="24"/>
                <w:szCs w:val="24"/>
                <w:lang w:val="en-US" w:eastAsia="en-US" w:bidi="ar-SA"/>
              </w:rPr>
            </w:pPr>
            <w:r>
              <w:rPr>
                <w:rFonts w:hint="eastAsia" w:ascii="Times New Roman" w:hAnsi="Times New Roman" w:eastAsia="宋体" w:cs="Times New Roman"/>
                <w:b/>
                <w:bCs/>
                <w:snapToGrid/>
                <w:color w:val="auto"/>
                <w:kern w:val="2"/>
                <w:sz w:val="24"/>
                <w:szCs w:val="24"/>
                <w:lang w:val="en-US" w:eastAsia="zh-CN" w:bidi="ar-SA"/>
              </w:rPr>
              <w:t>1、</w:t>
            </w:r>
            <w:r>
              <w:rPr>
                <w:rFonts w:hint="eastAsia" w:ascii="Times New Roman" w:hAnsi="Times New Roman" w:eastAsia="宋体" w:cs="Times New Roman"/>
                <w:b/>
                <w:bCs/>
                <w:snapToGrid/>
                <w:color w:val="auto"/>
                <w:kern w:val="2"/>
                <w:sz w:val="24"/>
                <w:szCs w:val="24"/>
                <w:lang w:val="en-US" w:eastAsia="en-US" w:bidi="ar-SA"/>
              </w:rPr>
              <w:t>集约人工林栽培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left"/>
              <w:textAlignment w:val="baseline"/>
              <w:outlineLvl w:val="3"/>
              <w:rPr>
                <w:rFonts w:ascii="宋体" w:hAnsi="宋体" w:eastAsia="宋体" w:cs="宋体"/>
                <w:snapToGrid w:val="0"/>
                <w:color w:val="auto"/>
                <w:kern w:val="0"/>
                <w:sz w:val="24"/>
                <w:szCs w:val="24"/>
                <w:lang w:eastAsia="en-US"/>
              </w:rPr>
            </w:pPr>
            <w:r>
              <w:rPr>
                <w:rFonts w:ascii="宋体" w:hAnsi="宋体" w:eastAsia="宋体" w:cs="宋体"/>
                <w:b/>
                <w:bCs/>
                <w:snapToGrid w:val="0"/>
                <w:color w:val="auto"/>
                <w:spacing w:val="-4"/>
                <w:kern w:val="0"/>
                <w:sz w:val="24"/>
                <w:szCs w:val="24"/>
                <w:lang w:eastAsia="en-US"/>
              </w:rPr>
              <w:t>（</w:t>
            </w:r>
            <w:r>
              <w:rPr>
                <w:rFonts w:ascii="Times New Roman" w:hAnsi="Times New Roman" w:eastAsia="Times New Roman" w:cs="Times New Roman"/>
                <w:b/>
                <w:bCs/>
                <w:snapToGrid w:val="0"/>
                <w:color w:val="auto"/>
                <w:spacing w:val="-4"/>
                <w:kern w:val="0"/>
                <w:sz w:val="24"/>
                <w:szCs w:val="24"/>
                <w:lang w:eastAsia="en-US"/>
              </w:rPr>
              <w:t>1</w:t>
            </w:r>
            <w:r>
              <w:rPr>
                <w:rFonts w:ascii="宋体" w:hAnsi="宋体" w:eastAsia="宋体" w:cs="宋体"/>
                <w:b/>
                <w:bCs/>
                <w:snapToGrid w:val="0"/>
                <w:color w:val="auto"/>
                <w:spacing w:val="-4"/>
                <w:kern w:val="0"/>
                <w:sz w:val="24"/>
                <w:szCs w:val="24"/>
                <w:lang w:eastAsia="en-US"/>
              </w:rPr>
              <w:t>）实施范围与规模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rPr>
                <w:rFonts w:hint="default" w:ascii="Times New Roman" w:hAnsi="Times New Roman" w:eastAsia="Arial"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0"/>
                <w:kern w:val="0"/>
                <w:sz w:val="24"/>
                <w:szCs w:val="24"/>
                <w:lang w:eastAsia="en-US"/>
              </w:rPr>
              <w:t>集约人工林栽培总规模</w:t>
            </w:r>
            <w:r>
              <w:rPr>
                <w:rFonts w:hint="default" w:ascii="Times New Roman" w:hAnsi="Times New Roman" w:eastAsia="宋体" w:cs="Times New Roman"/>
                <w:snapToGrid w:val="0"/>
                <w:color w:val="auto"/>
                <w:spacing w:val="-63"/>
                <w:kern w:val="0"/>
                <w:sz w:val="24"/>
                <w:szCs w:val="24"/>
                <w:lang w:eastAsia="en-US"/>
              </w:rPr>
              <w:t xml:space="preserve"> </w:t>
            </w:r>
            <w:r>
              <w:rPr>
                <w:rFonts w:hint="default" w:ascii="Times New Roman" w:hAnsi="Times New Roman" w:eastAsia="Times New Roman" w:cs="Times New Roman"/>
                <w:snapToGrid w:val="0"/>
                <w:color w:val="auto"/>
                <w:spacing w:val="-10"/>
                <w:kern w:val="0"/>
                <w:sz w:val="24"/>
                <w:szCs w:val="24"/>
                <w:lang w:eastAsia="en-US"/>
              </w:rPr>
              <w:t>7552.5</w:t>
            </w:r>
            <w:r>
              <w:rPr>
                <w:rFonts w:hint="default" w:ascii="Times New Roman" w:hAnsi="Times New Roman" w:eastAsia="宋体" w:cs="Times New Roman"/>
                <w:snapToGrid w:val="0"/>
                <w:color w:val="auto"/>
                <w:spacing w:val="-10"/>
                <w:kern w:val="0"/>
                <w:sz w:val="24"/>
                <w:szCs w:val="24"/>
                <w:lang w:eastAsia="en-US"/>
              </w:rPr>
              <w:t>亩，涉及</w:t>
            </w:r>
            <w:r>
              <w:rPr>
                <w:rFonts w:hint="default" w:ascii="Times New Roman" w:hAnsi="Times New Roman" w:eastAsia="Times New Roman" w:cs="Times New Roman"/>
                <w:snapToGrid w:val="0"/>
                <w:color w:val="auto"/>
                <w:spacing w:val="-10"/>
                <w:kern w:val="0"/>
                <w:sz w:val="24"/>
                <w:szCs w:val="24"/>
                <w:lang w:eastAsia="en-US"/>
              </w:rPr>
              <w:t>15</w:t>
            </w:r>
            <w:r>
              <w:rPr>
                <w:rFonts w:hint="default" w:ascii="Times New Roman" w:hAnsi="Times New Roman" w:eastAsia="宋体" w:cs="Times New Roman"/>
                <w:snapToGrid w:val="0"/>
                <w:color w:val="auto"/>
                <w:spacing w:val="-10"/>
                <w:kern w:val="0"/>
                <w:sz w:val="24"/>
                <w:szCs w:val="24"/>
                <w:lang w:eastAsia="en-US"/>
              </w:rPr>
              <w:t>个乡</w:t>
            </w:r>
            <w:r>
              <w:rPr>
                <w:rFonts w:hint="default" w:ascii="Times New Roman" w:hAnsi="Times New Roman" w:eastAsia="宋体" w:cs="Times New Roman"/>
                <w:snapToGrid w:val="0"/>
                <w:color w:val="auto"/>
                <w:spacing w:val="-11"/>
                <w:kern w:val="0"/>
                <w:sz w:val="24"/>
                <w:szCs w:val="24"/>
                <w:lang w:eastAsia="en-US"/>
              </w:rPr>
              <w:t>镇（街道）</w:t>
            </w:r>
            <w:r>
              <w:rPr>
                <w:rFonts w:hint="default" w:ascii="Times New Roman" w:hAnsi="Times New Roman" w:eastAsia="Times New Roman" w:cs="Times New Roman"/>
                <w:snapToGrid w:val="0"/>
                <w:color w:val="auto"/>
                <w:spacing w:val="-11"/>
                <w:kern w:val="0"/>
                <w:sz w:val="24"/>
                <w:szCs w:val="24"/>
                <w:lang w:eastAsia="en-US"/>
              </w:rPr>
              <w:t>76</w:t>
            </w:r>
            <w:r>
              <w:rPr>
                <w:rFonts w:hint="default" w:ascii="Times New Roman" w:hAnsi="Times New Roman" w:eastAsia="宋体" w:cs="Times New Roman"/>
                <w:snapToGrid w:val="0"/>
                <w:color w:val="auto"/>
                <w:spacing w:val="-11"/>
                <w:kern w:val="0"/>
                <w:sz w:val="24"/>
                <w:szCs w:val="24"/>
                <w:lang w:eastAsia="en-US"/>
              </w:rPr>
              <w:t>个村（社</w:t>
            </w:r>
            <w:r>
              <w:rPr>
                <w:rFonts w:hint="default" w:ascii="Times New Roman" w:hAnsi="Times New Roman" w:eastAsia="宋体" w:cs="Times New Roman"/>
                <w:snapToGrid w:val="0"/>
                <w:color w:val="auto"/>
                <w:spacing w:val="2"/>
                <w:kern w:val="0"/>
                <w:sz w:val="24"/>
                <w:szCs w:val="24"/>
                <w:lang w:eastAsia="en-US"/>
              </w:rPr>
              <w:t>区）</w:t>
            </w:r>
            <w:r>
              <w:rPr>
                <w:rFonts w:hint="default" w:ascii="Times New Roman" w:hAnsi="Times New Roman" w:eastAsia="Times New Roman" w:cs="Times New Roman"/>
                <w:snapToGrid w:val="0"/>
                <w:color w:val="auto"/>
                <w:spacing w:val="2"/>
                <w:kern w:val="0"/>
                <w:sz w:val="24"/>
                <w:szCs w:val="24"/>
                <w:lang w:eastAsia="en-US"/>
              </w:rPr>
              <w:t>611</w:t>
            </w:r>
            <w:r>
              <w:rPr>
                <w:rFonts w:hint="default" w:ascii="Times New Roman" w:hAnsi="Times New Roman" w:eastAsia="宋体" w:cs="Times New Roman"/>
                <w:snapToGrid w:val="0"/>
                <w:color w:val="auto"/>
                <w:spacing w:val="2"/>
                <w:kern w:val="0"/>
                <w:sz w:val="24"/>
                <w:szCs w:val="24"/>
                <w:lang w:eastAsia="en-US"/>
              </w:rPr>
              <w:t>个小班，各乡（镇）建设规模见</w:t>
            </w:r>
            <w:r>
              <w:rPr>
                <w:rFonts w:hint="default" w:ascii="Times New Roman" w:hAnsi="Times New Roman" w:cs="Times New Roman"/>
                <w:snapToGrid w:val="0"/>
                <w:color w:val="auto"/>
                <w:spacing w:val="2"/>
                <w:kern w:val="0"/>
                <w:sz w:val="24"/>
                <w:szCs w:val="24"/>
                <w:lang w:eastAsia="zh-CN"/>
              </w:rPr>
              <w:t>表2</w:t>
            </w:r>
            <w:r>
              <w:rPr>
                <w:rFonts w:hint="default" w:ascii="Times New Roman" w:hAnsi="Times New Roman" w:eastAsia="Times New Roman" w:cs="Times New Roman"/>
                <w:snapToGrid w:val="0"/>
                <w:color w:val="auto"/>
                <w:spacing w:val="1"/>
                <w:kern w:val="0"/>
                <w:sz w:val="24"/>
                <w:szCs w:val="24"/>
                <w:lang w:eastAsia="en-US"/>
              </w:rPr>
              <w:t>-</w:t>
            </w:r>
            <w:r>
              <w:rPr>
                <w:rFonts w:hint="eastAsia" w:cs="Times New Roman"/>
                <w:snapToGrid w:val="0"/>
                <w:color w:val="auto"/>
                <w:spacing w:val="1"/>
                <w:kern w:val="0"/>
                <w:sz w:val="24"/>
                <w:szCs w:val="24"/>
                <w:lang w:val="en-US" w:eastAsia="zh-CN"/>
              </w:rPr>
              <w:t>8</w:t>
            </w:r>
            <w:r>
              <w:rPr>
                <w:rFonts w:hint="default" w:ascii="Times New Roman" w:hAnsi="Times New Roman" w:eastAsia="宋体" w:cs="Times New Roman"/>
                <w:snapToGrid w:val="0"/>
                <w:color w:val="auto"/>
                <w:spacing w:val="1"/>
                <w:kern w:val="0"/>
                <w:sz w:val="24"/>
                <w:szCs w:val="24"/>
                <w:lang w:eastAsia="en-US"/>
              </w:rPr>
              <w:t>。其中集约人工林栽培技</w:t>
            </w:r>
            <w:r>
              <w:rPr>
                <w:rFonts w:hint="default" w:ascii="Times New Roman" w:hAnsi="Times New Roman" w:eastAsia="宋体" w:cs="Times New Roman"/>
                <w:snapToGrid w:val="0"/>
                <w:color w:val="auto"/>
                <w:spacing w:val="-9"/>
                <w:kern w:val="0"/>
                <w:sz w:val="24"/>
                <w:szCs w:val="24"/>
                <w:lang w:eastAsia="en-US"/>
              </w:rPr>
              <w:t>术模型面积（不含园林景观林，涉及模型</w:t>
            </w:r>
            <w:r>
              <w:rPr>
                <w:rFonts w:hint="default" w:ascii="Times New Roman" w:hAnsi="Times New Roman" w:eastAsia="Times New Roman" w:cs="Times New Roman"/>
                <w:snapToGrid w:val="0"/>
                <w:color w:val="auto"/>
                <w:spacing w:val="-9"/>
                <w:kern w:val="0"/>
                <w:sz w:val="24"/>
                <w:szCs w:val="24"/>
                <w:lang w:eastAsia="en-US"/>
              </w:rPr>
              <w:t>LH31</w:t>
            </w:r>
            <w:r>
              <w:rPr>
                <w:rFonts w:hint="default" w:ascii="Times New Roman" w:hAnsi="Times New Roman" w:eastAsia="Times New Roman" w:cs="Times New Roman"/>
                <w:snapToGrid w:val="0"/>
                <w:color w:val="auto"/>
                <w:spacing w:val="-10"/>
                <w:kern w:val="0"/>
                <w:sz w:val="24"/>
                <w:szCs w:val="24"/>
                <w:lang w:eastAsia="en-US"/>
              </w:rPr>
              <w:t>1</w:t>
            </w:r>
            <w:r>
              <w:rPr>
                <w:rFonts w:hint="default" w:ascii="Times New Roman" w:hAnsi="Times New Roman" w:eastAsia="宋体" w:cs="Times New Roman"/>
                <w:snapToGrid w:val="0"/>
                <w:color w:val="auto"/>
                <w:spacing w:val="-10"/>
                <w:kern w:val="0"/>
                <w:sz w:val="24"/>
                <w:szCs w:val="24"/>
                <w:lang w:eastAsia="en-US"/>
              </w:rPr>
              <w:t>、</w:t>
            </w:r>
            <w:r>
              <w:rPr>
                <w:rFonts w:hint="default" w:ascii="Times New Roman" w:hAnsi="Times New Roman" w:eastAsia="Times New Roman" w:cs="Times New Roman"/>
                <w:snapToGrid w:val="0"/>
                <w:color w:val="auto"/>
                <w:spacing w:val="-10"/>
                <w:kern w:val="0"/>
                <w:sz w:val="24"/>
                <w:szCs w:val="24"/>
                <w:lang w:eastAsia="en-US"/>
              </w:rPr>
              <w:t>LH321</w:t>
            </w:r>
            <w:r>
              <w:rPr>
                <w:rFonts w:hint="default" w:ascii="Times New Roman" w:hAnsi="Times New Roman" w:eastAsia="宋体" w:cs="Times New Roman"/>
                <w:snapToGrid w:val="0"/>
                <w:color w:val="auto"/>
                <w:spacing w:val="-10"/>
                <w:kern w:val="0"/>
                <w:sz w:val="24"/>
                <w:szCs w:val="24"/>
                <w:lang w:eastAsia="en-US"/>
              </w:rPr>
              <w:t>、</w:t>
            </w:r>
            <w:r>
              <w:rPr>
                <w:rFonts w:hint="default" w:ascii="Times New Roman" w:hAnsi="Times New Roman" w:eastAsia="Times New Roman" w:cs="Times New Roman"/>
                <w:snapToGrid w:val="0"/>
                <w:color w:val="auto"/>
                <w:spacing w:val="-10"/>
                <w:kern w:val="0"/>
                <w:sz w:val="24"/>
                <w:szCs w:val="24"/>
                <w:lang w:eastAsia="en-US"/>
              </w:rPr>
              <w:t>LH331</w:t>
            </w:r>
            <w:r>
              <w:rPr>
                <w:rFonts w:hint="default" w:ascii="Times New Roman" w:hAnsi="Times New Roman" w:eastAsia="宋体" w:cs="Times New Roman"/>
                <w:snapToGrid w:val="0"/>
                <w:color w:val="auto"/>
                <w:spacing w:val="-10"/>
                <w:kern w:val="0"/>
                <w:sz w:val="24"/>
                <w:szCs w:val="24"/>
                <w:lang w:eastAsia="en-US"/>
              </w:rPr>
              <w:t>、</w:t>
            </w:r>
            <w:r>
              <w:rPr>
                <w:rFonts w:hint="default" w:ascii="Times New Roman" w:hAnsi="Times New Roman" w:eastAsia="Times New Roman" w:cs="Times New Roman"/>
                <w:snapToGrid w:val="0"/>
                <w:color w:val="auto"/>
                <w:spacing w:val="-10"/>
                <w:kern w:val="0"/>
                <w:sz w:val="24"/>
                <w:szCs w:val="24"/>
                <w:lang w:eastAsia="en-US"/>
              </w:rPr>
              <w:t>LH341</w:t>
            </w:r>
            <w:r>
              <w:rPr>
                <w:rFonts w:hint="default" w:ascii="Times New Roman" w:hAnsi="Times New Roman" w:eastAsia="宋体" w:cs="Times New Roman"/>
                <w:snapToGrid w:val="0"/>
                <w:color w:val="auto"/>
                <w:spacing w:val="-10"/>
                <w:kern w:val="0"/>
                <w:sz w:val="24"/>
                <w:szCs w:val="24"/>
                <w:lang w:eastAsia="en-US"/>
              </w:rPr>
              <w:t>）</w:t>
            </w:r>
            <w:r>
              <w:rPr>
                <w:rFonts w:hint="default" w:ascii="Times New Roman" w:hAnsi="Times New Roman" w:eastAsia="Times New Roman" w:cs="Times New Roman"/>
                <w:snapToGrid w:val="0"/>
                <w:color w:val="auto"/>
                <w:spacing w:val="-2"/>
                <w:kern w:val="0"/>
                <w:sz w:val="24"/>
                <w:szCs w:val="24"/>
                <w:lang w:eastAsia="en-US"/>
              </w:rPr>
              <w:t>6225.32</w:t>
            </w:r>
            <w:r>
              <w:rPr>
                <w:rFonts w:hint="default" w:ascii="Times New Roman" w:hAnsi="Times New Roman" w:eastAsia="宋体" w:cs="Times New Roman"/>
                <w:snapToGrid w:val="0"/>
                <w:color w:val="auto"/>
                <w:spacing w:val="-2"/>
                <w:kern w:val="0"/>
                <w:sz w:val="24"/>
                <w:szCs w:val="24"/>
                <w:lang w:eastAsia="en-US"/>
              </w:rPr>
              <w:t>亩，集约人工林栽培技术模型（园林景观林，涉及模型</w:t>
            </w:r>
            <w:r>
              <w:rPr>
                <w:rFonts w:hint="default" w:ascii="Times New Roman" w:hAnsi="Times New Roman" w:eastAsia="Times New Roman" w:cs="Times New Roman"/>
                <w:snapToGrid w:val="0"/>
                <w:color w:val="auto"/>
                <w:spacing w:val="-3"/>
                <w:kern w:val="0"/>
                <w:sz w:val="24"/>
                <w:szCs w:val="24"/>
                <w:lang w:eastAsia="en-US"/>
              </w:rPr>
              <w:t>ZL01-1</w:t>
            </w:r>
            <w:r>
              <w:rPr>
                <w:rFonts w:hint="default" w:ascii="Times New Roman" w:hAnsi="Times New Roman" w:eastAsia="宋体" w:cs="Times New Roman"/>
                <w:snapToGrid w:val="0"/>
                <w:color w:val="auto"/>
                <w:spacing w:val="-3"/>
                <w:kern w:val="0"/>
                <w:sz w:val="24"/>
                <w:szCs w:val="24"/>
                <w:lang w:eastAsia="en-US"/>
              </w:rPr>
              <w:t>至</w:t>
            </w:r>
            <w:r>
              <w:rPr>
                <w:rFonts w:hint="default" w:ascii="Times New Roman" w:hAnsi="Times New Roman" w:eastAsia="Times New Roman" w:cs="Times New Roman"/>
                <w:snapToGrid w:val="0"/>
                <w:color w:val="auto"/>
                <w:spacing w:val="-2"/>
                <w:kern w:val="0"/>
                <w:sz w:val="24"/>
                <w:szCs w:val="24"/>
                <w:lang w:eastAsia="en-US"/>
              </w:rPr>
              <w:t>ZL05-12</w:t>
            </w:r>
            <w:r>
              <w:rPr>
                <w:rFonts w:hint="default" w:ascii="Times New Roman" w:hAnsi="Times New Roman" w:eastAsia="宋体" w:cs="Times New Roman"/>
                <w:snapToGrid w:val="0"/>
                <w:color w:val="auto"/>
                <w:spacing w:val="-2"/>
                <w:kern w:val="0"/>
                <w:sz w:val="24"/>
                <w:szCs w:val="24"/>
                <w:lang w:eastAsia="en-US"/>
              </w:rPr>
              <w:t>）</w:t>
            </w:r>
            <w:r>
              <w:rPr>
                <w:rFonts w:hint="default" w:ascii="Times New Roman" w:hAnsi="Times New Roman" w:eastAsia="Times New Roman" w:cs="Times New Roman"/>
                <w:snapToGrid w:val="0"/>
                <w:color w:val="auto"/>
                <w:spacing w:val="-2"/>
                <w:kern w:val="0"/>
                <w:sz w:val="24"/>
                <w:szCs w:val="24"/>
                <w:lang w:eastAsia="en-US"/>
              </w:rPr>
              <w:t>1327.18</w:t>
            </w:r>
            <w:r>
              <w:rPr>
                <w:rFonts w:hint="default" w:ascii="Times New Roman" w:hAnsi="Times New Roman" w:eastAsia="宋体" w:cs="Times New Roman"/>
                <w:snapToGrid w:val="0"/>
                <w:color w:val="auto"/>
                <w:spacing w:val="-2"/>
                <w:kern w:val="0"/>
                <w:sz w:val="24"/>
                <w:szCs w:val="24"/>
                <w:lang w:eastAsia="en-US"/>
              </w:rPr>
              <w:t>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en-US"/>
              </w:rPr>
            </w:pPr>
            <w:r>
              <w:rPr>
                <w:rFonts w:hint="eastAsia" w:ascii="Times New Roman" w:hAnsi="Times New Roman" w:eastAsia="宋体" w:cs="Times New Roman"/>
                <w:b/>
                <w:bCs/>
                <w:color w:val="auto"/>
                <w:sz w:val="21"/>
                <w:szCs w:val="21"/>
                <w:lang w:val="en-US" w:eastAsia="en-US"/>
              </w:rPr>
              <w:t>表</w:t>
            </w:r>
            <w:r>
              <w:rPr>
                <w:rFonts w:hint="eastAsia"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en-US"/>
              </w:rPr>
              <w:t>-</w:t>
            </w:r>
            <w:r>
              <w:rPr>
                <w:rFonts w:hint="eastAsia" w:cs="Times New Roman"/>
                <w:b/>
                <w:bCs/>
                <w:color w:val="auto"/>
                <w:sz w:val="21"/>
                <w:szCs w:val="21"/>
                <w:lang w:val="en-US" w:eastAsia="zh-CN"/>
              </w:rPr>
              <w:t>8</w:t>
            </w:r>
            <w:r>
              <w:rPr>
                <w:rFonts w:hint="eastAsia" w:ascii="Times New Roman" w:hAnsi="Times New Roman" w:eastAsia="宋体" w:cs="Times New Roman"/>
                <w:b/>
                <w:bCs/>
                <w:color w:val="auto"/>
                <w:sz w:val="21"/>
                <w:szCs w:val="21"/>
                <w:lang w:val="en-US" w:eastAsia="en-US"/>
              </w:rPr>
              <w:t xml:space="preserve">  集约人工林栽培实施范围与规模简表</w:t>
            </w:r>
          </w:p>
          <w:tbl>
            <w:tblPr>
              <w:tblStyle w:val="55"/>
              <w:tblW w:w="7969"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8"/>
              <w:gridCol w:w="1409"/>
              <w:gridCol w:w="2728"/>
              <w:gridCol w:w="25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3"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70" w:line="228"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b/>
                      <w:bCs/>
                      <w:snapToGrid w:val="0"/>
                      <w:color w:val="auto"/>
                      <w:spacing w:val="3"/>
                      <w:kern w:val="0"/>
                      <w:sz w:val="21"/>
                      <w:szCs w:val="21"/>
                      <w:lang w:val="en-US" w:eastAsia="en-US" w:bidi="ar-SA"/>
                    </w:rPr>
                    <w:t>乡镇（街道）</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71" w:line="228"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b/>
                      <w:bCs/>
                      <w:snapToGrid w:val="0"/>
                      <w:color w:val="auto"/>
                      <w:spacing w:val="4"/>
                      <w:kern w:val="0"/>
                      <w:sz w:val="21"/>
                      <w:szCs w:val="21"/>
                      <w:lang w:val="en-US" w:eastAsia="en-US" w:bidi="ar-SA"/>
                    </w:rPr>
                    <w:t>合计（亩）</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3" w:line="235"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b/>
                      <w:bCs/>
                      <w:snapToGrid w:val="0"/>
                      <w:color w:val="auto"/>
                      <w:spacing w:val="7"/>
                      <w:kern w:val="0"/>
                      <w:sz w:val="21"/>
                      <w:szCs w:val="21"/>
                      <w:lang w:val="en-US" w:eastAsia="en-US" w:bidi="ar-SA"/>
                    </w:rPr>
                    <w:t>集约人工林栽培技术模型面积</w:t>
                  </w:r>
                  <w:r>
                    <w:rPr>
                      <w:rFonts w:ascii="宋体" w:hAnsi="宋体" w:eastAsia="宋体" w:cs="宋体"/>
                      <w:b/>
                      <w:bCs/>
                      <w:snapToGrid w:val="0"/>
                      <w:color w:val="auto"/>
                      <w:spacing w:val="8"/>
                      <w:kern w:val="0"/>
                      <w:sz w:val="21"/>
                      <w:szCs w:val="21"/>
                      <w:lang w:val="en-US" w:eastAsia="en-US" w:bidi="ar-SA"/>
                    </w:rPr>
                    <w:t>（不含园林景观林</w:t>
                  </w:r>
                  <w:r>
                    <w:rPr>
                      <w:rFonts w:ascii="宋体" w:hAnsi="宋体" w:eastAsia="宋体" w:cs="宋体"/>
                      <w:b/>
                      <w:bCs/>
                      <w:snapToGrid w:val="0"/>
                      <w:color w:val="auto"/>
                      <w:spacing w:val="-5"/>
                      <w:kern w:val="0"/>
                      <w:sz w:val="21"/>
                      <w:szCs w:val="21"/>
                      <w:lang w:val="en-US" w:eastAsia="en-US" w:bidi="ar-SA"/>
                    </w:rPr>
                    <w:t>）（</w:t>
                  </w:r>
                  <w:r>
                    <w:rPr>
                      <w:rFonts w:ascii="宋体" w:hAnsi="宋体" w:eastAsia="宋体" w:cs="宋体"/>
                      <w:b/>
                      <w:bCs/>
                      <w:snapToGrid w:val="0"/>
                      <w:color w:val="auto"/>
                      <w:spacing w:val="8"/>
                      <w:kern w:val="0"/>
                      <w:sz w:val="21"/>
                      <w:szCs w:val="21"/>
                      <w:lang w:val="en-US" w:eastAsia="en-US" w:bidi="ar-SA"/>
                    </w:rPr>
                    <w:t>亩）</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3" w:line="235"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b/>
                      <w:bCs/>
                      <w:snapToGrid w:val="0"/>
                      <w:color w:val="auto"/>
                      <w:spacing w:val="7"/>
                      <w:kern w:val="0"/>
                      <w:sz w:val="21"/>
                      <w:szCs w:val="21"/>
                      <w:lang w:val="en-US" w:eastAsia="en-US" w:bidi="ar-SA"/>
                    </w:rPr>
                    <w:t>集约人工林栽培技术模型</w:t>
                  </w:r>
                  <w:r>
                    <w:rPr>
                      <w:rFonts w:ascii="宋体" w:hAnsi="宋体" w:eastAsia="宋体" w:cs="宋体"/>
                      <w:b/>
                      <w:bCs/>
                      <w:snapToGrid w:val="0"/>
                      <w:color w:val="auto"/>
                      <w:spacing w:val="8"/>
                      <w:kern w:val="0"/>
                      <w:sz w:val="21"/>
                      <w:szCs w:val="21"/>
                      <w:lang w:val="en-US" w:eastAsia="en-US" w:bidi="ar-SA"/>
                    </w:rPr>
                    <w:t>（园林景观林</w:t>
                  </w:r>
                  <w:r>
                    <w:rPr>
                      <w:rFonts w:ascii="宋体" w:hAnsi="宋体" w:eastAsia="宋体" w:cs="宋体"/>
                      <w:b/>
                      <w:bCs/>
                      <w:snapToGrid w:val="0"/>
                      <w:color w:val="auto"/>
                      <w:spacing w:val="-5"/>
                      <w:kern w:val="0"/>
                      <w:sz w:val="21"/>
                      <w:szCs w:val="21"/>
                      <w:lang w:val="en-US" w:eastAsia="en-US" w:bidi="ar-SA"/>
                    </w:rPr>
                    <w:t>）（</w:t>
                  </w:r>
                  <w:r>
                    <w:rPr>
                      <w:rFonts w:ascii="宋体" w:hAnsi="宋体" w:eastAsia="宋体" w:cs="宋体"/>
                      <w:b/>
                      <w:bCs/>
                      <w:snapToGrid w:val="0"/>
                      <w:color w:val="auto"/>
                      <w:spacing w:val="8"/>
                      <w:kern w:val="0"/>
                      <w:sz w:val="21"/>
                      <w:szCs w:val="21"/>
                      <w:lang w:val="en-US" w:eastAsia="en-US" w:bidi="ar-SA"/>
                    </w:rPr>
                    <w:t>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4" w:line="229"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2"/>
                      <w:kern w:val="0"/>
                      <w:sz w:val="21"/>
                      <w:szCs w:val="21"/>
                      <w:lang w:val="en-US" w:eastAsia="en-US" w:bidi="ar-SA"/>
                    </w:rPr>
                    <w:t>总计</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2"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7552.50</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2"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6225.32</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2"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1327.18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0" w:line="216"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宝梵镇</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358.92</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kern w:val="0"/>
                      <w:sz w:val="21"/>
                      <w:szCs w:val="21"/>
                      <w:lang w:eastAsia="en-US"/>
                    </w:rPr>
                    <w:t>193.89</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kern w:val="0"/>
                      <w:sz w:val="21"/>
                      <w:szCs w:val="21"/>
                      <w:lang w:eastAsia="en-US"/>
                    </w:rPr>
                    <w:t>165.03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1" w:line="215"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5"/>
                      <w:kern w:val="0"/>
                      <w:sz w:val="21"/>
                      <w:szCs w:val="21"/>
                      <w:lang w:val="en-US" w:eastAsia="en-US" w:bidi="ar-SA"/>
                    </w:rPr>
                    <w:t>常乐镇</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3"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74.88</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3"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74.88</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2" w:line="214"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4"/>
                      <w:kern w:val="0"/>
                      <w:sz w:val="21"/>
                      <w:szCs w:val="21"/>
                      <w:lang w:val="en-US" w:eastAsia="en-US" w:bidi="ar-SA"/>
                    </w:rPr>
                    <w:t>赤城镇</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940.87</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608.35</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332.52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3" w:line="214"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大石镇</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602.48</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105.12</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497.36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213"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5"/>
                      <w:kern w:val="0"/>
                      <w:sz w:val="21"/>
                      <w:szCs w:val="21"/>
                      <w:lang w:val="en-US" w:eastAsia="en-US" w:bidi="ar-SA"/>
                    </w:rPr>
                    <w:t>高升乡</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6"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kern w:val="0"/>
                      <w:sz w:val="21"/>
                      <w:szCs w:val="21"/>
                      <w:lang w:eastAsia="en-US"/>
                    </w:rPr>
                    <w:t>137.18</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6"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kern w:val="0"/>
                      <w:sz w:val="21"/>
                      <w:szCs w:val="21"/>
                      <w:lang w:eastAsia="en-US"/>
                    </w:rPr>
                    <w:t>137.18</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213"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5"/>
                      <w:kern w:val="0"/>
                      <w:sz w:val="21"/>
                      <w:szCs w:val="21"/>
                      <w:lang w:val="en-US" w:eastAsia="en-US" w:bidi="ar-SA"/>
                    </w:rPr>
                    <w:t>红江镇</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6"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kern w:val="0"/>
                      <w:sz w:val="21"/>
                      <w:szCs w:val="21"/>
                      <w:lang w:eastAsia="en-US"/>
                    </w:rPr>
                    <w:t>144.33</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6"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kern w:val="0"/>
                      <w:sz w:val="21"/>
                      <w:szCs w:val="21"/>
                      <w:lang w:eastAsia="en-US"/>
                    </w:rPr>
                    <w:t>144.33</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2" w:line="215"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槐花镇</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3035.84</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3035.84</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3" w:line="214"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4"/>
                      <w:kern w:val="0"/>
                      <w:sz w:val="21"/>
                      <w:szCs w:val="21"/>
                      <w:lang w:val="en-US" w:eastAsia="en-US" w:bidi="ar-SA"/>
                    </w:rPr>
                    <w:t>吉祥镇</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21.15</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21.15</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3" w:line="214"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金桥镇</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13.50</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13.50</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3" w:line="214"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kern w:val="0"/>
                      <w:sz w:val="21"/>
                      <w:szCs w:val="21"/>
                      <w:lang w:val="en-US" w:eastAsia="en-US" w:bidi="ar-SA"/>
                    </w:rPr>
                    <w:t>明月镇</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265.04</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265.04</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213"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3"/>
                      <w:kern w:val="0"/>
                      <w:sz w:val="21"/>
                      <w:szCs w:val="21"/>
                      <w:lang w:val="en-US" w:eastAsia="en-US" w:bidi="ar-SA"/>
                    </w:rPr>
                    <w:t>鸣凤镇</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6"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250.94</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6"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250.94</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213"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7"/>
                      <w:kern w:val="0"/>
                      <w:sz w:val="21"/>
                      <w:szCs w:val="21"/>
                      <w:lang w:val="en-US" w:eastAsia="en-US" w:bidi="ar-SA"/>
                    </w:rPr>
                    <w:t>普安街道</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6"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329.17</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6"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45.28</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6"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283.89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2" w:line="215"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三凤镇</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2"/>
                      <w:kern w:val="0"/>
                      <w:sz w:val="21"/>
                      <w:szCs w:val="21"/>
                      <w:lang w:eastAsia="en-US"/>
                    </w:rPr>
                    <w:t>1.09</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2"/>
                      <w:kern w:val="0"/>
                      <w:sz w:val="21"/>
                      <w:szCs w:val="21"/>
                      <w:lang w:eastAsia="en-US"/>
                    </w:rPr>
                    <w:t>1.09</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3" w:line="214"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5"/>
                      <w:kern w:val="0"/>
                      <w:sz w:val="21"/>
                      <w:szCs w:val="21"/>
                      <w:lang w:val="en-US" w:eastAsia="en-US" w:bidi="ar-SA"/>
                    </w:rPr>
                    <w:t>天福镇</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229.30</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kern w:val="0"/>
                      <w:sz w:val="21"/>
                      <w:szCs w:val="21"/>
                      <w:lang w:eastAsia="en-US"/>
                    </w:rPr>
                    <w:t>180.92</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48.38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9" w:hRule="atLeast"/>
                <w:jc w:val="center"/>
              </w:trPr>
              <w:tc>
                <w:tcPr>
                  <w:tcW w:w="13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2" w:line="218"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文井镇</w:t>
                  </w:r>
                </w:p>
              </w:tc>
              <w:tc>
                <w:tcPr>
                  <w:tcW w:w="14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kern w:val="0"/>
                      <w:sz w:val="21"/>
                      <w:szCs w:val="21"/>
                      <w:lang w:eastAsia="en-US"/>
                    </w:rPr>
                    <w:t>1147.81</w:t>
                  </w:r>
                </w:p>
              </w:tc>
              <w:tc>
                <w:tcPr>
                  <w:tcW w:w="272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kern w:val="0"/>
                      <w:sz w:val="21"/>
                      <w:szCs w:val="21"/>
                      <w:lang w:eastAsia="en-US"/>
                    </w:rPr>
                    <w:t>1147.81</w:t>
                  </w:r>
                </w:p>
              </w:tc>
              <w:tc>
                <w:tcPr>
                  <w:tcW w:w="25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2" w:firstLineChars="200"/>
              <w:jc w:val="left"/>
              <w:textAlignment w:val="baseline"/>
              <w:outlineLvl w:val="3"/>
              <w:rPr>
                <w:rFonts w:ascii="宋体" w:hAnsi="宋体" w:eastAsia="宋体" w:cs="宋体"/>
                <w:snapToGrid w:val="0"/>
                <w:color w:val="auto"/>
                <w:kern w:val="0"/>
                <w:sz w:val="24"/>
                <w:szCs w:val="24"/>
                <w:lang w:eastAsia="en-US"/>
              </w:rPr>
            </w:pPr>
            <w:r>
              <w:rPr>
                <w:rFonts w:ascii="宋体" w:hAnsi="宋体" w:eastAsia="宋体" w:cs="宋体"/>
                <w:b/>
                <w:bCs/>
                <w:snapToGrid w:val="0"/>
                <w:color w:val="auto"/>
                <w:spacing w:val="-5"/>
                <w:kern w:val="0"/>
                <w:sz w:val="24"/>
                <w:szCs w:val="24"/>
                <w:lang w:eastAsia="en-US"/>
              </w:rPr>
              <w:t>（</w:t>
            </w:r>
            <w:r>
              <w:rPr>
                <w:rFonts w:ascii="Times New Roman" w:hAnsi="Times New Roman" w:eastAsia="Times New Roman" w:cs="Times New Roman"/>
                <w:b/>
                <w:bCs/>
                <w:snapToGrid w:val="0"/>
                <w:color w:val="auto"/>
                <w:spacing w:val="-5"/>
                <w:kern w:val="0"/>
                <w:sz w:val="24"/>
                <w:szCs w:val="24"/>
                <w:lang w:eastAsia="en-US"/>
              </w:rPr>
              <w:t>2</w:t>
            </w:r>
            <w:r>
              <w:rPr>
                <w:rFonts w:ascii="宋体" w:hAnsi="宋体" w:eastAsia="宋体" w:cs="宋体"/>
                <w:b/>
                <w:bCs/>
                <w:snapToGrid w:val="0"/>
                <w:color w:val="auto"/>
                <w:spacing w:val="-5"/>
                <w:kern w:val="0"/>
                <w:sz w:val="24"/>
                <w:szCs w:val="24"/>
                <w:lang w:eastAsia="en-US"/>
              </w:rPr>
              <w:t>）实施对象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包括疏林地、灌木林地、无立木林地等林地和</w:t>
            </w:r>
            <w:r>
              <w:rPr>
                <w:rFonts w:ascii="宋体" w:hAnsi="宋体" w:eastAsia="宋体" w:cs="宋体"/>
                <w:snapToGrid w:val="0"/>
                <w:color w:val="auto"/>
                <w:spacing w:val="-3"/>
                <w:kern w:val="0"/>
                <w:sz w:val="24"/>
                <w:szCs w:val="24"/>
                <w:lang w:eastAsia="en-US"/>
              </w:rPr>
              <w:t>符合政策的非林地，其</w:t>
            </w:r>
            <w:r>
              <w:rPr>
                <w:rFonts w:ascii="宋体" w:hAnsi="宋体" w:eastAsia="宋体" w:cs="宋体"/>
                <w:snapToGrid w:val="0"/>
                <w:color w:val="auto"/>
                <w:spacing w:val="-2"/>
                <w:kern w:val="0"/>
                <w:sz w:val="24"/>
                <w:szCs w:val="24"/>
                <w:lang w:eastAsia="en-US"/>
              </w:rPr>
              <w:t>中无立木林地包括采伐迹地、火烧迹地等。非林地包括道路、</w:t>
            </w:r>
            <w:r>
              <w:rPr>
                <w:rFonts w:ascii="宋体" w:hAnsi="宋体" w:eastAsia="宋体" w:cs="宋体"/>
                <w:snapToGrid w:val="0"/>
                <w:color w:val="auto"/>
                <w:spacing w:val="-3"/>
                <w:kern w:val="0"/>
                <w:sz w:val="24"/>
                <w:szCs w:val="24"/>
                <w:lang w:eastAsia="en-US"/>
              </w:rPr>
              <w:t>河流、水渠</w:t>
            </w:r>
            <w:r>
              <w:rPr>
                <w:rFonts w:ascii="宋体" w:hAnsi="宋体" w:eastAsia="宋体" w:cs="宋体"/>
                <w:snapToGrid w:val="0"/>
                <w:color w:val="auto"/>
                <w:spacing w:val="-1"/>
                <w:kern w:val="0"/>
                <w:sz w:val="24"/>
                <w:szCs w:val="24"/>
                <w:lang w:eastAsia="en-US"/>
              </w:rPr>
              <w:t>两侧等四旁用地，未利用地等。</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0" w:firstLineChars="200"/>
              <w:jc w:val="left"/>
              <w:textAlignment w:val="baseline"/>
              <w:outlineLvl w:val="3"/>
              <w:rPr>
                <w:rFonts w:ascii="宋体" w:hAnsi="宋体" w:eastAsia="宋体" w:cs="宋体"/>
                <w:snapToGrid w:val="0"/>
                <w:color w:val="auto"/>
                <w:kern w:val="0"/>
                <w:sz w:val="24"/>
                <w:szCs w:val="24"/>
                <w:lang w:eastAsia="en-US"/>
              </w:rPr>
            </w:pPr>
            <w:r>
              <w:rPr>
                <w:rFonts w:ascii="宋体" w:hAnsi="宋体" w:eastAsia="宋体" w:cs="宋体"/>
                <w:b/>
                <w:bCs/>
                <w:snapToGrid w:val="0"/>
                <w:color w:val="auto"/>
                <w:spacing w:val="-3"/>
                <w:kern w:val="0"/>
                <w:sz w:val="24"/>
                <w:szCs w:val="24"/>
                <w:lang w:eastAsia="en-US"/>
              </w:rPr>
              <w:t>（</w:t>
            </w:r>
            <w:r>
              <w:rPr>
                <w:rFonts w:ascii="Times New Roman" w:hAnsi="Times New Roman" w:eastAsia="Times New Roman" w:cs="Times New Roman"/>
                <w:b/>
                <w:bCs/>
                <w:snapToGrid w:val="0"/>
                <w:color w:val="auto"/>
                <w:spacing w:val="-3"/>
                <w:kern w:val="0"/>
                <w:sz w:val="24"/>
                <w:szCs w:val="24"/>
                <w:lang w:eastAsia="en-US"/>
              </w:rPr>
              <w:t>3</w:t>
            </w:r>
            <w:r>
              <w:rPr>
                <w:rFonts w:ascii="宋体" w:hAnsi="宋体" w:eastAsia="宋体" w:cs="宋体"/>
                <w:b/>
                <w:bCs/>
                <w:snapToGrid w:val="0"/>
                <w:color w:val="auto"/>
                <w:spacing w:val="-3"/>
                <w:kern w:val="0"/>
                <w:sz w:val="24"/>
                <w:szCs w:val="24"/>
                <w:lang w:eastAsia="en-US"/>
              </w:rPr>
              <w:t>）主要技术要点（不含园林景观林）</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6"/>
                <w:kern w:val="0"/>
                <w:sz w:val="24"/>
                <w:szCs w:val="24"/>
                <w:lang w:eastAsia="en-US"/>
              </w:rPr>
              <w:t>1</w:t>
            </w:r>
            <w:r>
              <w:rPr>
                <w:rFonts w:ascii="宋体" w:hAnsi="宋体" w:eastAsia="宋体" w:cs="宋体"/>
                <w:snapToGrid w:val="0"/>
                <w:color w:val="auto"/>
                <w:spacing w:val="-6"/>
                <w:kern w:val="0"/>
                <w:sz w:val="24"/>
                <w:szCs w:val="24"/>
                <w:lang w:eastAsia="en-US"/>
              </w:rPr>
              <w:t>）清理设计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清理原则：保护好现有植被，严禁机械动土。</w:t>
            </w:r>
            <w:r>
              <w:rPr>
                <w:rFonts w:ascii="宋体" w:hAnsi="宋体" w:eastAsia="宋体" w:cs="宋体"/>
                <w:snapToGrid w:val="0"/>
                <w:color w:val="auto"/>
                <w:spacing w:val="-3"/>
                <w:kern w:val="0"/>
                <w:sz w:val="24"/>
                <w:szCs w:val="24"/>
                <w:lang w:eastAsia="en-US"/>
              </w:rPr>
              <w:t>如遇原生乔灌木应往周</w:t>
            </w:r>
            <w:r>
              <w:rPr>
                <w:rFonts w:ascii="宋体" w:hAnsi="宋体" w:eastAsia="宋体" w:cs="宋体"/>
                <w:snapToGrid w:val="0"/>
                <w:color w:val="auto"/>
                <w:spacing w:val="-2"/>
                <w:kern w:val="0"/>
                <w:sz w:val="24"/>
                <w:szCs w:val="24"/>
                <w:lang w:eastAsia="en-US"/>
              </w:rPr>
              <w:t>边避让。限制全面清除。除杂草杂灌丛生、采伐剩余物堆积、林业</w:t>
            </w:r>
            <w:r>
              <w:rPr>
                <w:rFonts w:ascii="宋体" w:hAnsi="宋体" w:eastAsia="宋体" w:cs="宋体"/>
                <w:snapToGrid w:val="0"/>
                <w:color w:val="auto"/>
                <w:spacing w:val="-3"/>
                <w:kern w:val="0"/>
                <w:sz w:val="24"/>
                <w:szCs w:val="24"/>
                <w:lang w:eastAsia="en-US"/>
              </w:rPr>
              <w:t>有害生</w:t>
            </w:r>
            <w:r>
              <w:rPr>
                <w:rFonts w:ascii="宋体" w:hAnsi="宋体" w:eastAsia="宋体" w:cs="宋体"/>
                <w:snapToGrid w:val="0"/>
                <w:color w:val="auto"/>
                <w:spacing w:val="-2"/>
                <w:kern w:val="0"/>
                <w:sz w:val="24"/>
                <w:szCs w:val="24"/>
                <w:lang w:eastAsia="en-US"/>
              </w:rPr>
              <w:t>物发生严重等，不进行清理无法进行整地的造林地外，不进行林地</w:t>
            </w:r>
            <w:r>
              <w:rPr>
                <w:rFonts w:ascii="宋体" w:hAnsi="宋体" w:eastAsia="宋体" w:cs="宋体"/>
                <w:snapToGrid w:val="0"/>
                <w:color w:val="auto"/>
                <w:spacing w:val="-3"/>
                <w:kern w:val="0"/>
                <w:sz w:val="24"/>
                <w:szCs w:val="24"/>
                <w:lang w:eastAsia="en-US"/>
              </w:rPr>
              <w:t>全面清</w:t>
            </w:r>
            <w:r>
              <w:rPr>
                <w:rFonts w:ascii="宋体" w:hAnsi="宋体" w:eastAsia="宋体" w:cs="宋体"/>
                <w:snapToGrid w:val="0"/>
                <w:color w:val="auto"/>
                <w:spacing w:val="-5"/>
                <w:kern w:val="0"/>
                <w:sz w:val="24"/>
                <w:szCs w:val="24"/>
                <w:lang w:eastAsia="en-US"/>
              </w:rPr>
              <w:t>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清理时间：冬春季、秋季。</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清理规格：团块状，不超过</w:t>
            </w:r>
            <w:r>
              <w:rPr>
                <w:rFonts w:ascii="Times New Roman" w:hAnsi="Times New Roman" w:eastAsia="Times New Roman" w:cs="Times New Roman"/>
                <w:snapToGrid w:val="0"/>
                <w:color w:val="auto"/>
                <w:spacing w:val="-2"/>
                <w:kern w:val="0"/>
                <w:sz w:val="24"/>
                <w:szCs w:val="24"/>
                <w:lang w:eastAsia="en-US"/>
              </w:rPr>
              <w:t>100×100c</w:t>
            </w:r>
            <w:r>
              <w:rPr>
                <w:rFonts w:ascii="Times New Roman" w:hAnsi="Times New Roman" w:eastAsia="Times New Roman" w:cs="Times New Roman"/>
                <w:snapToGrid w:val="0"/>
                <w:color w:val="auto"/>
                <w:spacing w:val="-3"/>
                <w:kern w:val="0"/>
                <w:sz w:val="24"/>
                <w:szCs w:val="24"/>
                <w:lang w:eastAsia="en-US"/>
              </w:rPr>
              <w:t>m</w:t>
            </w:r>
            <w:r>
              <w:rPr>
                <w:rFonts w:ascii="宋体" w:hAnsi="宋体" w:eastAsia="宋体" w:cs="宋体"/>
                <w:snapToGrid w:val="0"/>
                <w:color w:val="auto"/>
                <w:spacing w:val="-3"/>
                <w:kern w:val="0"/>
                <w:sz w:val="24"/>
                <w:szCs w:val="24"/>
                <w:lang w:eastAsia="en-US"/>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清理方式：人工，主要对种植穴附近影响作业的杂物、石块移除。</w:t>
            </w:r>
            <w:r>
              <w:rPr>
                <w:rFonts w:ascii="宋体" w:hAnsi="宋体" w:eastAsia="宋体" w:cs="宋体"/>
                <w:snapToGrid w:val="0"/>
                <w:color w:val="auto"/>
                <w:spacing w:val="-1"/>
                <w:kern w:val="0"/>
                <w:sz w:val="24"/>
                <w:szCs w:val="24"/>
                <w:lang w:eastAsia="en-US"/>
              </w:rPr>
              <w:t>清理位置：以种植点为中心进行清理。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1"/>
                <w:kern w:val="0"/>
                <w:sz w:val="24"/>
                <w:szCs w:val="24"/>
                <w:lang w:eastAsia="en-US"/>
              </w:rPr>
              <w:t>2</w:t>
            </w:r>
            <w:r>
              <w:rPr>
                <w:rFonts w:ascii="宋体" w:hAnsi="宋体" w:eastAsia="宋体" w:cs="宋体"/>
                <w:snapToGrid w:val="0"/>
                <w:color w:val="auto"/>
                <w:spacing w:val="-1"/>
                <w:kern w:val="0"/>
                <w:sz w:val="24"/>
                <w:szCs w:val="24"/>
                <w:lang w:eastAsia="en-US"/>
              </w:rPr>
              <w:t>）整地设计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整地原则：①保持水土。采用集水、节水、</w:t>
            </w:r>
            <w:r>
              <w:rPr>
                <w:rFonts w:ascii="宋体" w:hAnsi="宋体" w:eastAsia="宋体" w:cs="宋体"/>
                <w:snapToGrid w:val="0"/>
                <w:color w:val="auto"/>
                <w:spacing w:val="-3"/>
                <w:kern w:val="0"/>
                <w:sz w:val="24"/>
                <w:szCs w:val="24"/>
                <w:lang w:eastAsia="en-US"/>
              </w:rPr>
              <w:t>保土、保墒等整地方式，</w:t>
            </w:r>
            <w:r>
              <w:rPr>
                <w:rFonts w:ascii="宋体" w:hAnsi="宋体" w:eastAsia="宋体" w:cs="宋体"/>
                <w:snapToGrid w:val="0"/>
                <w:color w:val="auto"/>
                <w:spacing w:val="-2"/>
                <w:kern w:val="0"/>
                <w:sz w:val="24"/>
                <w:szCs w:val="24"/>
                <w:lang w:eastAsia="en-US"/>
              </w:rPr>
              <w:t>防止水土流失，减少对土壤的破坏和扰动；严禁全垦整地和炼</w:t>
            </w:r>
            <w:r>
              <w:rPr>
                <w:rFonts w:ascii="宋体" w:hAnsi="宋体" w:eastAsia="宋体" w:cs="宋体"/>
                <w:snapToGrid w:val="0"/>
                <w:color w:val="auto"/>
                <w:spacing w:val="-3"/>
                <w:kern w:val="0"/>
                <w:sz w:val="24"/>
                <w:szCs w:val="24"/>
                <w:lang w:eastAsia="en-US"/>
              </w:rPr>
              <w:t>山整地。②</w:t>
            </w:r>
            <w:r>
              <w:rPr>
                <w:rFonts w:ascii="宋体" w:hAnsi="宋体" w:eastAsia="宋体" w:cs="宋体"/>
                <w:snapToGrid w:val="0"/>
                <w:color w:val="auto"/>
                <w:spacing w:val="-2"/>
                <w:kern w:val="0"/>
                <w:sz w:val="24"/>
                <w:szCs w:val="24"/>
                <w:lang w:eastAsia="en-US"/>
              </w:rPr>
              <w:t>保护已有植被。整地时须保留原生林木和天然更新苗木，并应</w:t>
            </w:r>
            <w:r>
              <w:rPr>
                <w:rFonts w:ascii="宋体" w:hAnsi="宋体" w:eastAsia="宋体" w:cs="宋体"/>
                <w:snapToGrid w:val="0"/>
                <w:color w:val="auto"/>
                <w:spacing w:val="-3"/>
                <w:kern w:val="0"/>
                <w:sz w:val="24"/>
                <w:szCs w:val="24"/>
                <w:lang w:eastAsia="en-US"/>
              </w:rPr>
              <w:t>充分利用保</w:t>
            </w:r>
            <w:r>
              <w:rPr>
                <w:rFonts w:ascii="宋体" w:hAnsi="宋体" w:eastAsia="宋体" w:cs="宋体"/>
                <w:snapToGrid w:val="0"/>
                <w:color w:val="auto"/>
                <w:spacing w:val="-2"/>
                <w:kern w:val="0"/>
                <w:sz w:val="24"/>
                <w:szCs w:val="24"/>
                <w:lang w:eastAsia="en-US"/>
              </w:rPr>
              <w:t>留的原生林木、幼苗幼树，与新造树种形成混交林配置</w:t>
            </w:r>
            <w:r>
              <w:rPr>
                <w:rFonts w:ascii="宋体" w:hAnsi="宋体" w:eastAsia="宋体" w:cs="宋体"/>
                <w:snapToGrid w:val="0"/>
                <w:color w:val="auto"/>
                <w:spacing w:val="-3"/>
                <w:kern w:val="0"/>
                <w:sz w:val="24"/>
                <w:szCs w:val="24"/>
                <w:lang w:eastAsia="en-US"/>
              </w:rPr>
              <w:t>。③如果穴点位置</w:t>
            </w:r>
            <w:r>
              <w:rPr>
                <w:rFonts w:ascii="宋体" w:hAnsi="宋体" w:eastAsia="宋体" w:cs="宋体"/>
                <w:snapToGrid w:val="0"/>
                <w:color w:val="auto"/>
                <w:spacing w:val="-2"/>
                <w:kern w:val="0"/>
                <w:sz w:val="24"/>
                <w:szCs w:val="24"/>
                <w:lang w:eastAsia="en-US"/>
              </w:rPr>
              <w:t>刚好落到现有乔灌木上应向周边避让。整地要注意保护好原有</w:t>
            </w:r>
            <w:r>
              <w:rPr>
                <w:rFonts w:ascii="宋体" w:hAnsi="宋体" w:eastAsia="宋体" w:cs="宋体"/>
                <w:snapToGrid w:val="0"/>
                <w:color w:val="auto"/>
                <w:spacing w:val="-3"/>
                <w:kern w:val="0"/>
                <w:sz w:val="24"/>
                <w:szCs w:val="24"/>
                <w:lang w:eastAsia="en-US"/>
              </w:rPr>
              <w:t>的植被，以</w:t>
            </w:r>
            <w:r>
              <w:rPr>
                <w:rFonts w:ascii="宋体" w:hAnsi="宋体" w:eastAsia="宋体" w:cs="宋体"/>
                <w:snapToGrid w:val="0"/>
                <w:color w:val="auto"/>
                <w:spacing w:val="-2"/>
                <w:kern w:val="0"/>
                <w:sz w:val="24"/>
                <w:szCs w:val="24"/>
                <w:lang w:eastAsia="en-US"/>
              </w:rPr>
              <w:t>防止水土流失。</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整地时间：春季、秋季、雨季。清理和整地</w:t>
            </w:r>
            <w:r>
              <w:rPr>
                <w:rFonts w:ascii="宋体" w:hAnsi="宋体" w:eastAsia="宋体" w:cs="宋体"/>
                <w:snapToGrid w:val="0"/>
                <w:color w:val="auto"/>
                <w:spacing w:val="-3"/>
                <w:kern w:val="0"/>
                <w:sz w:val="24"/>
                <w:szCs w:val="24"/>
                <w:lang w:eastAsia="en-US"/>
              </w:rPr>
              <w:t>可同步实施，建议随造随</w:t>
            </w:r>
            <w:r>
              <w:rPr>
                <w:rFonts w:ascii="宋体" w:hAnsi="宋体" w:eastAsia="宋体" w:cs="宋体"/>
                <w:snapToGrid w:val="0"/>
                <w:color w:val="auto"/>
                <w:spacing w:val="-6"/>
                <w:kern w:val="0"/>
                <w:sz w:val="24"/>
                <w:szCs w:val="24"/>
                <w:lang w:eastAsia="en-US"/>
              </w:rPr>
              <w:t>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整地方式：局部整地中的穴状整地法，人工</w:t>
            </w:r>
            <w:r>
              <w:rPr>
                <w:rFonts w:ascii="宋体" w:hAnsi="宋体" w:eastAsia="宋体" w:cs="宋体"/>
                <w:snapToGrid w:val="0"/>
                <w:color w:val="auto"/>
                <w:spacing w:val="-3"/>
                <w:kern w:val="0"/>
                <w:sz w:val="24"/>
                <w:szCs w:val="24"/>
                <w:lang w:eastAsia="en-US"/>
              </w:rPr>
              <w:t>整地。整地时表土和生土</w:t>
            </w:r>
            <w:r>
              <w:rPr>
                <w:rFonts w:ascii="宋体" w:hAnsi="宋体" w:eastAsia="宋体" w:cs="宋体"/>
                <w:snapToGrid w:val="0"/>
                <w:color w:val="auto"/>
                <w:spacing w:val="-1"/>
                <w:kern w:val="0"/>
                <w:sz w:val="24"/>
                <w:szCs w:val="24"/>
                <w:lang w:eastAsia="en-US"/>
              </w:rPr>
              <w:t>分别堆放，</w:t>
            </w:r>
            <w:r>
              <w:rPr>
                <w:rFonts w:hint="eastAsia" w:ascii="宋体" w:hAnsi="宋体" w:cs="宋体"/>
                <w:snapToGrid w:val="0"/>
                <w:color w:val="auto"/>
                <w:spacing w:val="-1"/>
                <w:kern w:val="0"/>
                <w:sz w:val="24"/>
                <w:szCs w:val="24"/>
                <w:lang w:val="en-US" w:eastAsia="zh-CN"/>
              </w:rPr>
              <w:t>清理</w:t>
            </w:r>
            <w:r>
              <w:rPr>
                <w:rFonts w:ascii="宋体" w:hAnsi="宋体" w:eastAsia="宋体" w:cs="宋体"/>
                <w:snapToGrid w:val="0"/>
                <w:color w:val="auto"/>
                <w:spacing w:val="-1"/>
                <w:kern w:val="0"/>
                <w:sz w:val="24"/>
                <w:szCs w:val="24"/>
                <w:lang w:eastAsia="en-US"/>
              </w:rPr>
              <w:t>土中石块、草根。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整地规格：</w:t>
            </w:r>
            <w:r>
              <w:rPr>
                <w:rFonts w:ascii="Times New Roman" w:hAnsi="Times New Roman" w:eastAsia="Times New Roman" w:cs="Times New Roman"/>
                <w:snapToGrid w:val="0"/>
                <w:color w:val="auto"/>
                <w:spacing w:val="2"/>
                <w:kern w:val="0"/>
                <w:sz w:val="24"/>
                <w:szCs w:val="24"/>
                <w:lang w:eastAsia="en-US"/>
              </w:rPr>
              <w:t>50×50×40</w:t>
            </w:r>
            <w:r>
              <w:rPr>
                <w:rFonts w:ascii="Times New Roman" w:hAnsi="Times New Roman" w:eastAsia="Times New Roman" w:cs="Times New Roman"/>
                <w:snapToGrid w:val="0"/>
                <w:color w:val="auto"/>
                <w:kern w:val="0"/>
                <w:sz w:val="24"/>
                <w:szCs w:val="24"/>
                <w:lang w:eastAsia="en-US"/>
              </w:rPr>
              <w:t>cm</w:t>
            </w:r>
            <w:r>
              <w:rPr>
                <w:rFonts w:ascii="宋体" w:hAnsi="宋体" w:eastAsia="宋体" w:cs="宋体"/>
                <w:snapToGrid w:val="0"/>
                <w:color w:val="auto"/>
                <w:spacing w:val="2"/>
                <w:kern w:val="0"/>
                <w:sz w:val="24"/>
                <w:szCs w:val="24"/>
                <w:lang w:eastAsia="en-US"/>
              </w:rPr>
              <w:t>。根据苗木规格可调整造林整地规格，带土</w:t>
            </w:r>
            <w:r>
              <w:rPr>
                <w:rFonts w:ascii="宋体" w:hAnsi="宋体" w:eastAsia="宋体" w:cs="宋体"/>
                <w:snapToGrid w:val="0"/>
                <w:color w:val="auto"/>
                <w:spacing w:val="-3"/>
                <w:kern w:val="0"/>
                <w:sz w:val="24"/>
                <w:szCs w:val="24"/>
                <w:lang w:eastAsia="en-US"/>
              </w:rPr>
              <w:t>团的大苗根据实际情况确定。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3</w:t>
            </w:r>
            <w:r>
              <w:rPr>
                <w:rFonts w:ascii="宋体" w:hAnsi="宋体" w:eastAsia="宋体" w:cs="宋体"/>
                <w:snapToGrid w:val="0"/>
                <w:color w:val="auto"/>
                <w:spacing w:val="-2"/>
                <w:kern w:val="0"/>
                <w:sz w:val="24"/>
                <w:szCs w:val="24"/>
                <w:lang w:eastAsia="en-US"/>
              </w:rPr>
              <w:t>）栽植设计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栽植时间：和整地同步实施。栽植应在阴天或雨后进行，切忌晴天、土干或土冻时节造林。</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初植密度：</w:t>
            </w:r>
            <w:r>
              <w:rPr>
                <w:rFonts w:ascii="Times New Roman" w:hAnsi="Times New Roman" w:eastAsia="Times New Roman" w:cs="Times New Roman"/>
                <w:snapToGrid w:val="0"/>
                <w:color w:val="auto"/>
                <w:spacing w:val="-2"/>
                <w:kern w:val="0"/>
                <w:sz w:val="24"/>
                <w:szCs w:val="24"/>
                <w:lang w:eastAsia="en-US"/>
              </w:rPr>
              <w:t>111</w:t>
            </w:r>
            <w:r>
              <w:rPr>
                <w:rFonts w:ascii="宋体" w:hAnsi="宋体" w:eastAsia="宋体" w:cs="宋体"/>
                <w:snapToGrid w:val="0"/>
                <w:color w:val="auto"/>
                <w:spacing w:val="-2"/>
                <w:kern w:val="0"/>
                <w:sz w:val="24"/>
                <w:szCs w:val="24"/>
                <w:lang w:eastAsia="en-US"/>
              </w:rPr>
              <w:t>株</w:t>
            </w:r>
            <w:r>
              <w:rPr>
                <w:rFonts w:ascii="Times New Roman" w:hAnsi="Times New Roman" w:eastAsia="Times New Roman" w:cs="Times New Roman"/>
                <w:snapToGrid w:val="0"/>
                <w:color w:val="auto"/>
                <w:spacing w:val="-2"/>
                <w:kern w:val="0"/>
                <w:sz w:val="24"/>
                <w:szCs w:val="24"/>
                <w:lang w:eastAsia="en-US"/>
              </w:rPr>
              <w:t>/</w:t>
            </w:r>
            <w:r>
              <w:rPr>
                <w:rFonts w:ascii="宋体" w:hAnsi="宋体" w:eastAsia="宋体" w:cs="宋体"/>
                <w:snapToGrid w:val="0"/>
                <w:color w:val="auto"/>
                <w:spacing w:val="-2"/>
                <w:kern w:val="0"/>
                <w:sz w:val="24"/>
                <w:szCs w:val="24"/>
                <w:lang w:eastAsia="en-US"/>
              </w:rPr>
              <w:t>亩、</w:t>
            </w:r>
            <w:r>
              <w:rPr>
                <w:rFonts w:ascii="Times New Roman" w:hAnsi="Times New Roman" w:eastAsia="Times New Roman" w:cs="Times New Roman"/>
                <w:snapToGrid w:val="0"/>
                <w:color w:val="auto"/>
                <w:spacing w:val="-2"/>
                <w:kern w:val="0"/>
                <w:sz w:val="24"/>
                <w:szCs w:val="24"/>
                <w:lang w:eastAsia="en-US"/>
              </w:rPr>
              <w:t>667</w:t>
            </w:r>
            <w:r>
              <w:rPr>
                <w:rFonts w:ascii="宋体" w:hAnsi="宋体" w:eastAsia="宋体" w:cs="宋体"/>
                <w:snapToGrid w:val="0"/>
                <w:color w:val="auto"/>
                <w:spacing w:val="-2"/>
                <w:kern w:val="0"/>
                <w:sz w:val="24"/>
                <w:szCs w:val="24"/>
                <w:lang w:eastAsia="en-US"/>
              </w:rPr>
              <w:t>株</w:t>
            </w:r>
            <w:r>
              <w:rPr>
                <w:rFonts w:ascii="Times New Roman" w:hAnsi="Times New Roman" w:eastAsia="Times New Roman" w:cs="Times New Roman"/>
                <w:snapToGrid w:val="0"/>
                <w:color w:val="auto"/>
                <w:spacing w:val="-2"/>
                <w:kern w:val="0"/>
                <w:sz w:val="24"/>
                <w:szCs w:val="24"/>
                <w:lang w:eastAsia="en-US"/>
              </w:rPr>
              <w:t>/</w:t>
            </w:r>
            <w:r>
              <w:rPr>
                <w:rFonts w:ascii="宋体" w:hAnsi="宋体" w:eastAsia="宋体" w:cs="宋体"/>
                <w:snapToGrid w:val="0"/>
                <w:color w:val="auto"/>
                <w:spacing w:val="-2"/>
                <w:kern w:val="0"/>
                <w:sz w:val="24"/>
                <w:szCs w:val="24"/>
                <w:lang w:eastAsia="en-US"/>
              </w:rPr>
              <w:t>亩。根据苗木规格可</w:t>
            </w:r>
            <w:r>
              <w:rPr>
                <w:rFonts w:ascii="宋体" w:hAnsi="宋体" w:eastAsia="宋体" w:cs="宋体"/>
                <w:snapToGrid w:val="0"/>
                <w:color w:val="auto"/>
                <w:spacing w:val="-3"/>
                <w:kern w:val="0"/>
                <w:sz w:val="24"/>
                <w:szCs w:val="24"/>
                <w:lang w:eastAsia="en-US"/>
              </w:rPr>
              <w:t>调整栽植密度。株行距：</w:t>
            </w:r>
            <w:r>
              <w:rPr>
                <w:rFonts w:ascii="Times New Roman" w:hAnsi="Times New Roman" w:eastAsia="Times New Roman" w:cs="Times New Roman"/>
                <w:snapToGrid w:val="0"/>
                <w:color w:val="auto"/>
                <w:spacing w:val="-3"/>
                <w:kern w:val="0"/>
                <w:sz w:val="24"/>
                <w:szCs w:val="24"/>
                <w:lang w:eastAsia="en-US"/>
              </w:rPr>
              <w:t>2×3m</w:t>
            </w:r>
            <w:r>
              <w:rPr>
                <w:rFonts w:ascii="宋体" w:hAnsi="宋体" w:eastAsia="宋体" w:cs="宋体"/>
                <w:snapToGrid w:val="0"/>
                <w:color w:val="auto"/>
                <w:spacing w:val="-3"/>
                <w:kern w:val="0"/>
                <w:sz w:val="24"/>
                <w:szCs w:val="24"/>
                <w:lang w:eastAsia="en-US"/>
              </w:rPr>
              <w:t>、</w:t>
            </w:r>
            <w:r>
              <w:rPr>
                <w:rFonts w:ascii="Times New Roman" w:hAnsi="Times New Roman" w:eastAsia="Times New Roman" w:cs="Times New Roman"/>
                <w:snapToGrid w:val="0"/>
                <w:color w:val="auto"/>
                <w:spacing w:val="-3"/>
                <w:kern w:val="0"/>
                <w:sz w:val="24"/>
                <w:szCs w:val="24"/>
                <w:lang w:eastAsia="en-US"/>
              </w:rPr>
              <w:t>1×1m</w:t>
            </w:r>
            <w:r>
              <w:rPr>
                <w:rFonts w:ascii="宋体" w:hAnsi="宋体" w:eastAsia="宋体" w:cs="宋体"/>
                <w:snapToGrid w:val="0"/>
                <w:color w:val="auto"/>
                <w:spacing w:val="-3"/>
                <w:kern w:val="0"/>
                <w:sz w:val="24"/>
                <w:szCs w:val="24"/>
                <w:lang w:eastAsia="en-US"/>
              </w:rPr>
              <w:t>，根据苗木规格可调整栽植株行距。</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配置方式：沿等高线配置。单株之间为品字形</w:t>
            </w:r>
            <w:r>
              <w:rPr>
                <w:rFonts w:ascii="宋体" w:hAnsi="宋体" w:eastAsia="宋体" w:cs="宋体"/>
                <w:snapToGrid w:val="0"/>
                <w:color w:val="auto"/>
                <w:spacing w:val="-3"/>
                <w:kern w:val="0"/>
                <w:sz w:val="24"/>
                <w:szCs w:val="24"/>
                <w:lang w:eastAsia="en-US"/>
              </w:rPr>
              <w:t>配置方式，相邻两行的</w:t>
            </w:r>
            <w:r>
              <w:rPr>
                <w:rFonts w:ascii="宋体" w:hAnsi="宋体" w:eastAsia="宋体" w:cs="宋体"/>
                <w:snapToGrid w:val="0"/>
                <w:color w:val="auto"/>
                <w:spacing w:val="-2"/>
                <w:kern w:val="0"/>
                <w:sz w:val="24"/>
                <w:szCs w:val="24"/>
                <w:lang w:eastAsia="en-US"/>
              </w:rPr>
              <w:t>各株相对位置错开排列成品字形或等腰三角形，种植点位于等腰</w:t>
            </w:r>
            <w:r>
              <w:rPr>
                <w:rFonts w:ascii="宋体" w:hAnsi="宋体" w:eastAsia="宋体" w:cs="宋体"/>
                <w:snapToGrid w:val="0"/>
                <w:color w:val="auto"/>
                <w:spacing w:val="-3"/>
                <w:kern w:val="0"/>
                <w:sz w:val="24"/>
                <w:szCs w:val="24"/>
                <w:lang w:eastAsia="en-US"/>
              </w:rPr>
              <w:t>三角形的</w:t>
            </w:r>
            <w:r>
              <w:rPr>
                <w:rFonts w:ascii="宋体" w:hAnsi="宋体" w:eastAsia="宋体" w:cs="宋体"/>
                <w:snapToGrid w:val="0"/>
                <w:color w:val="auto"/>
                <w:spacing w:val="-2"/>
                <w:kern w:val="0"/>
                <w:sz w:val="24"/>
                <w:szCs w:val="24"/>
                <w:lang w:eastAsia="en-US"/>
              </w:rPr>
              <w:t>顶点。不同树种之间块状、带状、群团状混交或行间混交</w:t>
            </w:r>
            <w:r>
              <w:rPr>
                <w:rFonts w:ascii="宋体" w:hAnsi="宋体" w:eastAsia="宋体" w:cs="宋体"/>
                <w:snapToGrid w:val="0"/>
                <w:color w:val="auto"/>
                <w:spacing w:val="-3"/>
                <w:kern w:val="0"/>
                <w:sz w:val="24"/>
                <w:szCs w:val="24"/>
                <w:lang w:eastAsia="en-US"/>
              </w:rPr>
              <w:t>，穴植。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栽植技术：采用人工植苗的方式。将树直立</w:t>
            </w:r>
            <w:r>
              <w:rPr>
                <w:rFonts w:hint="eastAsia" w:ascii="宋体" w:hAnsi="宋体" w:cs="宋体"/>
                <w:snapToGrid w:val="0"/>
                <w:color w:val="auto"/>
                <w:spacing w:val="-2"/>
                <w:kern w:val="0"/>
                <w:sz w:val="24"/>
                <w:szCs w:val="24"/>
                <w:lang w:eastAsia="zh-CN"/>
              </w:rPr>
              <w:t>地</w:t>
            </w:r>
            <w:r>
              <w:rPr>
                <w:rFonts w:ascii="宋体" w:hAnsi="宋体" w:eastAsia="宋体" w:cs="宋体"/>
                <w:snapToGrid w:val="0"/>
                <w:color w:val="auto"/>
                <w:spacing w:val="-3"/>
                <w:kern w:val="0"/>
                <w:sz w:val="24"/>
                <w:szCs w:val="24"/>
                <w:lang w:eastAsia="en-US"/>
              </w:rPr>
              <w:t>放入坑中。①裸根苗栽</w:t>
            </w:r>
            <w:r>
              <w:rPr>
                <w:rFonts w:ascii="宋体" w:hAnsi="宋体" w:eastAsia="宋体" w:cs="宋体"/>
                <w:snapToGrid w:val="0"/>
                <w:color w:val="auto"/>
                <w:kern w:val="0"/>
                <w:sz w:val="24"/>
                <w:szCs w:val="24"/>
                <w:lang w:eastAsia="en-US"/>
              </w:rPr>
              <w:t>植要求苗正根伸，适当深栽，细土壅根，不反山，不窝根，先回填表土，</w:t>
            </w:r>
            <w:r>
              <w:rPr>
                <w:rFonts w:ascii="宋体" w:hAnsi="宋体" w:eastAsia="宋体" w:cs="宋体"/>
                <w:snapToGrid w:val="0"/>
                <w:color w:val="auto"/>
                <w:spacing w:val="-8"/>
                <w:kern w:val="0"/>
                <w:sz w:val="24"/>
                <w:szCs w:val="24"/>
                <w:lang w:eastAsia="en-US"/>
              </w:rPr>
              <w:t>再回填心土，分层填土、扶正、压实，浇足定根水。土要</w:t>
            </w:r>
            <w:r>
              <w:rPr>
                <w:rFonts w:ascii="宋体" w:hAnsi="宋体" w:eastAsia="宋体" w:cs="宋体"/>
                <w:snapToGrid w:val="0"/>
                <w:color w:val="auto"/>
                <w:spacing w:val="-9"/>
                <w:kern w:val="0"/>
                <w:sz w:val="24"/>
                <w:szCs w:val="24"/>
                <w:lang w:eastAsia="en-US"/>
              </w:rPr>
              <w:t>打细，踩紧踏实，</w:t>
            </w:r>
            <w:r>
              <w:rPr>
                <w:rFonts w:ascii="宋体" w:hAnsi="宋体" w:eastAsia="宋体" w:cs="宋体"/>
                <w:snapToGrid w:val="0"/>
                <w:color w:val="auto"/>
                <w:kern w:val="0"/>
                <w:sz w:val="24"/>
                <w:szCs w:val="24"/>
                <w:lang w:eastAsia="en-US"/>
              </w:rPr>
              <w:t>覆土稍高过根茎原覆土位置</w:t>
            </w:r>
            <w:r>
              <w:rPr>
                <w:rFonts w:ascii="Times New Roman" w:hAnsi="Times New Roman" w:eastAsia="Times New Roman" w:cs="Times New Roman"/>
                <w:snapToGrid w:val="0"/>
                <w:color w:val="auto"/>
                <w:kern w:val="0"/>
                <w:sz w:val="24"/>
                <w:szCs w:val="24"/>
                <w:lang w:eastAsia="en-US"/>
              </w:rPr>
              <w:t>1cm</w:t>
            </w:r>
            <w:r>
              <w:rPr>
                <w:rFonts w:ascii="宋体" w:hAnsi="宋体" w:eastAsia="宋体" w:cs="宋体"/>
                <w:snapToGrid w:val="0"/>
                <w:color w:val="auto"/>
                <w:kern w:val="0"/>
                <w:sz w:val="24"/>
                <w:szCs w:val="24"/>
                <w:lang w:eastAsia="en-US"/>
              </w:rPr>
              <w:t>左右为宜。②容</w:t>
            </w:r>
            <w:r>
              <w:rPr>
                <w:rFonts w:ascii="宋体" w:hAnsi="宋体" w:eastAsia="宋体" w:cs="宋体"/>
                <w:snapToGrid w:val="0"/>
                <w:color w:val="auto"/>
                <w:spacing w:val="-1"/>
                <w:kern w:val="0"/>
                <w:sz w:val="24"/>
                <w:szCs w:val="24"/>
                <w:lang w:eastAsia="en-US"/>
              </w:rPr>
              <w:t>器苗栽植时将容器去除</w:t>
            </w:r>
            <w:r>
              <w:rPr>
                <w:rFonts w:ascii="宋体" w:hAnsi="宋体" w:eastAsia="宋体" w:cs="宋体"/>
                <w:snapToGrid w:val="0"/>
                <w:color w:val="auto"/>
                <w:kern w:val="0"/>
                <w:sz w:val="24"/>
                <w:szCs w:val="24"/>
                <w:lang w:eastAsia="en-US"/>
              </w:rPr>
              <w:t>或撕破容器底部包裹物后植入穴中，苗干竖直，深浅适当；先回填表土，</w:t>
            </w:r>
            <w:r>
              <w:rPr>
                <w:rFonts w:ascii="宋体" w:hAnsi="宋体" w:eastAsia="宋体" w:cs="宋体"/>
                <w:snapToGrid w:val="0"/>
                <w:color w:val="auto"/>
                <w:spacing w:val="-8"/>
                <w:kern w:val="0"/>
                <w:sz w:val="24"/>
                <w:szCs w:val="24"/>
                <w:lang w:eastAsia="en-US"/>
              </w:rPr>
              <w:t>再回填心土；分层填土、扶正、压实，浇足定根水，最后</w:t>
            </w:r>
            <w:r>
              <w:rPr>
                <w:rFonts w:ascii="宋体" w:hAnsi="宋体" w:eastAsia="宋体" w:cs="宋体"/>
                <w:snapToGrid w:val="0"/>
                <w:color w:val="auto"/>
                <w:spacing w:val="-9"/>
                <w:kern w:val="0"/>
                <w:sz w:val="24"/>
                <w:szCs w:val="24"/>
                <w:lang w:eastAsia="en-US"/>
              </w:rPr>
              <w:t>覆上疏松的土壤；</w:t>
            </w:r>
            <w:r>
              <w:rPr>
                <w:rFonts w:ascii="宋体" w:hAnsi="宋体" w:eastAsia="宋体" w:cs="宋体"/>
                <w:snapToGrid w:val="0"/>
                <w:color w:val="auto"/>
                <w:spacing w:val="-1"/>
                <w:kern w:val="0"/>
                <w:sz w:val="24"/>
                <w:szCs w:val="24"/>
                <w:lang w:eastAsia="en-US"/>
              </w:rPr>
              <w:t>覆土面高于容器表面</w:t>
            </w:r>
            <w:r>
              <w:rPr>
                <w:rFonts w:ascii="Times New Roman" w:hAnsi="Times New Roman" w:eastAsia="Times New Roman" w:cs="Times New Roman"/>
                <w:snapToGrid w:val="0"/>
                <w:color w:val="auto"/>
                <w:spacing w:val="-1"/>
                <w:kern w:val="0"/>
                <w:sz w:val="24"/>
                <w:szCs w:val="24"/>
                <w:lang w:eastAsia="en-US"/>
              </w:rPr>
              <w:t>1-2cm</w:t>
            </w:r>
            <w:r>
              <w:rPr>
                <w:rFonts w:ascii="宋体" w:hAnsi="宋体" w:eastAsia="宋体" w:cs="宋体"/>
                <w:snapToGrid w:val="0"/>
                <w:color w:val="auto"/>
                <w:spacing w:val="-1"/>
                <w:kern w:val="0"/>
                <w:sz w:val="24"/>
                <w:szCs w:val="24"/>
                <w:lang w:eastAsia="en-US"/>
              </w:rPr>
              <w:t>。覆土最好</w:t>
            </w:r>
            <w:r>
              <w:rPr>
                <w:rFonts w:hint="eastAsia" w:ascii="宋体" w:hAnsi="宋体" w:cs="宋体"/>
                <w:snapToGrid w:val="0"/>
                <w:color w:val="auto"/>
                <w:spacing w:val="-1"/>
                <w:kern w:val="0"/>
                <w:sz w:val="24"/>
                <w:szCs w:val="24"/>
                <w:lang w:eastAsia="zh-CN"/>
              </w:rPr>
              <w:t>呈</w:t>
            </w:r>
            <w:r>
              <w:rPr>
                <w:rFonts w:ascii="宋体" w:hAnsi="宋体" w:eastAsia="宋体" w:cs="宋体"/>
                <w:snapToGrid w:val="0"/>
                <w:color w:val="auto"/>
                <w:spacing w:val="-1"/>
                <w:kern w:val="0"/>
                <w:sz w:val="24"/>
                <w:szCs w:val="24"/>
                <w:lang w:eastAsia="en-US"/>
              </w:rPr>
              <w:t>树</w:t>
            </w:r>
            <w:r>
              <w:rPr>
                <w:rFonts w:ascii="宋体" w:hAnsi="宋体" w:eastAsia="宋体" w:cs="宋体"/>
                <w:snapToGrid w:val="0"/>
                <w:color w:val="auto"/>
                <w:spacing w:val="-2"/>
                <w:kern w:val="0"/>
                <w:sz w:val="24"/>
                <w:szCs w:val="24"/>
                <w:lang w:eastAsia="en-US"/>
              </w:rPr>
              <w:t>盘状，以利于蓄积雨水。③带</w:t>
            </w:r>
            <w:r>
              <w:rPr>
                <w:rFonts w:ascii="宋体" w:hAnsi="宋体" w:eastAsia="宋体" w:cs="宋体"/>
                <w:snapToGrid w:val="0"/>
                <w:color w:val="auto"/>
                <w:kern w:val="0"/>
                <w:sz w:val="24"/>
                <w:szCs w:val="24"/>
                <w:lang w:eastAsia="en-US"/>
              </w:rPr>
              <w:t>土团大苗入坑时调整栽植深度至合适位置（一般土球</w:t>
            </w:r>
            <w:r>
              <w:rPr>
                <w:rFonts w:ascii="宋体" w:hAnsi="宋体" w:eastAsia="宋体" w:cs="宋体"/>
                <w:snapToGrid w:val="0"/>
                <w:color w:val="auto"/>
                <w:spacing w:val="-1"/>
                <w:kern w:val="0"/>
                <w:sz w:val="24"/>
                <w:szCs w:val="24"/>
                <w:lang w:eastAsia="en-US"/>
              </w:rPr>
              <w:t>应低于地面</w:t>
            </w:r>
            <w:r>
              <w:rPr>
                <w:rFonts w:ascii="Times New Roman" w:hAnsi="Times New Roman" w:eastAsia="Times New Roman" w:cs="Times New Roman"/>
                <w:snapToGrid w:val="0"/>
                <w:color w:val="auto"/>
                <w:spacing w:val="-1"/>
                <w:kern w:val="0"/>
                <w:sz w:val="24"/>
                <w:szCs w:val="24"/>
                <w:lang w:eastAsia="en-US"/>
              </w:rPr>
              <w:t>2-5cm</w:t>
            </w:r>
            <w:r>
              <w:rPr>
                <w:rFonts w:ascii="宋体" w:hAnsi="宋体" w:eastAsia="宋体" w:cs="宋体"/>
                <w:snapToGrid w:val="0"/>
                <w:color w:val="auto"/>
                <w:spacing w:val="-1"/>
                <w:kern w:val="0"/>
                <w:sz w:val="24"/>
                <w:szCs w:val="24"/>
                <w:lang w:eastAsia="en-US"/>
              </w:rPr>
              <w:t>左</w:t>
            </w:r>
            <w:r>
              <w:rPr>
                <w:rFonts w:ascii="宋体" w:hAnsi="宋体" w:eastAsia="宋体" w:cs="宋体"/>
                <w:snapToGrid w:val="0"/>
                <w:color w:val="auto"/>
                <w:spacing w:val="-2"/>
                <w:kern w:val="0"/>
                <w:sz w:val="24"/>
                <w:szCs w:val="24"/>
                <w:lang w:eastAsia="en-US"/>
              </w:rPr>
              <w:t>右</w:t>
            </w:r>
            <w:r>
              <w:rPr>
                <w:rFonts w:ascii="宋体" w:hAnsi="宋体" w:eastAsia="宋体" w:cs="宋体"/>
                <w:snapToGrid w:val="0"/>
                <w:color w:val="auto"/>
                <w:spacing w:val="-4"/>
                <w:kern w:val="0"/>
                <w:sz w:val="24"/>
                <w:szCs w:val="24"/>
                <w:lang w:eastAsia="en-US"/>
              </w:rPr>
              <w:t>），</w:t>
            </w:r>
            <w:r>
              <w:rPr>
                <w:rFonts w:ascii="宋体" w:hAnsi="宋体" w:eastAsia="宋体" w:cs="宋体"/>
                <w:snapToGrid w:val="0"/>
                <w:color w:val="auto"/>
                <w:spacing w:val="-2"/>
                <w:kern w:val="0"/>
                <w:sz w:val="24"/>
                <w:szCs w:val="24"/>
                <w:lang w:eastAsia="en-US"/>
              </w:rPr>
              <w:t>并保证按原方向就位。如果坑规格小于土坨时候应适当扩坑。树木</w:t>
            </w:r>
            <w:r>
              <w:rPr>
                <w:rFonts w:ascii="宋体" w:hAnsi="宋体" w:eastAsia="宋体" w:cs="宋体"/>
                <w:snapToGrid w:val="0"/>
                <w:color w:val="auto"/>
                <w:spacing w:val="-4"/>
                <w:kern w:val="0"/>
                <w:sz w:val="24"/>
                <w:szCs w:val="24"/>
                <w:lang w:eastAsia="en-US"/>
              </w:rPr>
              <w:t>落稳后拆除根球土团包装物进行填土，每填土</w:t>
            </w:r>
            <w:r>
              <w:rPr>
                <w:rFonts w:ascii="Times New Roman" w:hAnsi="Times New Roman" w:eastAsia="Times New Roman" w:cs="Times New Roman"/>
                <w:snapToGrid w:val="0"/>
                <w:color w:val="auto"/>
                <w:spacing w:val="-4"/>
                <w:kern w:val="0"/>
                <w:sz w:val="24"/>
                <w:szCs w:val="24"/>
                <w:lang w:eastAsia="en-US"/>
              </w:rPr>
              <w:t>10</w:t>
            </w:r>
            <w:r>
              <w:rPr>
                <w:rFonts w:ascii="宋体" w:hAnsi="宋体" w:eastAsia="宋体" w:cs="宋体"/>
                <w:snapToGrid w:val="0"/>
                <w:color w:val="auto"/>
                <w:spacing w:val="-4"/>
                <w:kern w:val="0"/>
                <w:sz w:val="24"/>
                <w:szCs w:val="24"/>
                <w:lang w:eastAsia="en-US"/>
              </w:rPr>
              <w:t>～</w:t>
            </w:r>
            <w:r>
              <w:rPr>
                <w:rFonts w:ascii="Times New Roman" w:hAnsi="Times New Roman" w:eastAsia="Times New Roman" w:cs="Times New Roman"/>
                <w:snapToGrid w:val="0"/>
                <w:color w:val="auto"/>
                <w:spacing w:val="-4"/>
                <w:kern w:val="0"/>
                <w:sz w:val="24"/>
                <w:szCs w:val="24"/>
                <w:lang w:eastAsia="en-US"/>
              </w:rPr>
              <w:t>30cm</w:t>
            </w:r>
            <w:r>
              <w:rPr>
                <w:rFonts w:ascii="宋体" w:hAnsi="宋体" w:eastAsia="宋体" w:cs="宋体"/>
                <w:snapToGrid w:val="0"/>
                <w:color w:val="auto"/>
                <w:spacing w:val="-4"/>
                <w:kern w:val="0"/>
                <w:sz w:val="24"/>
                <w:szCs w:val="24"/>
                <w:lang w:eastAsia="en-US"/>
              </w:rPr>
              <w:t>厚夯实一遍，并注</w:t>
            </w:r>
            <w:r>
              <w:rPr>
                <w:rFonts w:ascii="宋体" w:hAnsi="宋体" w:eastAsia="宋体" w:cs="宋体"/>
                <w:snapToGrid w:val="0"/>
                <w:color w:val="auto"/>
                <w:spacing w:val="-2"/>
                <w:kern w:val="0"/>
                <w:sz w:val="24"/>
                <w:szCs w:val="24"/>
                <w:lang w:eastAsia="en-US"/>
              </w:rPr>
              <w:t>意保护所携带土球不受破坏。最后将种植穴周边剩余开挖土等全</w:t>
            </w:r>
            <w:r>
              <w:rPr>
                <w:rFonts w:ascii="宋体" w:hAnsi="宋体" w:eastAsia="宋体" w:cs="宋体"/>
                <w:snapToGrid w:val="0"/>
                <w:color w:val="auto"/>
                <w:spacing w:val="-3"/>
                <w:kern w:val="0"/>
                <w:sz w:val="24"/>
                <w:szCs w:val="24"/>
                <w:lang w:eastAsia="en-US"/>
              </w:rPr>
              <w:t>部培土在</w:t>
            </w:r>
            <w:r>
              <w:rPr>
                <w:rFonts w:ascii="宋体" w:hAnsi="宋体" w:eastAsia="宋体" w:cs="宋体"/>
                <w:snapToGrid w:val="0"/>
                <w:color w:val="auto"/>
                <w:spacing w:val="-2"/>
                <w:kern w:val="0"/>
                <w:sz w:val="24"/>
                <w:szCs w:val="24"/>
                <w:lang w:eastAsia="en-US"/>
              </w:rPr>
              <w:t>根系周围。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辅助措施：对</w:t>
            </w:r>
            <w:r>
              <w:rPr>
                <w:rFonts w:ascii="Times New Roman" w:hAnsi="Times New Roman" w:eastAsia="Times New Roman" w:cs="Times New Roman"/>
                <w:snapToGrid w:val="0"/>
                <w:color w:val="auto"/>
                <w:spacing w:val="-2"/>
                <w:kern w:val="0"/>
                <w:sz w:val="24"/>
                <w:szCs w:val="24"/>
                <w:lang w:eastAsia="en-US"/>
              </w:rPr>
              <w:t>LH311</w:t>
            </w:r>
            <w:r>
              <w:rPr>
                <w:rFonts w:ascii="宋体" w:hAnsi="宋体" w:eastAsia="宋体" w:cs="宋体"/>
                <w:snapToGrid w:val="0"/>
                <w:color w:val="auto"/>
                <w:spacing w:val="-2"/>
                <w:kern w:val="0"/>
                <w:sz w:val="24"/>
                <w:szCs w:val="24"/>
                <w:lang w:eastAsia="en-US"/>
              </w:rPr>
              <w:t>枫香</w:t>
            </w:r>
            <w:r>
              <w:rPr>
                <w:rFonts w:ascii="Times New Roman" w:hAnsi="Times New Roman" w:eastAsia="Times New Roman" w:cs="Times New Roman"/>
                <w:snapToGrid w:val="0"/>
                <w:color w:val="auto"/>
                <w:spacing w:val="-2"/>
                <w:kern w:val="0"/>
                <w:sz w:val="24"/>
                <w:szCs w:val="24"/>
                <w:lang w:eastAsia="en-US"/>
              </w:rPr>
              <w:t>+</w:t>
            </w:r>
            <w:r>
              <w:rPr>
                <w:rFonts w:ascii="宋体" w:hAnsi="宋体" w:eastAsia="宋体" w:cs="宋体"/>
                <w:snapToGrid w:val="0"/>
                <w:color w:val="auto"/>
                <w:spacing w:val="-2"/>
                <w:kern w:val="0"/>
                <w:sz w:val="24"/>
                <w:szCs w:val="24"/>
                <w:lang w:eastAsia="en-US"/>
              </w:rPr>
              <w:t>黄连木</w:t>
            </w:r>
            <w:r>
              <w:rPr>
                <w:rFonts w:ascii="Times New Roman" w:hAnsi="Times New Roman" w:eastAsia="Times New Roman" w:cs="Times New Roman"/>
                <w:snapToGrid w:val="0"/>
                <w:color w:val="auto"/>
                <w:spacing w:val="-2"/>
                <w:kern w:val="0"/>
                <w:sz w:val="24"/>
                <w:szCs w:val="24"/>
                <w:lang w:eastAsia="en-US"/>
              </w:rPr>
              <w:t>+</w:t>
            </w:r>
            <w:r>
              <w:rPr>
                <w:rFonts w:ascii="宋体" w:hAnsi="宋体" w:eastAsia="宋体" w:cs="宋体"/>
                <w:snapToGrid w:val="0"/>
                <w:color w:val="auto"/>
                <w:spacing w:val="-2"/>
                <w:kern w:val="0"/>
                <w:sz w:val="24"/>
                <w:szCs w:val="24"/>
                <w:lang w:eastAsia="en-US"/>
              </w:rPr>
              <w:t>银杏等珍贵风景林栽培模型中米径</w:t>
            </w:r>
            <w:r>
              <w:rPr>
                <w:rFonts w:ascii="Times New Roman" w:hAnsi="Times New Roman" w:eastAsia="Times New Roman" w:cs="Times New Roman"/>
                <w:snapToGrid w:val="0"/>
                <w:color w:val="auto"/>
                <w:kern w:val="0"/>
                <w:sz w:val="24"/>
                <w:szCs w:val="24"/>
                <w:lang w:eastAsia="en-US"/>
              </w:rPr>
              <w:t>5-8cm</w:t>
            </w:r>
            <w:r>
              <w:rPr>
                <w:rFonts w:ascii="宋体" w:hAnsi="宋体" w:eastAsia="宋体" w:cs="宋体"/>
                <w:snapToGrid w:val="0"/>
                <w:color w:val="auto"/>
                <w:kern w:val="0"/>
                <w:sz w:val="24"/>
                <w:szCs w:val="24"/>
                <w:lang w:eastAsia="en-US"/>
              </w:rPr>
              <w:t>应辅助大树营养液、树干涂白措施。①</w:t>
            </w:r>
            <w:r>
              <w:rPr>
                <w:rFonts w:ascii="宋体" w:hAnsi="宋体" w:eastAsia="宋体" w:cs="宋体"/>
                <w:snapToGrid w:val="0"/>
                <w:color w:val="auto"/>
                <w:spacing w:val="-1"/>
                <w:kern w:val="0"/>
                <w:sz w:val="24"/>
                <w:szCs w:val="24"/>
                <w:lang w:eastAsia="en-US"/>
              </w:rPr>
              <w:t>大树营养液，用量或配比参</w:t>
            </w:r>
            <w:r>
              <w:rPr>
                <w:rFonts w:ascii="宋体" w:hAnsi="宋体" w:eastAsia="宋体" w:cs="宋体"/>
                <w:snapToGrid w:val="0"/>
                <w:color w:val="auto"/>
                <w:spacing w:val="-2"/>
                <w:kern w:val="0"/>
                <w:sz w:val="24"/>
                <w:szCs w:val="24"/>
                <w:lang w:eastAsia="en-US"/>
              </w:rPr>
              <w:t>考相关产品说明书。本设计仅对移栽后进行设计。输液洞易在植株</w:t>
            </w:r>
            <w:r>
              <w:rPr>
                <w:rFonts w:ascii="宋体" w:hAnsi="宋体" w:eastAsia="宋体" w:cs="宋体"/>
                <w:snapToGrid w:val="0"/>
                <w:color w:val="auto"/>
                <w:spacing w:val="-3"/>
                <w:kern w:val="0"/>
                <w:sz w:val="24"/>
                <w:szCs w:val="24"/>
                <w:lang w:eastAsia="en-US"/>
              </w:rPr>
              <w:t>根颈上</w:t>
            </w:r>
            <w:r>
              <w:rPr>
                <w:rFonts w:ascii="宋体" w:hAnsi="宋体" w:eastAsia="宋体" w:cs="宋体"/>
                <w:snapToGrid w:val="0"/>
                <w:color w:val="auto"/>
                <w:spacing w:val="-4"/>
                <w:kern w:val="0"/>
                <w:sz w:val="24"/>
                <w:szCs w:val="24"/>
                <w:lang w:eastAsia="en-US"/>
              </w:rPr>
              <w:t>面</w:t>
            </w:r>
            <w:r>
              <w:rPr>
                <w:rFonts w:ascii="Times New Roman" w:hAnsi="Times New Roman" w:eastAsia="Times New Roman" w:cs="Times New Roman"/>
                <w:snapToGrid w:val="0"/>
                <w:color w:val="auto"/>
                <w:spacing w:val="-4"/>
                <w:kern w:val="0"/>
                <w:sz w:val="24"/>
                <w:szCs w:val="24"/>
                <w:lang w:eastAsia="en-US"/>
              </w:rPr>
              <w:t>20cm</w:t>
            </w:r>
            <w:r>
              <w:rPr>
                <w:rFonts w:ascii="宋体" w:hAnsi="宋体" w:eastAsia="宋体" w:cs="宋体"/>
                <w:snapToGrid w:val="0"/>
                <w:color w:val="auto"/>
                <w:spacing w:val="-4"/>
                <w:kern w:val="0"/>
                <w:sz w:val="24"/>
                <w:szCs w:val="24"/>
                <w:lang w:eastAsia="en-US"/>
              </w:rPr>
              <w:t>至</w:t>
            </w:r>
            <w:r>
              <w:rPr>
                <w:rFonts w:ascii="Times New Roman" w:hAnsi="Times New Roman" w:eastAsia="Times New Roman" w:cs="Times New Roman"/>
                <w:snapToGrid w:val="0"/>
                <w:color w:val="auto"/>
                <w:spacing w:val="-4"/>
                <w:kern w:val="0"/>
                <w:sz w:val="24"/>
                <w:szCs w:val="24"/>
                <w:lang w:eastAsia="en-US"/>
              </w:rPr>
              <w:t>30cm</w:t>
            </w:r>
            <w:r>
              <w:rPr>
                <w:rFonts w:ascii="宋体" w:hAnsi="宋体" w:eastAsia="宋体" w:cs="宋体"/>
                <w:snapToGrid w:val="0"/>
                <w:color w:val="auto"/>
                <w:spacing w:val="-4"/>
                <w:kern w:val="0"/>
                <w:sz w:val="24"/>
                <w:szCs w:val="24"/>
                <w:lang w:eastAsia="en-US"/>
              </w:rPr>
              <w:t>处，孔数量</w:t>
            </w:r>
            <w:r>
              <w:rPr>
                <w:rFonts w:ascii="Times New Roman" w:hAnsi="Times New Roman" w:eastAsia="Times New Roman" w:cs="Times New Roman"/>
                <w:snapToGrid w:val="0"/>
                <w:color w:val="auto"/>
                <w:spacing w:val="-4"/>
                <w:kern w:val="0"/>
                <w:sz w:val="24"/>
                <w:szCs w:val="24"/>
                <w:lang w:eastAsia="en-US"/>
              </w:rPr>
              <w:t>1-2</w:t>
            </w:r>
            <w:r>
              <w:rPr>
                <w:rFonts w:ascii="宋体" w:hAnsi="宋体" w:eastAsia="宋体" w:cs="宋体"/>
                <w:snapToGrid w:val="0"/>
                <w:color w:val="auto"/>
                <w:spacing w:val="-4"/>
                <w:kern w:val="0"/>
                <w:sz w:val="24"/>
                <w:szCs w:val="24"/>
                <w:lang w:eastAsia="en-US"/>
              </w:rPr>
              <w:t>处，孔斜向下</w:t>
            </w:r>
            <w:r>
              <w:rPr>
                <w:rFonts w:ascii="Times New Roman" w:hAnsi="Times New Roman" w:eastAsia="Times New Roman" w:cs="Times New Roman"/>
                <w:snapToGrid w:val="0"/>
                <w:color w:val="auto"/>
                <w:spacing w:val="-4"/>
                <w:kern w:val="0"/>
                <w:sz w:val="24"/>
                <w:szCs w:val="24"/>
                <w:lang w:eastAsia="en-US"/>
              </w:rPr>
              <w:t>45</w:t>
            </w:r>
            <w:r>
              <w:rPr>
                <w:rFonts w:ascii="宋体" w:hAnsi="宋体" w:eastAsia="宋体" w:cs="宋体"/>
                <w:snapToGrid w:val="0"/>
                <w:color w:val="auto"/>
                <w:spacing w:val="-4"/>
                <w:kern w:val="0"/>
                <w:sz w:val="24"/>
                <w:szCs w:val="24"/>
                <w:lang w:eastAsia="en-US"/>
              </w:rPr>
              <w:t>°角，深度保持在</w:t>
            </w:r>
            <w:r>
              <w:rPr>
                <w:rFonts w:ascii="Times New Roman" w:hAnsi="Times New Roman" w:eastAsia="Times New Roman" w:cs="Times New Roman"/>
                <w:snapToGrid w:val="0"/>
                <w:color w:val="auto"/>
                <w:spacing w:val="-4"/>
                <w:kern w:val="0"/>
                <w:sz w:val="24"/>
                <w:szCs w:val="24"/>
                <w:lang w:eastAsia="en-US"/>
              </w:rPr>
              <w:t>3cm</w:t>
            </w:r>
            <w:r>
              <w:rPr>
                <w:rFonts w:ascii="宋体" w:hAnsi="宋体" w:eastAsia="宋体" w:cs="宋体"/>
                <w:snapToGrid w:val="0"/>
                <w:color w:val="auto"/>
                <w:spacing w:val="-4"/>
                <w:kern w:val="0"/>
                <w:sz w:val="24"/>
                <w:szCs w:val="24"/>
                <w:lang w:eastAsia="en-US"/>
              </w:rPr>
              <w:t>至</w:t>
            </w:r>
            <w:r>
              <w:rPr>
                <w:rFonts w:ascii="Times New Roman" w:hAnsi="Times New Roman" w:eastAsia="Times New Roman" w:cs="Times New Roman"/>
                <w:snapToGrid w:val="0"/>
                <w:color w:val="auto"/>
                <w:spacing w:val="-4"/>
                <w:kern w:val="0"/>
                <w:sz w:val="24"/>
                <w:szCs w:val="24"/>
                <w:lang w:eastAsia="en-US"/>
              </w:rPr>
              <w:t>5</w:t>
            </w:r>
            <w:r>
              <w:rPr>
                <w:rFonts w:ascii="Times New Roman" w:hAnsi="Times New Roman" w:eastAsia="Times New Roman" w:cs="Times New Roman"/>
                <w:snapToGrid w:val="0"/>
                <w:color w:val="auto"/>
                <w:spacing w:val="-5"/>
                <w:kern w:val="0"/>
                <w:sz w:val="24"/>
                <w:szCs w:val="24"/>
                <w:lang w:eastAsia="en-US"/>
              </w:rPr>
              <w:t>cm</w:t>
            </w:r>
            <w:r>
              <w:rPr>
                <w:rFonts w:ascii="宋体" w:hAnsi="宋体" w:eastAsia="宋体" w:cs="宋体"/>
                <w:snapToGrid w:val="0"/>
                <w:color w:val="auto"/>
                <w:spacing w:val="-4"/>
                <w:kern w:val="0"/>
                <w:sz w:val="24"/>
                <w:szCs w:val="24"/>
                <w:lang w:eastAsia="en-US"/>
              </w:rPr>
              <w:t>之间，孔上方</w:t>
            </w:r>
            <w:r>
              <w:rPr>
                <w:rFonts w:ascii="Times New Roman" w:hAnsi="Times New Roman" w:eastAsia="Times New Roman" w:cs="Times New Roman"/>
                <w:snapToGrid w:val="0"/>
                <w:color w:val="auto"/>
                <w:spacing w:val="-4"/>
                <w:kern w:val="0"/>
                <w:sz w:val="24"/>
                <w:szCs w:val="24"/>
                <w:lang w:eastAsia="en-US"/>
              </w:rPr>
              <w:t>1.3</w:t>
            </w:r>
            <w:r>
              <w:rPr>
                <w:rFonts w:ascii="宋体" w:hAnsi="宋体" w:eastAsia="宋体" w:cs="宋体"/>
                <w:snapToGrid w:val="0"/>
                <w:color w:val="auto"/>
                <w:spacing w:val="-4"/>
                <w:kern w:val="0"/>
                <w:sz w:val="24"/>
                <w:szCs w:val="24"/>
                <w:lang w:eastAsia="en-US"/>
              </w:rPr>
              <w:t>米处用捆绑或悬吊在树体枝干上，无法捆绑或无合适枝干</w:t>
            </w:r>
            <w:r>
              <w:rPr>
                <w:rFonts w:ascii="宋体" w:hAnsi="宋体" w:eastAsia="宋体" w:cs="宋体"/>
                <w:snapToGrid w:val="0"/>
                <w:color w:val="auto"/>
                <w:spacing w:val="-2"/>
                <w:kern w:val="0"/>
                <w:sz w:val="24"/>
                <w:szCs w:val="24"/>
                <w:lang w:eastAsia="en-US"/>
              </w:rPr>
              <w:t>可钉钉子，挂上大树营养液，等液体流出时把输液器插入。液体流</w:t>
            </w:r>
            <w:r>
              <w:rPr>
                <w:rFonts w:ascii="宋体" w:hAnsi="宋体" w:eastAsia="宋体" w:cs="宋体"/>
                <w:snapToGrid w:val="0"/>
                <w:color w:val="auto"/>
                <w:spacing w:val="-3"/>
                <w:kern w:val="0"/>
                <w:sz w:val="24"/>
                <w:szCs w:val="24"/>
                <w:lang w:eastAsia="en-US"/>
              </w:rPr>
              <w:t>完后，</w:t>
            </w:r>
            <w:r>
              <w:rPr>
                <w:rFonts w:ascii="宋体" w:hAnsi="宋体" w:eastAsia="宋体" w:cs="宋体"/>
                <w:snapToGrid w:val="0"/>
                <w:color w:val="auto"/>
                <w:spacing w:val="-2"/>
                <w:kern w:val="0"/>
                <w:sz w:val="24"/>
                <w:szCs w:val="24"/>
                <w:lang w:eastAsia="en-US"/>
              </w:rPr>
              <w:t>拔下输液器，用小木棍插入孔中，在孔口处喷上杀菌剂，再用杀菌</w:t>
            </w:r>
            <w:r>
              <w:rPr>
                <w:rFonts w:ascii="宋体" w:hAnsi="宋体" w:eastAsia="宋体" w:cs="宋体"/>
                <w:snapToGrid w:val="0"/>
                <w:color w:val="auto"/>
                <w:spacing w:val="-3"/>
                <w:kern w:val="0"/>
                <w:sz w:val="24"/>
                <w:szCs w:val="24"/>
                <w:lang w:eastAsia="en-US"/>
              </w:rPr>
              <w:t>剂和的</w:t>
            </w:r>
            <w:r>
              <w:rPr>
                <w:rFonts w:ascii="宋体" w:hAnsi="宋体" w:eastAsia="宋体" w:cs="宋体"/>
                <w:snapToGrid w:val="0"/>
                <w:color w:val="auto"/>
                <w:spacing w:val="-2"/>
                <w:kern w:val="0"/>
                <w:sz w:val="24"/>
                <w:szCs w:val="24"/>
                <w:lang w:eastAsia="en-US"/>
              </w:rPr>
              <w:t>泥抹在孔口处。取下输液袋，用钳子拔下钉子，用含杀菌剂的泥抹</w:t>
            </w:r>
            <w:r>
              <w:rPr>
                <w:rFonts w:ascii="宋体" w:hAnsi="宋体" w:eastAsia="宋体" w:cs="宋体"/>
                <w:snapToGrid w:val="0"/>
                <w:color w:val="auto"/>
                <w:spacing w:val="-3"/>
                <w:kern w:val="0"/>
                <w:sz w:val="24"/>
                <w:szCs w:val="24"/>
                <w:lang w:eastAsia="en-US"/>
              </w:rPr>
              <w:t>在钉子</w:t>
            </w:r>
            <w:r>
              <w:rPr>
                <w:rFonts w:ascii="宋体" w:hAnsi="宋体" w:eastAsia="宋体" w:cs="宋体"/>
                <w:snapToGrid w:val="0"/>
                <w:color w:val="auto"/>
                <w:spacing w:val="-2"/>
                <w:kern w:val="0"/>
                <w:sz w:val="24"/>
                <w:szCs w:val="24"/>
                <w:lang w:eastAsia="en-US"/>
              </w:rPr>
              <w:t>眼处，防止细菌感染。②树干涂白，本设计仅针对栽植后进行。涂</w:t>
            </w:r>
            <w:r>
              <w:rPr>
                <w:rFonts w:ascii="宋体" w:hAnsi="宋体" w:eastAsia="宋体" w:cs="宋体"/>
                <w:snapToGrid w:val="0"/>
                <w:color w:val="auto"/>
                <w:spacing w:val="-3"/>
                <w:kern w:val="0"/>
                <w:sz w:val="24"/>
                <w:szCs w:val="24"/>
                <w:lang w:eastAsia="en-US"/>
              </w:rPr>
              <w:t>白剂根</w:t>
            </w:r>
            <w:r>
              <w:rPr>
                <w:rFonts w:ascii="宋体" w:hAnsi="宋体" w:eastAsia="宋体" w:cs="宋体"/>
                <w:snapToGrid w:val="0"/>
                <w:color w:val="auto"/>
                <w:spacing w:val="-2"/>
                <w:kern w:val="0"/>
                <w:sz w:val="24"/>
                <w:szCs w:val="24"/>
                <w:lang w:eastAsia="en-US"/>
              </w:rPr>
              <w:t>据购置的产品说明书配置，采用主干涂白方式、人工涂白。</w:t>
            </w:r>
            <w:r>
              <w:rPr>
                <w:rFonts w:ascii="宋体" w:hAnsi="宋体" w:eastAsia="宋体" w:cs="宋体"/>
                <w:snapToGrid w:val="0"/>
                <w:color w:val="auto"/>
                <w:spacing w:val="-3"/>
                <w:kern w:val="0"/>
                <w:sz w:val="24"/>
                <w:szCs w:val="24"/>
                <w:lang w:eastAsia="en-US"/>
              </w:rPr>
              <w:t>涂白部位</w:t>
            </w:r>
            <w:r>
              <w:rPr>
                <w:rFonts w:hint="eastAsia" w:ascii="宋体" w:hAnsi="宋体" w:cs="宋体"/>
                <w:snapToGrid w:val="0"/>
                <w:color w:val="auto"/>
                <w:spacing w:val="-3"/>
                <w:kern w:val="0"/>
                <w:sz w:val="24"/>
                <w:szCs w:val="24"/>
                <w:lang w:eastAsia="zh-CN"/>
              </w:rPr>
              <w:t>宜</w:t>
            </w:r>
            <w:r>
              <w:rPr>
                <w:rFonts w:ascii="宋体" w:hAnsi="宋体" w:eastAsia="宋体" w:cs="宋体"/>
                <w:snapToGrid w:val="0"/>
                <w:color w:val="auto"/>
                <w:spacing w:val="-3"/>
                <w:kern w:val="0"/>
                <w:sz w:val="24"/>
                <w:szCs w:val="24"/>
                <w:lang w:eastAsia="en-US"/>
              </w:rPr>
              <w:t>在树干基部（高度在</w:t>
            </w:r>
            <w:r>
              <w:rPr>
                <w:rFonts w:ascii="Times New Roman" w:hAnsi="Times New Roman" w:eastAsia="Times New Roman" w:cs="Times New Roman"/>
                <w:snapToGrid w:val="0"/>
                <w:color w:val="auto"/>
                <w:spacing w:val="-3"/>
                <w:kern w:val="0"/>
                <w:sz w:val="24"/>
                <w:szCs w:val="24"/>
                <w:lang w:eastAsia="en-US"/>
              </w:rPr>
              <w:t>0.6</w:t>
            </w:r>
            <w:r>
              <w:rPr>
                <w:rFonts w:ascii="宋体" w:hAnsi="宋体" w:eastAsia="宋体" w:cs="宋体"/>
                <w:snapToGrid w:val="0"/>
                <w:color w:val="auto"/>
                <w:spacing w:val="-3"/>
                <w:kern w:val="0"/>
                <w:sz w:val="24"/>
                <w:szCs w:val="24"/>
                <w:lang w:eastAsia="en-US"/>
              </w:rPr>
              <w:t>～</w:t>
            </w:r>
            <w:r>
              <w:rPr>
                <w:rFonts w:ascii="Times New Roman" w:hAnsi="Times New Roman" w:eastAsia="Times New Roman" w:cs="Times New Roman"/>
                <w:snapToGrid w:val="0"/>
                <w:color w:val="auto"/>
                <w:spacing w:val="-3"/>
                <w:kern w:val="0"/>
                <w:sz w:val="24"/>
                <w:szCs w:val="24"/>
                <w:lang w:eastAsia="en-US"/>
              </w:rPr>
              <w:t>0.8m</w:t>
            </w:r>
            <w:r>
              <w:rPr>
                <w:rFonts w:ascii="宋体" w:hAnsi="宋体" w:eastAsia="宋体" w:cs="宋体"/>
                <w:snapToGrid w:val="0"/>
                <w:color w:val="auto"/>
                <w:spacing w:val="-3"/>
                <w:kern w:val="0"/>
                <w:sz w:val="24"/>
                <w:szCs w:val="24"/>
                <w:lang w:eastAsia="en-US"/>
              </w:rPr>
              <w:t>为宜</w:t>
            </w:r>
            <w:r>
              <w:rPr>
                <w:rFonts w:ascii="宋体" w:hAnsi="宋体" w:eastAsia="宋体" w:cs="宋体"/>
                <w:snapToGrid w:val="0"/>
                <w:color w:val="auto"/>
                <w:spacing w:val="-22"/>
                <w:kern w:val="0"/>
                <w:sz w:val="24"/>
                <w:szCs w:val="24"/>
                <w:lang w:eastAsia="en-US"/>
              </w:rPr>
              <w:t>），</w:t>
            </w:r>
            <w:r>
              <w:rPr>
                <w:rFonts w:ascii="宋体" w:hAnsi="宋体" w:eastAsia="宋体" w:cs="宋体"/>
                <w:snapToGrid w:val="0"/>
                <w:color w:val="auto"/>
                <w:spacing w:val="-3"/>
                <w:kern w:val="0"/>
                <w:sz w:val="24"/>
                <w:szCs w:val="24"/>
                <w:lang w:eastAsia="en-US"/>
              </w:rPr>
              <w:t>可适当涂高。涂白剂要随配随用，不得久放。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1"/>
                <w:kern w:val="0"/>
                <w:sz w:val="24"/>
                <w:szCs w:val="24"/>
                <w:lang w:eastAsia="en-US"/>
              </w:rPr>
              <w:t>4</w:t>
            </w:r>
            <w:r>
              <w:rPr>
                <w:rFonts w:ascii="宋体" w:hAnsi="宋体" w:eastAsia="宋体" w:cs="宋体"/>
                <w:snapToGrid w:val="0"/>
                <w:color w:val="auto"/>
                <w:spacing w:val="-1"/>
                <w:kern w:val="0"/>
                <w:sz w:val="24"/>
                <w:szCs w:val="24"/>
                <w:lang w:eastAsia="en-US"/>
              </w:rPr>
              <w:t>）苗木质量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5"/>
                <w:kern w:val="0"/>
                <w:sz w:val="24"/>
                <w:szCs w:val="24"/>
                <w:lang w:eastAsia="en-US"/>
              </w:rPr>
              <w:t>带土团大苗米径</w:t>
            </w:r>
            <w:r>
              <w:rPr>
                <w:rFonts w:ascii="Times New Roman" w:hAnsi="Times New Roman" w:eastAsia="Times New Roman" w:cs="Times New Roman"/>
                <w:snapToGrid w:val="0"/>
                <w:color w:val="auto"/>
                <w:spacing w:val="-5"/>
                <w:kern w:val="0"/>
                <w:sz w:val="24"/>
                <w:szCs w:val="24"/>
                <w:lang w:eastAsia="en-US"/>
              </w:rPr>
              <w:t>5-8cm</w:t>
            </w:r>
            <w:r>
              <w:rPr>
                <w:rFonts w:ascii="宋体" w:hAnsi="宋体" w:eastAsia="宋体" w:cs="宋体"/>
                <w:snapToGrid w:val="0"/>
                <w:color w:val="auto"/>
                <w:spacing w:val="-5"/>
                <w:kern w:val="0"/>
                <w:sz w:val="24"/>
                <w:szCs w:val="24"/>
                <w:lang w:eastAsia="en-US"/>
              </w:rPr>
              <w:t>。执行种苗生产经营许可证和种苗调运中的</w:t>
            </w:r>
            <w:r>
              <w:rPr>
                <w:rFonts w:ascii="Times New Roman" w:hAnsi="Times New Roman" w:eastAsia="Times New Roman" w:cs="Times New Roman"/>
                <w:snapToGrid w:val="0"/>
                <w:color w:val="auto"/>
                <w:spacing w:val="-5"/>
                <w:kern w:val="0"/>
                <w:sz w:val="24"/>
                <w:szCs w:val="24"/>
                <w:lang w:eastAsia="en-US"/>
              </w:rPr>
              <w:t>“</w:t>
            </w:r>
            <w:r>
              <w:rPr>
                <w:rFonts w:ascii="宋体" w:hAnsi="宋体" w:eastAsia="宋体" w:cs="宋体"/>
                <w:snapToGrid w:val="0"/>
                <w:color w:val="auto"/>
                <w:spacing w:val="-5"/>
                <w:kern w:val="0"/>
                <w:sz w:val="24"/>
                <w:szCs w:val="24"/>
                <w:lang w:eastAsia="en-US"/>
              </w:rPr>
              <w:t>两</w:t>
            </w:r>
            <w:r>
              <w:rPr>
                <w:rFonts w:ascii="宋体" w:hAnsi="宋体" w:eastAsia="宋体" w:cs="宋体"/>
                <w:snapToGrid w:val="0"/>
                <w:color w:val="auto"/>
                <w:kern w:val="0"/>
                <w:sz w:val="24"/>
                <w:szCs w:val="24"/>
                <w:lang w:eastAsia="en-US"/>
              </w:rPr>
              <w:t>证一签</w:t>
            </w:r>
            <w:r>
              <w:rPr>
                <w:rFonts w:ascii="Times New Roman" w:hAnsi="Times New Roman" w:eastAsia="Times New Roman" w:cs="Times New Roman"/>
                <w:snapToGrid w:val="0"/>
                <w:color w:val="auto"/>
                <w:kern w:val="0"/>
                <w:sz w:val="24"/>
                <w:szCs w:val="24"/>
                <w:lang w:eastAsia="en-US"/>
              </w:rPr>
              <w:t>”</w:t>
            </w:r>
            <w:r>
              <w:rPr>
                <w:rFonts w:ascii="宋体" w:hAnsi="宋体" w:eastAsia="宋体" w:cs="宋体"/>
                <w:snapToGrid w:val="0"/>
                <w:color w:val="auto"/>
                <w:kern w:val="0"/>
                <w:sz w:val="24"/>
                <w:szCs w:val="24"/>
                <w:lang w:eastAsia="en-US"/>
              </w:rPr>
              <w:t>制度，苗木规格和质量要求详见</w:t>
            </w:r>
            <w:r>
              <w:rPr>
                <w:rFonts w:ascii="Times New Roman" w:hAnsi="Times New Roman" w:eastAsia="Times New Roman" w:cs="Times New Roman"/>
                <w:snapToGrid w:val="0"/>
                <w:color w:val="auto"/>
                <w:kern w:val="0"/>
                <w:sz w:val="24"/>
                <w:szCs w:val="24"/>
                <w:lang w:eastAsia="en-US"/>
              </w:rPr>
              <w:t>“5.7</w:t>
            </w:r>
            <w:r>
              <w:rPr>
                <w:rFonts w:ascii="宋体" w:hAnsi="宋体" w:eastAsia="宋体" w:cs="宋体"/>
                <w:snapToGrid w:val="0"/>
                <w:color w:val="auto"/>
                <w:kern w:val="0"/>
                <w:sz w:val="24"/>
                <w:szCs w:val="24"/>
                <w:lang w:eastAsia="en-US"/>
              </w:rPr>
              <w:t>林木种苗选育</w:t>
            </w:r>
            <w:r>
              <w:rPr>
                <w:rFonts w:ascii="Times New Roman" w:hAnsi="Times New Roman" w:eastAsia="Times New Roman" w:cs="Times New Roman"/>
                <w:snapToGrid w:val="0"/>
                <w:color w:val="auto"/>
                <w:kern w:val="0"/>
                <w:sz w:val="24"/>
                <w:szCs w:val="24"/>
                <w:lang w:eastAsia="en-US"/>
              </w:rPr>
              <w:t>”</w:t>
            </w:r>
            <w:r>
              <w:rPr>
                <w:rFonts w:ascii="宋体" w:hAnsi="宋体" w:eastAsia="宋体" w:cs="宋体"/>
                <w:snapToGrid w:val="0"/>
                <w:color w:val="auto"/>
                <w:kern w:val="0"/>
                <w:sz w:val="24"/>
                <w:szCs w:val="24"/>
                <w:lang w:eastAsia="en-US"/>
              </w:rPr>
              <w:t>小节</w:t>
            </w:r>
            <w:r>
              <w:rPr>
                <w:rFonts w:ascii="宋体" w:hAnsi="宋体" w:eastAsia="宋体" w:cs="宋体"/>
                <w:snapToGrid w:val="0"/>
                <w:color w:val="auto"/>
                <w:spacing w:val="-1"/>
                <w:kern w:val="0"/>
                <w:sz w:val="24"/>
                <w:szCs w:val="24"/>
                <w:lang w:eastAsia="en-US"/>
              </w:rPr>
              <w:t>。同时，</w:t>
            </w:r>
            <w:r>
              <w:rPr>
                <w:rFonts w:ascii="宋体" w:hAnsi="宋体" w:eastAsia="宋体" w:cs="宋体"/>
                <w:snapToGrid w:val="0"/>
                <w:color w:val="auto"/>
                <w:spacing w:val="-2"/>
                <w:kern w:val="0"/>
                <w:sz w:val="24"/>
                <w:szCs w:val="24"/>
                <w:lang w:eastAsia="en-US"/>
              </w:rPr>
              <w:t>准备好备用树种。严格执行种苗设计中的质量要求。选苗、挖苗、装车、运输的准备工作，要严格按规范操作。苗木进场之前要合理</w:t>
            </w:r>
            <w:r>
              <w:rPr>
                <w:rFonts w:ascii="宋体" w:hAnsi="宋体" w:eastAsia="宋体" w:cs="宋体"/>
                <w:snapToGrid w:val="0"/>
                <w:color w:val="auto"/>
                <w:spacing w:val="-3"/>
                <w:kern w:val="0"/>
                <w:sz w:val="24"/>
                <w:szCs w:val="24"/>
                <w:lang w:eastAsia="en-US"/>
              </w:rPr>
              <w:t>安排好种植的</w:t>
            </w:r>
            <w:r>
              <w:rPr>
                <w:rFonts w:ascii="宋体" w:hAnsi="宋体" w:eastAsia="宋体" w:cs="宋体"/>
                <w:snapToGrid w:val="0"/>
                <w:color w:val="auto"/>
                <w:spacing w:val="-2"/>
                <w:kern w:val="0"/>
                <w:sz w:val="24"/>
                <w:szCs w:val="24"/>
                <w:lang w:eastAsia="en-US"/>
              </w:rPr>
              <w:t>时间和人力，且留有足够的场地放置苗木。在苗木起苗、分级、包</w:t>
            </w:r>
            <w:r>
              <w:rPr>
                <w:rFonts w:ascii="宋体" w:hAnsi="宋体" w:eastAsia="宋体" w:cs="宋体"/>
                <w:snapToGrid w:val="0"/>
                <w:color w:val="auto"/>
                <w:spacing w:val="-3"/>
                <w:kern w:val="0"/>
                <w:sz w:val="24"/>
                <w:szCs w:val="24"/>
                <w:lang w:eastAsia="en-US"/>
              </w:rPr>
              <w:t>装、运</w:t>
            </w:r>
            <w:r>
              <w:rPr>
                <w:rFonts w:ascii="宋体" w:hAnsi="宋体" w:eastAsia="宋体" w:cs="宋体"/>
                <w:snapToGrid w:val="0"/>
                <w:color w:val="auto"/>
                <w:spacing w:val="-2"/>
                <w:kern w:val="0"/>
                <w:sz w:val="24"/>
                <w:szCs w:val="24"/>
                <w:lang w:eastAsia="en-US"/>
              </w:rPr>
              <w:t>输、栽植过程中，防止苗木失水和受损；苗木运抵造林地后要及时假植。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5</w:t>
            </w:r>
            <w:r>
              <w:rPr>
                <w:rFonts w:ascii="宋体" w:hAnsi="宋体" w:eastAsia="宋体" w:cs="宋体"/>
                <w:snapToGrid w:val="0"/>
                <w:color w:val="auto"/>
                <w:spacing w:val="-2"/>
                <w:kern w:val="0"/>
                <w:sz w:val="24"/>
                <w:szCs w:val="24"/>
                <w:lang w:eastAsia="en-US"/>
              </w:rPr>
              <w:t>）施肥与灌溉</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施肥：第</w:t>
            </w:r>
            <w:r>
              <w:rPr>
                <w:rFonts w:ascii="Times New Roman" w:hAnsi="Times New Roman" w:eastAsia="Times New Roman" w:cs="Times New Roman"/>
                <w:snapToGrid w:val="0"/>
                <w:color w:val="auto"/>
                <w:spacing w:val="2"/>
                <w:kern w:val="0"/>
                <w:sz w:val="24"/>
                <w:szCs w:val="24"/>
                <w:lang w:eastAsia="en-US"/>
              </w:rPr>
              <w:t>1</w:t>
            </w:r>
            <w:r>
              <w:rPr>
                <w:rFonts w:ascii="宋体" w:hAnsi="宋体" w:eastAsia="宋体" w:cs="宋体"/>
                <w:snapToGrid w:val="0"/>
                <w:color w:val="auto"/>
                <w:spacing w:val="2"/>
                <w:kern w:val="0"/>
                <w:sz w:val="24"/>
                <w:szCs w:val="24"/>
                <w:lang w:eastAsia="en-US"/>
              </w:rPr>
              <w:t>年在整地后栽植苗木前施基肥，施用有机无机复混肥等每</w:t>
            </w:r>
            <w:r>
              <w:rPr>
                <w:rFonts w:ascii="宋体" w:hAnsi="宋体" w:eastAsia="宋体" w:cs="宋体"/>
                <w:snapToGrid w:val="0"/>
                <w:color w:val="auto"/>
                <w:spacing w:val="4"/>
                <w:kern w:val="0"/>
                <w:sz w:val="24"/>
                <w:szCs w:val="24"/>
                <w:lang w:eastAsia="en-US"/>
              </w:rPr>
              <w:t>穴</w:t>
            </w:r>
            <w:r>
              <w:rPr>
                <w:rFonts w:ascii="Times New Roman" w:hAnsi="Times New Roman" w:eastAsia="Times New Roman" w:cs="Times New Roman"/>
                <w:snapToGrid w:val="0"/>
                <w:color w:val="auto"/>
                <w:spacing w:val="4"/>
                <w:kern w:val="0"/>
                <w:sz w:val="24"/>
                <w:szCs w:val="24"/>
                <w:lang w:eastAsia="en-US"/>
              </w:rPr>
              <w:t>1</w:t>
            </w:r>
            <w:r>
              <w:rPr>
                <w:rFonts w:ascii="Times New Roman" w:hAnsi="Times New Roman" w:eastAsia="Times New Roman" w:cs="Times New Roman"/>
                <w:snapToGrid w:val="0"/>
                <w:color w:val="auto"/>
                <w:kern w:val="0"/>
                <w:sz w:val="24"/>
                <w:szCs w:val="24"/>
                <w:lang w:eastAsia="en-US"/>
              </w:rPr>
              <w:t>kg</w:t>
            </w:r>
            <w:r>
              <w:rPr>
                <w:rFonts w:ascii="宋体" w:hAnsi="宋体" w:eastAsia="宋体" w:cs="宋体"/>
                <w:snapToGrid w:val="0"/>
                <w:color w:val="auto"/>
                <w:spacing w:val="4"/>
                <w:kern w:val="0"/>
                <w:sz w:val="24"/>
                <w:szCs w:val="24"/>
                <w:lang w:eastAsia="en-US"/>
              </w:rPr>
              <w:t>或</w:t>
            </w:r>
            <w:r>
              <w:rPr>
                <w:rFonts w:ascii="Times New Roman" w:hAnsi="Times New Roman" w:eastAsia="Times New Roman" w:cs="Times New Roman"/>
                <w:snapToGrid w:val="0"/>
                <w:color w:val="auto"/>
                <w:spacing w:val="4"/>
                <w:kern w:val="0"/>
                <w:sz w:val="24"/>
                <w:szCs w:val="24"/>
                <w:lang w:eastAsia="en-US"/>
              </w:rPr>
              <w:t>2</w:t>
            </w:r>
            <w:r>
              <w:rPr>
                <w:rFonts w:ascii="Times New Roman" w:hAnsi="Times New Roman" w:eastAsia="Times New Roman" w:cs="Times New Roman"/>
                <w:snapToGrid w:val="0"/>
                <w:color w:val="auto"/>
                <w:kern w:val="0"/>
                <w:sz w:val="24"/>
                <w:szCs w:val="24"/>
                <w:lang w:eastAsia="en-US"/>
              </w:rPr>
              <w:t>kg</w:t>
            </w:r>
            <w:r>
              <w:rPr>
                <w:rFonts w:ascii="宋体" w:hAnsi="宋体" w:eastAsia="宋体" w:cs="宋体"/>
                <w:snapToGrid w:val="0"/>
                <w:color w:val="auto"/>
                <w:spacing w:val="4"/>
                <w:kern w:val="0"/>
                <w:sz w:val="24"/>
                <w:szCs w:val="24"/>
                <w:lang w:eastAsia="en-US"/>
              </w:rPr>
              <w:t>；第</w:t>
            </w:r>
            <w:r>
              <w:rPr>
                <w:rFonts w:ascii="Times New Roman" w:hAnsi="Times New Roman" w:eastAsia="Times New Roman" w:cs="Times New Roman"/>
                <w:snapToGrid w:val="0"/>
                <w:color w:val="auto"/>
                <w:spacing w:val="4"/>
                <w:kern w:val="0"/>
                <w:sz w:val="24"/>
                <w:szCs w:val="24"/>
                <w:lang w:eastAsia="en-US"/>
              </w:rPr>
              <w:t>2</w:t>
            </w:r>
            <w:r>
              <w:rPr>
                <w:rFonts w:ascii="宋体" w:hAnsi="宋体" w:eastAsia="宋体" w:cs="宋体"/>
                <w:snapToGrid w:val="0"/>
                <w:color w:val="auto"/>
                <w:spacing w:val="4"/>
                <w:kern w:val="0"/>
                <w:sz w:val="24"/>
                <w:szCs w:val="24"/>
                <w:lang w:eastAsia="en-US"/>
              </w:rPr>
              <w:t>年、第</w:t>
            </w:r>
            <w:r>
              <w:rPr>
                <w:rFonts w:ascii="Times New Roman" w:hAnsi="Times New Roman" w:eastAsia="Times New Roman" w:cs="Times New Roman"/>
                <w:snapToGrid w:val="0"/>
                <w:color w:val="auto"/>
                <w:spacing w:val="4"/>
                <w:kern w:val="0"/>
                <w:sz w:val="24"/>
                <w:szCs w:val="24"/>
                <w:lang w:eastAsia="en-US"/>
              </w:rPr>
              <w:t>3</w:t>
            </w:r>
            <w:r>
              <w:rPr>
                <w:rFonts w:ascii="宋体" w:hAnsi="宋体" w:eastAsia="宋体" w:cs="宋体"/>
                <w:snapToGrid w:val="0"/>
                <w:color w:val="auto"/>
                <w:spacing w:val="4"/>
                <w:kern w:val="0"/>
                <w:sz w:val="24"/>
                <w:szCs w:val="24"/>
                <w:lang w:eastAsia="en-US"/>
              </w:rPr>
              <w:t>年抚育时追肥施用生物有机肥</w:t>
            </w:r>
            <w:r>
              <w:rPr>
                <w:rFonts w:ascii="宋体" w:hAnsi="宋体" w:eastAsia="宋体" w:cs="宋体"/>
                <w:snapToGrid w:val="0"/>
                <w:color w:val="auto"/>
                <w:spacing w:val="3"/>
                <w:kern w:val="0"/>
                <w:sz w:val="24"/>
                <w:szCs w:val="24"/>
                <w:lang w:eastAsia="en-US"/>
              </w:rPr>
              <w:t>等</w:t>
            </w:r>
            <w:r>
              <w:rPr>
                <w:rFonts w:ascii="Times New Roman" w:hAnsi="Times New Roman" w:eastAsia="Times New Roman" w:cs="Times New Roman"/>
                <w:snapToGrid w:val="0"/>
                <w:color w:val="auto"/>
                <w:spacing w:val="3"/>
                <w:kern w:val="0"/>
                <w:sz w:val="24"/>
                <w:szCs w:val="24"/>
                <w:lang w:eastAsia="en-US"/>
              </w:rPr>
              <w:t>1</w:t>
            </w:r>
            <w:r>
              <w:rPr>
                <w:rFonts w:ascii="Times New Roman" w:hAnsi="Times New Roman" w:eastAsia="Times New Roman" w:cs="Times New Roman"/>
                <w:snapToGrid w:val="0"/>
                <w:color w:val="auto"/>
                <w:kern w:val="0"/>
                <w:sz w:val="24"/>
                <w:szCs w:val="24"/>
                <w:lang w:eastAsia="en-US"/>
              </w:rPr>
              <w:t>kg</w:t>
            </w:r>
            <w:r>
              <w:rPr>
                <w:rFonts w:ascii="Times New Roman" w:hAnsi="Times New Roman" w:eastAsia="Times New Roman" w:cs="Times New Roman"/>
                <w:snapToGrid w:val="0"/>
                <w:color w:val="auto"/>
                <w:spacing w:val="3"/>
                <w:kern w:val="0"/>
                <w:sz w:val="24"/>
                <w:szCs w:val="24"/>
                <w:lang w:eastAsia="en-US"/>
              </w:rPr>
              <w:t>/</w:t>
            </w:r>
            <w:r>
              <w:rPr>
                <w:rFonts w:ascii="宋体" w:hAnsi="宋体" w:eastAsia="宋体" w:cs="宋体"/>
                <w:snapToGrid w:val="0"/>
                <w:color w:val="auto"/>
                <w:spacing w:val="3"/>
                <w:kern w:val="0"/>
                <w:sz w:val="24"/>
                <w:szCs w:val="24"/>
                <w:lang w:eastAsia="en-US"/>
              </w:rPr>
              <w:t>株或</w:t>
            </w:r>
            <w:r>
              <w:rPr>
                <w:rFonts w:ascii="Times New Roman" w:hAnsi="Times New Roman" w:eastAsia="Times New Roman" w:cs="Times New Roman"/>
                <w:snapToGrid w:val="0"/>
                <w:color w:val="auto"/>
                <w:spacing w:val="3"/>
                <w:kern w:val="0"/>
                <w:sz w:val="24"/>
                <w:szCs w:val="24"/>
                <w:lang w:eastAsia="en-US"/>
              </w:rPr>
              <w:t>0.6</w:t>
            </w:r>
            <w:r>
              <w:rPr>
                <w:rFonts w:ascii="Times New Roman" w:hAnsi="Times New Roman" w:eastAsia="Times New Roman" w:cs="Times New Roman"/>
                <w:snapToGrid w:val="0"/>
                <w:color w:val="auto"/>
                <w:kern w:val="0"/>
                <w:sz w:val="24"/>
                <w:szCs w:val="24"/>
                <w:lang w:eastAsia="en-US"/>
              </w:rPr>
              <w:t>kg</w:t>
            </w:r>
            <w:r>
              <w:rPr>
                <w:rFonts w:ascii="Times New Roman" w:hAnsi="Times New Roman" w:eastAsia="Times New Roman" w:cs="Times New Roman"/>
                <w:snapToGrid w:val="0"/>
                <w:color w:val="auto"/>
                <w:spacing w:val="3"/>
                <w:kern w:val="0"/>
                <w:sz w:val="24"/>
                <w:szCs w:val="24"/>
                <w:lang w:eastAsia="en-US"/>
              </w:rPr>
              <w:t>/</w:t>
            </w:r>
            <w:r>
              <w:rPr>
                <w:rFonts w:ascii="宋体" w:hAnsi="宋体" w:eastAsia="宋体" w:cs="宋体"/>
                <w:snapToGrid w:val="0"/>
                <w:color w:val="auto"/>
                <w:spacing w:val="-1"/>
                <w:kern w:val="0"/>
                <w:sz w:val="24"/>
                <w:szCs w:val="24"/>
                <w:lang w:eastAsia="en-US"/>
              </w:rPr>
              <w:t>株，每年施追肥</w:t>
            </w:r>
            <w:r>
              <w:rPr>
                <w:rFonts w:ascii="Times New Roman" w:hAnsi="Times New Roman" w:eastAsia="Times New Roman" w:cs="Times New Roman"/>
                <w:snapToGrid w:val="0"/>
                <w:color w:val="auto"/>
                <w:spacing w:val="-1"/>
                <w:kern w:val="0"/>
                <w:sz w:val="24"/>
                <w:szCs w:val="24"/>
                <w:lang w:eastAsia="en-US"/>
              </w:rPr>
              <w:t>1</w:t>
            </w:r>
            <w:r>
              <w:rPr>
                <w:rFonts w:ascii="宋体" w:hAnsi="宋体" w:eastAsia="宋体" w:cs="宋体"/>
                <w:snapToGrid w:val="0"/>
                <w:color w:val="auto"/>
                <w:spacing w:val="-1"/>
                <w:kern w:val="0"/>
                <w:sz w:val="24"/>
                <w:szCs w:val="24"/>
                <w:lang w:eastAsia="en-US"/>
              </w:rPr>
              <w:t>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3"/>
                <w:kern w:val="0"/>
                <w:sz w:val="24"/>
                <w:szCs w:val="24"/>
                <w:lang w:eastAsia="en-US"/>
              </w:rPr>
              <w:t>灌溉：苗木栽好后，在原树坑的外缘垒地堰，第一遍水要浇透，使土</w:t>
            </w:r>
            <w:r>
              <w:rPr>
                <w:rFonts w:ascii="宋体" w:hAnsi="宋体" w:eastAsia="宋体" w:cs="宋体"/>
                <w:snapToGrid w:val="0"/>
                <w:color w:val="auto"/>
                <w:spacing w:val="-2"/>
                <w:kern w:val="0"/>
                <w:sz w:val="24"/>
                <w:szCs w:val="24"/>
                <w:lang w:eastAsia="en-US"/>
              </w:rPr>
              <w:t>壤与根系紧密结合，浇水后若树苗歪倒应及时扶直，并用</w:t>
            </w:r>
            <w:r>
              <w:rPr>
                <w:rFonts w:ascii="宋体" w:hAnsi="宋体" w:eastAsia="宋体" w:cs="宋体"/>
                <w:snapToGrid w:val="0"/>
                <w:color w:val="auto"/>
                <w:spacing w:val="-3"/>
                <w:kern w:val="0"/>
                <w:sz w:val="24"/>
                <w:szCs w:val="24"/>
                <w:lang w:eastAsia="en-US"/>
              </w:rPr>
              <w:t>细土将灌水堰内</w:t>
            </w:r>
            <w:r>
              <w:rPr>
                <w:rFonts w:ascii="宋体" w:hAnsi="宋体" w:eastAsia="宋体" w:cs="宋体"/>
                <w:snapToGrid w:val="0"/>
                <w:color w:val="auto"/>
                <w:spacing w:val="-2"/>
                <w:kern w:val="0"/>
                <w:sz w:val="24"/>
                <w:szCs w:val="24"/>
                <w:lang w:eastAsia="en-US"/>
              </w:rPr>
              <w:t>填平；可就地收集附近的枯枝插于种植穴周边、并用整地时清除</w:t>
            </w:r>
            <w:r>
              <w:rPr>
                <w:rFonts w:ascii="宋体" w:hAnsi="宋体" w:eastAsia="宋体" w:cs="宋体"/>
                <w:snapToGrid w:val="0"/>
                <w:color w:val="auto"/>
                <w:spacing w:val="-3"/>
                <w:kern w:val="0"/>
                <w:sz w:val="24"/>
                <w:szCs w:val="24"/>
                <w:lang w:eastAsia="en-US"/>
              </w:rPr>
              <w:t>晾干的灌</w:t>
            </w:r>
            <w:r>
              <w:rPr>
                <w:rFonts w:ascii="宋体" w:hAnsi="宋体" w:eastAsia="宋体" w:cs="宋体"/>
                <w:snapToGrid w:val="0"/>
                <w:color w:val="auto"/>
                <w:spacing w:val="-2"/>
                <w:kern w:val="0"/>
                <w:sz w:val="24"/>
                <w:szCs w:val="24"/>
                <w:lang w:eastAsia="en-US"/>
              </w:rPr>
              <w:t>草覆盖苗木根部以减少水分蒸发，若条件具备可采取覆可降解地</w:t>
            </w:r>
            <w:r>
              <w:rPr>
                <w:rFonts w:ascii="宋体" w:hAnsi="宋体" w:eastAsia="宋体" w:cs="宋体"/>
                <w:snapToGrid w:val="0"/>
                <w:color w:val="auto"/>
                <w:spacing w:val="-3"/>
                <w:kern w:val="0"/>
                <w:sz w:val="24"/>
                <w:szCs w:val="24"/>
                <w:lang w:eastAsia="en-US"/>
              </w:rPr>
              <w:t>膜、使用</w:t>
            </w:r>
            <w:r>
              <w:rPr>
                <w:rFonts w:ascii="宋体" w:hAnsi="宋体" w:eastAsia="宋体" w:cs="宋体"/>
                <w:snapToGrid w:val="0"/>
                <w:color w:val="auto"/>
                <w:spacing w:val="-1"/>
                <w:kern w:val="0"/>
                <w:sz w:val="24"/>
                <w:szCs w:val="24"/>
                <w:lang w:eastAsia="en-US"/>
              </w:rPr>
              <w:t>保水剂等保水措施，提高苗木成活率；抚育期间按需实时浇水。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6</w:t>
            </w:r>
            <w:r>
              <w:rPr>
                <w:rFonts w:ascii="宋体" w:hAnsi="宋体" w:eastAsia="宋体" w:cs="宋体"/>
                <w:snapToGrid w:val="0"/>
                <w:color w:val="auto"/>
                <w:spacing w:val="-2"/>
                <w:kern w:val="0"/>
                <w:sz w:val="24"/>
                <w:szCs w:val="24"/>
                <w:lang w:eastAsia="en-US"/>
              </w:rPr>
              <w:t>）幼林抚育</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抚育时间：栽植后</w:t>
            </w:r>
            <w:r>
              <w:rPr>
                <w:rFonts w:ascii="Times New Roman" w:hAnsi="Times New Roman" w:eastAsia="Times New Roman" w:cs="Times New Roman"/>
                <w:snapToGrid w:val="0"/>
                <w:color w:val="auto"/>
                <w:spacing w:val="-2"/>
                <w:kern w:val="0"/>
                <w:sz w:val="24"/>
                <w:szCs w:val="24"/>
                <w:lang w:eastAsia="en-US"/>
              </w:rPr>
              <w:t>3</w:t>
            </w:r>
            <w:r>
              <w:rPr>
                <w:rFonts w:ascii="宋体" w:hAnsi="宋体" w:eastAsia="宋体" w:cs="宋体"/>
                <w:snapToGrid w:val="0"/>
                <w:color w:val="auto"/>
                <w:spacing w:val="-2"/>
                <w:kern w:val="0"/>
                <w:sz w:val="24"/>
                <w:szCs w:val="24"/>
                <w:lang w:eastAsia="en-US"/>
              </w:rPr>
              <w:t>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3"/>
                <w:kern w:val="0"/>
                <w:sz w:val="24"/>
                <w:szCs w:val="24"/>
                <w:lang w:eastAsia="en-US"/>
              </w:rPr>
              <w:t>抚育次数：不少于</w:t>
            </w:r>
            <w:r>
              <w:rPr>
                <w:rFonts w:ascii="Times New Roman" w:hAnsi="Times New Roman" w:eastAsia="Times New Roman" w:cs="Times New Roman"/>
                <w:snapToGrid w:val="0"/>
                <w:color w:val="auto"/>
                <w:spacing w:val="-3"/>
                <w:kern w:val="0"/>
                <w:sz w:val="24"/>
                <w:szCs w:val="24"/>
                <w:lang w:eastAsia="en-US"/>
              </w:rPr>
              <w:t>1-2-2</w:t>
            </w:r>
            <w:r>
              <w:rPr>
                <w:rFonts w:ascii="宋体" w:hAnsi="宋体" w:eastAsia="宋体" w:cs="宋体"/>
                <w:snapToGrid w:val="0"/>
                <w:color w:val="auto"/>
                <w:spacing w:val="-3"/>
                <w:kern w:val="0"/>
                <w:sz w:val="24"/>
                <w:szCs w:val="24"/>
                <w:lang w:eastAsia="en-US"/>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抚育措施：包括补植、培土、浇水、割灌除草除蔓、防治病虫</w:t>
            </w:r>
            <w:r>
              <w:rPr>
                <w:rFonts w:ascii="宋体" w:hAnsi="宋体" w:eastAsia="宋体" w:cs="宋体"/>
                <w:snapToGrid w:val="0"/>
                <w:color w:val="auto"/>
                <w:kern w:val="0"/>
                <w:sz w:val="24"/>
                <w:szCs w:val="24"/>
                <w:lang w:eastAsia="en-US"/>
              </w:rPr>
              <w:t>害等。</w:t>
            </w:r>
            <w:r>
              <w:rPr>
                <w:rFonts w:ascii="宋体" w:hAnsi="宋体" w:eastAsia="宋体" w:cs="宋体"/>
                <w:snapToGrid w:val="0"/>
                <w:color w:val="auto"/>
                <w:spacing w:val="-5"/>
                <w:kern w:val="0"/>
                <w:sz w:val="24"/>
                <w:szCs w:val="24"/>
                <w:lang w:eastAsia="en-US"/>
              </w:rPr>
              <w:t>其中：①补植。对当年成活率在</w:t>
            </w:r>
            <w:r>
              <w:rPr>
                <w:rFonts w:ascii="Times New Roman" w:hAnsi="Times New Roman" w:eastAsia="Times New Roman" w:cs="Times New Roman"/>
                <w:snapToGrid w:val="0"/>
                <w:color w:val="auto"/>
                <w:spacing w:val="-5"/>
                <w:kern w:val="0"/>
                <w:sz w:val="24"/>
                <w:szCs w:val="24"/>
                <w:lang w:eastAsia="en-US"/>
              </w:rPr>
              <w:t>85%</w:t>
            </w:r>
            <w:r>
              <w:rPr>
                <w:rFonts w:ascii="宋体" w:hAnsi="宋体" w:eastAsia="宋体" w:cs="宋体"/>
                <w:snapToGrid w:val="0"/>
                <w:color w:val="auto"/>
                <w:spacing w:val="-5"/>
                <w:kern w:val="0"/>
                <w:sz w:val="24"/>
                <w:szCs w:val="24"/>
                <w:lang w:eastAsia="en-US"/>
              </w:rPr>
              <w:t>以下（第</w:t>
            </w:r>
            <w:r>
              <w:rPr>
                <w:rFonts w:ascii="Times New Roman" w:hAnsi="Times New Roman" w:eastAsia="Times New Roman" w:cs="Times New Roman"/>
                <w:snapToGrid w:val="0"/>
                <w:color w:val="auto"/>
                <w:spacing w:val="-5"/>
                <w:kern w:val="0"/>
                <w:sz w:val="24"/>
                <w:szCs w:val="24"/>
                <w:lang w:eastAsia="en-US"/>
              </w:rPr>
              <w:t>2</w:t>
            </w:r>
            <w:r>
              <w:rPr>
                <w:rFonts w:ascii="宋体" w:hAnsi="宋体" w:eastAsia="宋体" w:cs="宋体"/>
                <w:snapToGrid w:val="0"/>
                <w:color w:val="auto"/>
                <w:spacing w:val="-5"/>
                <w:kern w:val="0"/>
                <w:sz w:val="24"/>
                <w:szCs w:val="24"/>
                <w:lang w:eastAsia="en-US"/>
              </w:rPr>
              <w:t>、</w:t>
            </w:r>
            <w:r>
              <w:rPr>
                <w:rFonts w:ascii="Times New Roman" w:hAnsi="Times New Roman" w:eastAsia="Times New Roman" w:cs="Times New Roman"/>
                <w:snapToGrid w:val="0"/>
                <w:color w:val="auto"/>
                <w:spacing w:val="-5"/>
                <w:kern w:val="0"/>
                <w:sz w:val="24"/>
                <w:szCs w:val="24"/>
                <w:lang w:eastAsia="en-US"/>
              </w:rPr>
              <w:t>3</w:t>
            </w:r>
            <w:r>
              <w:rPr>
                <w:rFonts w:ascii="宋体" w:hAnsi="宋体" w:eastAsia="宋体" w:cs="宋体"/>
                <w:snapToGrid w:val="0"/>
                <w:color w:val="auto"/>
                <w:spacing w:val="-5"/>
                <w:kern w:val="0"/>
                <w:sz w:val="24"/>
                <w:szCs w:val="24"/>
                <w:lang w:eastAsia="en-US"/>
              </w:rPr>
              <w:t>年保存率在</w:t>
            </w:r>
            <w:r>
              <w:rPr>
                <w:rFonts w:ascii="Times New Roman" w:hAnsi="Times New Roman" w:eastAsia="Times New Roman" w:cs="Times New Roman"/>
                <w:snapToGrid w:val="0"/>
                <w:color w:val="auto"/>
                <w:spacing w:val="-5"/>
                <w:kern w:val="0"/>
                <w:sz w:val="24"/>
                <w:szCs w:val="24"/>
                <w:lang w:eastAsia="en-US"/>
              </w:rPr>
              <w:t>80%</w:t>
            </w:r>
            <w:r>
              <w:rPr>
                <w:rFonts w:ascii="宋体" w:hAnsi="宋体" w:eastAsia="宋体" w:cs="宋体"/>
                <w:snapToGrid w:val="0"/>
                <w:color w:val="auto"/>
                <w:spacing w:val="-5"/>
                <w:kern w:val="0"/>
                <w:sz w:val="24"/>
                <w:szCs w:val="24"/>
                <w:lang w:eastAsia="en-US"/>
              </w:rPr>
              <w:t>以下）</w:t>
            </w:r>
            <w:r>
              <w:rPr>
                <w:rFonts w:ascii="宋体" w:hAnsi="宋体" w:eastAsia="宋体" w:cs="宋体"/>
                <w:snapToGrid w:val="0"/>
                <w:color w:val="auto"/>
                <w:spacing w:val="-2"/>
                <w:kern w:val="0"/>
                <w:sz w:val="24"/>
                <w:szCs w:val="24"/>
                <w:lang w:eastAsia="en-US"/>
              </w:rPr>
              <w:t>的造林小班应按设计密度适时进行补植，保证造林成效。补植时</w:t>
            </w:r>
            <w:r>
              <w:rPr>
                <w:rFonts w:ascii="宋体" w:hAnsi="宋体" w:eastAsia="宋体" w:cs="宋体"/>
                <w:snapToGrid w:val="0"/>
                <w:color w:val="auto"/>
                <w:spacing w:val="-3"/>
                <w:kern w:val="0"/>
                <w:sz w:val="24"/>
                <w:szCs w:val="24"/>
                <w:lang w:eastAsia="en-US"/>
              </w:rPr>
              <w:t>间为次年</w:t>
            </w:r>
            <w:r>
              <w:rPr>
                <w:rFonts w:ascii="宋体" w:hAnsi="宋体" w:eastAsia="宋体" w:cs="宋体"/>
                <w:snapToGrid w:val="0"/>
                <w:color w:val="auto"/>
                <w:spacing w:val="-8"/>
                <w:kern w:val="0"/>
                <w:sz w:val="24"/>
                <w:szCs w:val="24"/>
                <w:lang w:eastAsia="en-US"/>
              </w:rPr>
              <w:t>和第三年造林时节。补植苗木种类和规格要求同栽</w:t>
            </w:r>
            <w:r>
              <w:rPr>
                <w:rFonts w:ascii="宋体" w:hAnsi="宋体" w:eastAsia="宋体" w:cs="宋体"/>
                <w:snapToGrid w:val="0"/>
                <w:color w:val="auto"/>
                <w:spacing w:val="-9"/>
                <w:kern w:val="0"/>
                <w:sz w:val="24"/>
                <w:szCs w:val="24"/>
                <w:lang w:eastAsia="en-US"/>
              </w:rPr>
              <w:t>植时相同。补植率</w:t>
            </w:r>
            <w:r>
              <w:rPr>
                <w:rFonts w:ascii="Times New Roman" w:hAnsi="Times New Roman" w:eastAsia="Times New Roman" w:cs="Times New Roman"/>
                <w:snapToGrid w:val="0"/>
                <w:color w:val="auto"/>
                <w:spacing w:val="-9"/>
                <w:kern w:val="0"/>
                <w:sz w:val="24"/>
                <w:szCs w:val="24"/>
                <w:lang w:eastAsia="en-US"/>
              </w:rPr>
              <w:t>10%</w:t>
            </w:r>
            <w:r>
              <w:rPr>
                <w:rFonts w:ascii="宋体" w:hAnsi="宋体" w:eastAsia="宋体" w:cs="宋体"/>
                <w:snapToGrid w:val="0"/>
                <w:color w:val="auto"/>
                <w:spacing w:val="-9"/>
                <w:kern w:val="0"/>
                <w:sz w:val="24"/>
                <w:szCs w:val="24"/>
                <w:lang w:eastAsia="en-US"/>
              </w:rPr>
              <w:t>。</w:t>
            </w:r>
            <w:r>
              <w:rPr>
                <w:rFonts w:ascii="宋体" w:hAnsi="宋体" w:eastAsia="宋体" w:cs="宋体"/>
                <w:snapToGrid w:val="0"/>
                <w:color w:val="auto"/>
                <w:spacing w:val="1"/>
                <w:kern w:val="0"/>
                <w:sz w:val="24"/>
                <w:szCs w:val="24"/>
                <w:lang w:eastAsia="en-US"/>
              </w:rPr>
              <w:t>补植苗木栽植方式参考初植栽植方式。补植后应及</w:t>
            </w:r>
            <w:r>
              <w:rPr>
                <w:rFonts w:ascii="宋体" w:hAnsi="宋体" w:eastAsia="宋体" w:cs="宋体"/>
                <w:snapToGrid w:val="0"/>
                <w:color w:val="auto"/>
                <w:kern w:val="0"/>
                <w:sz w:val="24"/>
                <w:szCs w:val="24"/>
                <w:lang w:eastAsia="en-US"/>
              </w:rPr>
              <w:t>时进行灌水。②浇水，</w:t>
            </w:r>
            <w:r>
              <w:rPr>
                <w:rFonts w:ascii="宋体" w:hAnsi="宋体" w:eastAsia="宋体" w:cs="宋体"/>
                <w:snapToGrid w:val="0"/>
                <w:color w:val="auto"/>
                <w:spacing w:val="-2"/>
                <w:kern w:val="0"/>
                <w:sz w:val="24"/>
                <w:szCs w:val="24"/>
                <w:lang w:eastAsia="en-US"/>
              </w:rPr>
              <w:t>穴浇。栽植后次年及以后各年，在每年造林季节、当年气温最高</w:t>
            </w:r>
            <w:r>
              <w:rPr>
                <w:rFonts w:ascii="宋体" w:hAnsi="宋体" w:eastAsia="宋体" w:cs="宋体"/>
                <w:snapToGrid w:val="0"/>
                <w:color w:val="auto"/>
                <w:spacing w:val="-3"/>
                <w:kern w:val="0"/>
                <w:sz w:val="24"/>
                <w:szCs w:val="24"/>
                <w:lang w:eastAsia="en-US"/>
              </w:rPr>
              <w:t>时、入冬</w:t>
            </w:r>
            <w:r>
              <w:rPr>
                <w:rFonts w:ascii="宋体" w:hAnsi="宋体" w:eastAsia="宋体" w:cs="宋体"/>
                <w:snapToGrid w:val="0"/>
                <w:color w:val="auto"/>
                <w:spacing w:val="-5"/>
                <w:kern w:val="0"/>
                <w:sz w:val="24"/>
                <w:szCs w:val="24"/>
                <w:lang w:eastAsia="en-US"/>
              </w:rPr>
              <w:t>前各灌溉</w:t>
            </w:r>
            <w:r>
              <w:rPr>
                <w:rFonts w:ascii="Times New Roman" w:hAnsi="Times New Roman" w:eastAsia="Times New Roman" w:cs="Times New Roman"/>
                <w:snapToGrid w:val="0"/>
                <w:color w:val="auto"/>
                <w:spacing w:val="-5"/>
                <w:kern w:val="0"/>
                <w:sz w:val="24"/>
                <w:szCs w:val="24"/>
                <w:lang w:eastAsia="en-US"/>
              </w:rPr>
              <w:t>1</w:t>
            </w:r>
            <w:r>
              <w:rPr>
                <w:rFonts w:ascii="宋体" w:hAnsi="宋体" w:eastAsia="宋体" w:cs="宋体"/>
                <w:snapToGrid w:val="0"/>
                <w:color w:val="auto"/>
                <w:spacing w:val="-5"/>
                <w:kern w:val="0"/>
                <w:sz w:val="24"/>
                <w:szCs w:val="24"/>
                <w:lang w:eastAsia="en-US"/>
              </w:rPr>
              <w:t>次，共</w:t>
            </w:r>
            <w:r>
              <w:rPr>
                <w:rFonts w:ascii="Times New Roman" w:hAnsi="Times New Roman" w:eastAsia="Times New Roman" w:cs="Times New Roman"/>
                <w:snapToGrid w:val="0"/>
                <w:color w:val="auto"/>
                <w:spacing w:val="-5"/>
                <w:kern w:val="0"/>
                <w:sz w:val="24"/>
                <w:szCs w:val="24"/>
                <w:lang w:eastAsia="en-US"/>
              </w:rPr>
              <w:t>3</w:t>
            </w:r>
            <w:r>
              <w:rPr>
                <w:rFonts w:ascii="宋体" w:hAnsi="宋体" w:eastAsia="宋体" w:cs="宋体"/>
                <w:snapToGrid w:val="0"/>
                <w:color w:val="auto"/>
                <w:spacing w:val="-5"/>
                <w:kern w:val="0"/>
                <w:sz w:val="24"/>
                <w:szCs w:val="24"/>
                <w:lang w:eastAsia="en-US"/>
              </w:rPr>
              <w:t>次。根据苗木生长和天气情况，适当增加或减少灌溉</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3"/>
                <w:kern w:val="0"/>
                <w:sz w:val="24"/>
                <w:szCs w:val="24"/>
                <w:lang w:eastAsia="en-US"/>
              </w:rPr>
              <w:t>次数。③培土扶苗。对歪倒苗木要扶正培土，适当收集苗木附近土壤进行</w:t>
            </w:r>
            <w:r>
              <w:rPr>
                <w:rFonts w:ascii="宋体" w:hAnsi="宋体" w:eastAsia="宋体" w:cs="宋体"/>
                <w:snapToGrid w:val="0"/>
                <w:color w:val="auto"/>
                <w:spacing w:val="-2"/>
                <w:kern w:val="0"/>
                <w:sz w:val="24"/>
                <w:szCs w:val="24"/>
                <w:lang w:eastAsia="en-US"/>
              </w:rPr>
              <w:t>培土。培土时注意修筑集水圈、树盘或鱼鳞坑，以增加保蓄水</w:t>
            </w:r>
            <w:r>
              <w:rPr>
                <w:rFonts w:ascii="宋体" w:hAnsi="宋体" w:eastAsia="宋体" w:cs="宋体"/>
                <w:snapToGrid w:val="0"/>
                <w:color w:val="auto"/>
                <w:spacing w:val="-3"/>
                <w:kern w:val="0"/>
                <w:sz w:val="24"/>
                <w:szCs w:val="24"/>
                <w:lang w:eastAsia="en-US"/>
              </w:rPr>
              <w:t>土能力。④</w:t>
            </w:r>
            <w:r>
              <w:rPr>
                <w:rFonts w:ascii="宋体" w:hAnsi="宋体" w:eastAsia="宋体" w:cs="宋体"/>
                <w:snapToGrid w:val="0"/>
                <w:color w:val="auto"/>
                <w:spacing w:val="-2"/>
                <w:kern w:val="0"/>
                <w:sz w:val="24"/>
                <w:szCs w:val="24"/>
                <w:lang w:eastAsia="en-US"/>
              </w:rPr>
              <w:t>松土除草。一般不松土，只在土壤板结严重影响到苗木</w:t>
            </w:r>
            <w:r>
              <w:rPr>
                <w:rFonts w:ascii="宋体" w:hAnsi="宋体" w:eastAsia="宋体" w:cs="宋体"/>
                <w:snapToGrid w:val="0"/>
                <w:color w:val="auto"/>
                <w:spacing w:val="-3"/>
                <w:kern w:val="0"/>
                <w:sz w:val="24"/>
                <w:szCs w:val="24"/>
                <w:lang w:eastAsia="en-US"/>
              </w:rPr>
              <w:t>生长时候才松土除</w:t>
            </w:r>
            <w:r>
              <w:rPr>
                <w:rFonts w:ascii="宋体" w:hAnsi="宋体" w:eastAsia="宋体" w:cs="宋体"/>
                <w:snapToGrid w:val="0"/>
                <w:color w:val="auto"/>
                <w:spacing w:val="-6"/>
                <w:kern w:val="0"/>
                <w:sz w:val="24"/>
                <w:szCs w:val="24"/>
                <w:lang w:eastAsia="en-US"/>
              </w:rPr>
              <w:t>草，松土在苗木周围</w:t>
            </w:r>
            <w:r>
              <w:rPr>
                <w:rFonts w:ascii="Times New Roman" w:hAnsi="Times New Roman" w:eastAsia="Times New Roman" w:cs="Times New Roman"/>
                <w:snapToGrid w:val="0"/>
                <w:color w:val="auto"/>
                <w:spacing w:val="-6"/>
                <w:kern w:val="0"/>
                <w:sz w:val="24"/>
                <w:szCs w:val="24"/>
                <w:lang w:eastAsia="en-US"/>
              </w:rPr>
              <w:t>50cm</w:t>
            </w:r>
            <w:r>
              <w:rPr>
                <w:rFonts w:ascii="宋体" w:hAnsi="宋体" w:eastAsia="宋体" w:cs="宋体"/>
                <w:snapToGrid w:val="0"/>
                <w:color w:val="auto"/>
                <w:spacing w:val="-6"/>
                <w:kern w:val="0"/>
                <w:sz w:val="24"/>
                <w:szCs w:val="24"/>
                <w:lang w:eastAsia="en-US"/>
              </w:rPr>
              <w:t>范围内进行，要求里浅外深，不伤害苗木根系。</w:t>
            </w:r>
            <w:r>
              <w:rPr>
                <w:rFonts w:ascii="宋体" w:hAnsi="宋体" w:eastAsia="宋体" w:cs="宋体"/>
                <w:snapToGrid w:val="0"/>
                <w:color w:val="auto"/>
                <w:spacing w:val="7"/>
                <w:kern w:val="0"/>
                <w:sz w:val="24"/>
                <w:szCs w:val="24"/>
                <w:lang w:eastAsia="en-US"/>
              </w:rPr>
              <w:t>一般不除草，只在杂草影响到乔木正常生长时候进行，除</w:t>
            </w:r>
            <w:r>
              <w:rPr>
                <w:rFonts w:ascii="宋体" w:hAnsi="宋体" w:eastAsia="宋体" w:cs="宋体"/>
                <w:snapToGrid w:val="0"/>
                <w:color w:val="auto"/>
                <w:spacing w:val="6"/>
                <w:kern w:val="0"/>
                <w:sz w:val="24"/>
                <w:szCs w:val="24"/>
                <w:lang w:eastAsia="en-US"/>
              </w:rPr>
              <w:t>草在苗木周围</w:t>
            </w:r>
            <w:r>
              <w:rPr>
                <w:rFonts w:ascii="Times New Roman" w:hAnsi="Times New Roman" w:eastAsia="Times New Roman" w:cs="Times New Roman"/>
                <w:snapToGrid w:val="0"/>
                <w:color w:val="auto"/>
                <w:spacing w:val="-11"/>
                <w:kern w:val="0"/>
                <w:sz w:val="24"/>
                <w:szCs w:val="24"/>
                <w:lang w:eastAsia="en-US"/>
              </w:rPr>
              <w:t>50cm</w:t>
            </w:r>
            <w:r>
              <w:rPr>
                <w:rFonts w:ascii="宋体" w:hAnsi="宋体" w:eastAsia="宋体" w:cs="宋体"/>
                <w:snapToGrid w:val="0"/>
                <w:color w:val="auto"/>
                <w:spacing w:val="-11"/>
                <w:kern w:val="0"/>
                <w:sz w:val="24"/>
                <w:szCs w:val="24"/>
                <w:lang w:eastAsia="en-US"/>
              </w:rPr>
              <w:t>范围内进行。第</w:t>
            </w:r>
            <w:r>
              <w:rPr>
                <w:rFonts w:ascii="Times New Roman" w:hAnsi="Times New Roman" w:eastAsia="Times New Roman" w:cs="Times New Roman"/>
                <w:snapToGrid w:val="0"/>
                <w:color w:val="auto"/>
                <w:spacing w:val="-11"/>
                <w:kern w:val="0"/>
                <w:sz w:val="24"/>
                <w:szCs w:val="24"/>
                <w:lang w:eastAsia="en-US"/>
              </w:rPr>
              <w:t>1</w:t>
            </w:r>
            <w:r>
              <w:rPr>
                <w:rFonts w:ascii="宋体" w:hAnsi="宋体" w:eastAsia="宋体" w:cs="宋体"/>
                <w:snapToGrid w:val="0"/>
                <w:color w:val="auto"/>
                <w:spacing w:val="-11"/>
                <w:kern w:val="0"/>
                <w:sz w:val="24"/>
                <w:szCs w:val="24"/>
                <w:lang w:eastAsia="en-US"/>
              </w:rPr>
              <w:t>次抚育为锄抚，锄抚深度</w:t>
            </w:r>
            <w:r>
              <w:rPr>
                <w:rFonts w:ascii="Times New Roman" w:hAnsi="Times New Roman" w:eastAsia="Times New Roman" w:cs="Times New Roman"/>
                <w:snapToGrid w:val="0"/>
                <w:color w:val="auto"/>
                <w:spacing w:val="-11"/>
                <w:kern w:val="0"/>
                <w:sz w:val="24"/>
                <w:szCs w:val="24"/>
                <w:lang w:eastAsia="en-US"/>
              </w:rPr>
              <w:t>10cm-15cm</w:t>
            </w:r>
            <w:r>
              <w:rPr>
                <w:rFonts w:ascii="宋体" w:hAnsi="宋体" w:eastAsia="宋体" w:cs="宋体"/>
                <w:snapToGrid w:val="0"/>
                <w:color w:val="auto"/>
                <w:spacing w:val="-11"/>
                <w:kern w:val="0"/>
                <w:sz w:val="24"/>
                <w:szCs w:val="24"/>
                <w:lang w:eastAsia="en-US"/>
              </w:rPr>
              <w:t>；第</w:t>
            </w:r>
            <w:r>
              <w:rPr>
                <w:rFonts w:ascii="Times New Roman" w:hAnsi="Times New Roman" w:eastAsia="Times New Roman" w:cs="Times New Roman"/>
                <w:snapToGrid w:val="0"/>
                <w:color w:val="auto"/>
                <w:spacing w:val="-11"/>
                <w:kern w:val="0"/>
                <w:sz w:val="24"/>
                <w:szCs w:val="24"/>
                <w:lang w:eastAsia="en-US"/>
              </w:rPr>
              <w:t>2</w:t>
            </w:r>
            <w:r>
              <w:rPr>
                <w:rFonts w:ascii="宋体" w:hAnsi="宋体" w:eastAsia="宋体" w:cs="宋体"/>
                <w:snapToGrid w:val="0"/>
                <w:color w:val="auto"/>
                <w:spacing w:val="-11"/>
                <w:kern w:val="0"/>
                <w:sz w:val="24"/>
                <w:szCs w:val="24"/>
                <w:lang w:eastAsia="en-US"/>
              </w:rPr>
              <w:t>、</w:t>
            </w:r>
            <w:r>
              <w:rPr>
                <w:rFonts w:ascii="Times New Roman" w:hAnsi="Times New Roman" w:eastAsia="Times New Roman" w:cs="Times New Roman"/>
                <w:snapToGrid w:val="0"/>
                <w:color w:val="auto"/>
                <w:spacing w:val="-11"/>
                <w:kern w:val="0"/>
                <w:sz w:val="24"/>
                <w:szCs w:val="24"/>
                <w:lang w:eastAsia="en-US"/>
              </w:rPr>
              <w:t>3</w:t>
            </w:r>
            <w:r>
              <w:rPr>
                <w:rFonts w:ascii="宋体" w:hAnsi="宋体" w:eastAsia="宋体" w:cs="宋体"/>
                <w:snapToGrid w:val="0"/>
                <w:color w:val="auto"/>
                <w:spacing w:val="-11"/>
                <w:kern w:val="0"/>
                <w:sz w:val="24"/>
                <w:szCs w:val="24"/>
                <w:lang w:eastAsia="en-US"/>
              </w:rPr>
              <w:t>、</w:t>
            </w:r>
            <w:r>
              <w:rPr>
                <w:rFonts w:ascii="Times New Roman" w:hAnsi="Times New Roman" w:eastAsia="Times New Roman" w:cs="Times New Roman"/>
                <w:snapToGrid w:val="0"/>
                <w:color w:val="auto"/>
                <w:spacing w:val="-11"/>
                <w:kern w:val="0"/>
                <w:sz w:val="24"/>
                <w:szCs w:val="24"/>
                <w:lang w:eastAsia="en-US"/>
              </w:rPr>
              <w:t>4</w:t>
            </w:r>
            <w:r>
              <w:rPr>
                <w:rFonts w:ascii="宋体" w:hAnsi="宋体" w:eastAsia="宋体" w:cs="宋体"/>
                <w:snapToGrid w:val="0"/>
                <w:color w:val="auto"/>
                <w:spacing w:val="-11"/>
                <w:kern w:val="0"/>
                <w:sz w:val="24"/>
                <w:szCs w:val="24"/>
                <w:lang w:eastAsia="en-US"/>
              </w:rPr>
              <w:t>、</w:t>
            </w:r>
            <w:r>
              <w:rPr>
                <w:rFonts w:ascii="Times New Roman" w:hAnsi="Times New Roman" w:eastAsia="Times New Roman" w:cs="Times New Roman"/>
                <w:snapToGrid w:val="0"/>
                <w:color w:val="auto"/>
                <w:spacing w:val="-2"/>
                <w:kern w:val="0"/>
                <w:sz w:val="24"/>
                <w:szCs w:val="24"/>
                <w:lang w:eastAsia="en-US"/>
              </w:rPr>
              <w:t>5</w:t>
            </w:r>
            <w:r>
              <w:rPr>
                <w:rFonts w:ascii="宋体" w:hAnsi="宋体" w:eastAsia="宋体" w:cs="宋体"/>
                <w:snapToGrid w:val="0"/>
                <w:color w:val="auto"/>
                <w:spacing w:val="-2"/>
                <w:kern w:val="0"/>
                <w:sz w:val="24"/>
                <w:szCs w:val="24"/>
                <w:lang w:eastAsia="en-US"/>
              </w:rPr>
              <w:t>次为刀抚，砍除幼苗周围的杂灌、杂草。</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7</w:t>
            </w:r>
            <w:r>
              <w:rPr>
                <w:rFonts w:ascii="宋体" w:hAnsi="宋体" w:eastAsia="宋体" w:cs="宋体"/>
                <w:snapToGrid w:val="0"/>
                <w:color w:val="auto"/>
                <w:spacing w:val="-2"/>
                <w:kern w:val="0"/>
                <w:sz w:val="24"/>
                <w:szCs w:val="24"/>
                <w:lang w:eastAsia="en-US"/>
              </w:rPr>
              <w:t>）幼林管护</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管护规模：本次集约人工造林的</w:t>
            </w:r>
            <w:r>
              <w:rPr>
                <w:rFonts w:ascii="Times New Roman" w:hAnsi="Times New Roman" w:eastAsia="Times New Roman" w:cs="Times New Roman"/>
                <w:snapToGrid w:val="0"/>
                <w:color w:val="auto"/>
                <w:spacing w:val="-1"/>
                <w:kern w:val="0"/>
                <w:sz w:val="24"/>
                <w:szCs w:val="24"/>
                <w:lang w:eastAsia="en-US"/>
              </w:rPr>
              <w:t>7552.5</w:t>
            </w:r>
            <w:r>
              <w:rPr>
                <w:rFonts w:ascii="宋体" w:hAnsi="宋体" w:eastAsia="宋体" w:cs="宋体"/>
                <w:snapToGrid w:val="0"/>
                <w:color w:val="auto"/>
                <w:spacing w:val="-1"/>
                <w:kern w:val="0"/>
                <w:sz w:val="24"/>
                <w:szCs w:val="24"/>
                <w:lang w:eastAsia="en-US"/>
              </w:rPr>
              <w:t>亩</w:t>
            </w:r>
            <w:r>
              <w:rPr>
                <w:rFonts w:ascii="宋体" w:hAnsi="宋体" w:eastAsia="宋体" w:cs="宋体"/>
                <w:snapToGrid w:val="0"/>
                <w:color w:val="auto"/>
                <w:spacing w:val="-2"/>
                <w:kern w:val="0"/>
                <w:sz w:val="24"/>
                <w:szCs w:val="24"/>
                <w:lang w:eastAsia="en-US"/>
              </w:rPr>
              <w:t>林地。</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ascii="宋体" w:hAnsi="宋体" w:eastAsia="宋体" w:cs="宋体"/>
                <w:snapToGrid w:val="0"/>
                <w:color w:val="auto"/>
                <w:spacing w:val="-2"/>
                <w:kern w:val="0"/>
                <w:sz w:val="24"/>
                <w:szCs w:val="24"/>
                <w:lang w:eastAsia="en-US"/>
              </w:rPr>
            </w:pPr>
            <w:r>
              <w:rPr>
                <w:rFonts w:ascii="宋体" w:hAnsi="宋体" w:eastAsia="宋体" w:cs="宋体"/>
                <w:snapToGrid w:val="0"/>
                <w:color w:val="auto"/>
                <w:spacing w:val="-3"/>
                <w:kern w:val="0"/>
                <w:sz w:val="24"/>
                <w:szCs w:val="24"/>
                <w:lang w:eastAsia="en-US"/>
              </w:rPr>
              <w:t>管护年限：开始年度为造林当年，管护年限不少于</w:t>
            </w:r>
            <w:r>
              <w:rPr>
                <w:rFonts w:ascii="Times New Roman" w:hAnsi="Times New Roman" w:eastAsia="Times New Roman" w:cs="Times New Roman"/>
                <w:snapToGrid w:val="0"/>
                <w:color w:val="auto"/>
                <w:spacing w:val="-3"/>
                <w:kern w:val="0"/>
                <w:sz w:val="24"/>
                <w:szCs w:val="24"/>
                <w:lang w:eastAsia="en-US"/>
              </w:rPr>
              <w:t>3</w:t>
            </w:r>
            <w:r>
              <w:rPr>
                <w:rFonts w:ascii="宋体" w:hAnsi="宋体" w:eastAsia="宋体" w:cs="宋体"/>
                <w:snapToGrid w:val="0"/>
                <w:color w:val="auto"/>
                <w:spacing w:val="-3"/>
                <w:kern w:val="0"/>
                <w:sz w:val="24"/>
                <w:szCs w:val="24"/>
                <w:lang w:eastAsia="en-US"/>
              </w:rPr>
              <w:t>年。</w:t>
            </w:r>
            <w:r>
              <w:rPr>
                <w:rFonts w:ascii="宋体" w:hAnsi="宋体" w:eastAsia="宋体" w:cs="宋体"/>
                <w:snapToGrid w:val="0"/>
                <w:color w:val="auto"/>
                <w:spacing w:val="-2"/>
                <w:kern w:val="0"/>
                <w:sz w:val="24"/>
                <w:szCs w:val="24"/>
                <w:lang w:eastAsia="en-US"/>
              </w:rPr>
              <w:t>管护人员：按</w:t>
            </w:r>
            <w:r>
              <w:rPr>
                <w:rFonts w:ascii="Times New Roman" w:hAnsi="Times New Roman" w:eastAsia="Times New Roman" w:cs="Times New Roman"/>
                <w:snapToGrid w:val="0"/>
                <w:color w:val="auto"/>
                <w:spacing w:val="-2"/>
                <w:kern w:val="0"/>
                <w:sz w:val="24"/>
                <w:szCs w:val="24"/>
                <w:lang w:eastAsia="en-US"/>
              </w:rPr>
              <w:t>2000</w:t>
            </w:r>
            <w:r>
              <w:rPr>
                <w:rFonts w:ascii="宋体" w:hAnsi="宋体" w:eastAsia="宋体" w:cs="宋体"/>
                <w:snapToGrid w:val="0"/>
                <w:color w:val="auto"/>
                <w:spacing w:val="-2"/>
                <w:kern w:val="0"/>
                <w:sz w:val="24"/>
                <w:szCs w:val="24"/>
                <w:lang w:eastAsia="en-US"/>
              </w:rPr>
              <w:t>亩</w:t>
            </w:r>
            <w:r>
              <w:rPr>
                <w:rFonts w:ascii="Times New Roman" w:hAnsi="Times New Roman" w:eastAsia="Times New Roman" w:cs="Times New Roman"/>
                <w:snapToGrid w:val="0"/>
                <w:color w:val="auto"/>
                <w:spacing w:val="-2"/>
                <w:kern w:val="0"/>
                <w:sz w:val="24"/>
                <w:szCs w:val="24"/>
                <w:lang w:eastAsia="en-US"/>
              </w:rPr>
              <w:t>/</w:t>
            </w:r>
            <w:r>
              <w:rPr>
                <w:rFonts w:ascii="宋体" w:hAnsi="宋体" w:eastAsia="宋体" w:cs="宋体"/>
                <w:snapToGrid w:val="0"/>
                <w:color w:val="auto"/>
                <w:spacing w:val="-2"/>
                <w:kern w:val="0"/>
                <w:sz w:val="24"/>
                <w:szCs w:val="24"/>
                <w:lang w:eastAsia="en-US"/>
              </w:rPr>
              <w:t>人测算，不少于</w:t>
            </w:r>
            <w:r>
              <w:rPr>
                <w:rFonts w:ascii="Times New Roman" w:hAnsi="Times New Roman" w:eastAsia="Times New Roman" w:cs="Times New Roman"/>
                <w:snapToGrid w:val="0"/>
                <w:color w:val="auto"/>
                <w:spacing w:val="-2"/>
                <w:kern w:val="0"/>
                <w:sz w:val="24"/>
                <w:szCs w:val="24"/>
                <w:lang w:eastAsia="en-US"/>
              </w:rPr>
              <w:t>4</w:t>
            </w:r>
            <w:r>
              <w:rPr>
                <w:rFonts w:ascii="宋体" w:hAnsi="宋体" w:eastAsia="宋体" w:cs="宋体"/>
                <w:snapToGrid w:val="0"/>
                <w:color w:val="auto"/>
                <w:spacing w:val="-2"/>
                <w:kern w:val="0"/>
                <w:sz w:val="24"/>
                <w:szCs w:val="24"/>
                <w:lang w:eastAsia="en-US"/>
              </w:rPr>
              <w:t>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3"/>
                <w:kern w:val="0"/>
                <w:sz w:val="24"/>
                <w:szCs w:val="24"/>
                <w:lang w:eastAsia="en-US"/>
              </w:rPr>
              <w:t>管护措施：综合管护、有害生物防控、兽害防控、自然灾害防控等。</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3"/>
                <w:kern w:val="0"/>
                <w:sz w:val="24"/>
                <w:szCs w:val="24"/>
                <w:lang w:eastAsia="en-US"/>
              </w:rPr>
              <w:t>综合管护：管护人员和安排由业主根据以往项目实施经验组织进</w:t>
            </w:r>
            <w:r>
              <w:rPr>
                <w:rFonts w:ascii="宋体" w:hAnsi="宋体" w:eastAsia="宋体" w:cs="宋体"/>
                <w:snapToGrid w:val="0"/>
                <w:color w:val="auto"/>
                <w:spacing w:val="-2"/>
                <w:kern w:val="0"/>
                <w:sz w:val="24"/>
                <w:szCs w:val="24"/>
                <w:lang w:eastAsia="en-US"/>
              </w:rPr>
              <w:t>行。要求：①落实人员和管护责任，建立管护制度，实施管护培训。</w:t>
            </w:r>
            <w:r>
              <w:rPr>
                <w:rFonts w:ascii="宋体" w:hAnsi="宋体" w:eastAsia="宋体" w:cs="宋体"/>
                <w:snapToGrid w:val="0"/>
                <w:color w:val="auto"/>
                <w:spacing w:val="-3"/>
                <w:kern w:val="0"/>
                <w:sz w:val="24"/>
                <w:szCs w:val="24"/>
                <w:lang w:eastAsia="en-US"/>
              </w:rPr>
              <w:t>优先</w:t>
            </w:r>
            <w:r>
              <w:rPr>
                <w:rFonts w:ascii="宋体" w:hAnsi="宋体" w:eastAsia="宋体" w:cs="宋体"/>
                <w:snapToGrid w:val="0"/>
                <w:color w:val="auto"/>
                <w:spacing w:val="-2"/>
                <w:kern w:val="0"/>
                <w:sz w:val="24"/>
                <w:szCs w:val="24"/>
                <w:lang w:eastAsia="en-US"/>
              </w:rPr>
              <w:t>从当地招聘管护员。要和管护人员签订承包管护合同，明确责任、权利、义务和奖惩。②主管部门要进行监督、管理、协调，定期检查管护单位、管护人员制度、措施、巡护等情况。③每年每月巡护次数不得少于</w:t>
            </w:r>
            <w:r>
              <w:rPr>
                <w:rFonts w:ascii="Times New Roman" w:hAnsi="Times New Roman" w:eastAsia="Times New Roman" w:cs="Times New Roman"/>
                <w:snapToGrid w:val="0"/>
                <w:color w:val="auto"/>
                <w:spacing w:val="-2"/>
                <w:kern w:val="0"/>
                <w:sz w:val="24"/>
                <w:szCs w:val="24"/>
                <w:lang w:eastAsia="en-US"/>
              </w:rPr>
              <w:t>2</w:t>
            </w:r>
            <w:r>
              <w:rPr>
                <w:rFonts w:ascii="宋体" w:hAnsi="宋体" w:eastAsia="宋体" w:cs="宋体"/>
                <w:snapToGrid w:val="0"/>
                <w:color w:val="auto"/>
                <w:spacing w:val="-2"/>
                <w:kern w:val="0"/>
                <w:sz w:val="24"/>
                <w:szCs w:val="24"/>
                <w:lang w:eastAsia="en-US"/>
              </w:rPr>
              <w:t>次。</w:t>
            </w:r>
            <w:r>
              <w:rPr>
                <w:rFonts w:ascii="宋体" w:hAnsi="宋体" w:eastAsia="宋体" w:cs="宋体"/>
                <w:snapToGrid w:val="0"/>
                <w:color w:val="auto"/>
                <w:spacing w:val="7"/>
                <w:kern w:val="0"/>
                <w:sz w:val="24"/>
                <w:szCs w:val="24"/>
                <w:lang w:eastAsia="en-US"/>
              </w:rPr>
              <w:t>④管护人员要增加对管护地块巡护的次数，每次巡护情况要进行</w:t>
            </w:r>
            <w:r>
              <w:rPr>
                <w:rFonts w:ascii="宋体" w:hAnsi="宋体" w:eastAsia="宋体" w:cs="宋体"/>
                <w:snapToGrid w:val="0"/>
                <w:color w:val="auto"/>
                <w:spacing w:val="6"/>
                <w:kern w:val="0"/>
                <w:sz w:val="24"/>
                <w:szCs w:val="24"/>
                <w:lang w:eastAsia="en-US"/>
              </w:rPr>
              <w:t>及时记</w:t>
            </w:r>
            <w:r>
              <w:rPr>
                <w:rFonts w:ascii="宋体" w:hAnsi="宋体" w:eastAsia="宋体" w:cs="宋体"/>
                <w:snapToGrid w:val="0"/>
                <w:color w:val="auto"/>
                <w:spacing w:val="-1"/>
                <w:kern w:val="0"/>
                <w:sz w:val="24"/>
                <w:szCs w:val="24"/>
                <w:lang w:eastAsia="en-US"/>
              </w:rPr>
              <w:t>录，对巡护发现的问题要及时汇报。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森林防火：认真贯彻</w:t>
            </w:r>
            <w:r>
              <w:rPr>
                <w:rFonts w:ascii="Times New Roman" w:hAnsi="Times New Roman" w:eastAsia="Times New Roman" w:cs="Times New Roman"/>
                <w:snapToGrid w:val="0"/>
                <w:color w:val="auto"/>
                <w:spacing w:val="-1"/>
                <w:kern w:val="0"/>
                <w:sz w:val="24"/>
                <w:szCs w:val="24"/>
                <w:lang w:eastAsia="en-US"/>
              </w:rPr>
              <w:t>“</w:t>
            </w:r>
            <w:r>
              <w:rPr>
                <w:rFonts w:ascii="宋体" w:hAnsi="宋体" w:eastAsia="宋体" w:cs="宋体"/>
                <w:snapToGrid w:val="0"/>
                <w:color w:val="auto"/>
                <w:spacing w:val="-1"/>
                <w:kern w:val="0"/>
                <w:sz w:val="24"/>
                <w:szCs w:val="24"/>
                <w:lang w:eastAsia="en-US"/>
              </w:rPr>
              <w:t>预防为主、积极消灭</w:t>
            </w:r>
            <w:r>
              <w:rPr>
                <w:rFonts w:ascii="Times New Roman" w:hAnsi="Times New Roman" w:eastAsia="Times New Roman" w:cs="Times New Roman"/>
                <w:snapToGrid w:val="0"/>
                <w:color w:val="auto"/>
                <w:spacing w:val="-1"/>
                <w:kern w:val="0"/>
                <w:sz w:val="24"/>
                <w:szCs w:val="24"/>
                <w:lang w:eastAsia="en-US"/>
              </w:rPr>
              <w:t>”</w:t>
            </w:r>
            <w:r>
              <w:rPr>
                <w:rFonts w:ascii="宋体" w:hAnsi="宋体" w:eastAsia="宋体" w:cs="宋体"/>
                <w:snapToGrid w:val="0"/>
                <w:color w:val="auto"/>
                <w:spacing w:val="-1"/>
                <w:kern w:val="0"/>
                <w:sz w:val="24"/>
                <w:szCs w:val="24"/>
                <w:lang w:eastAsia="en-US"/>
              </w:rPr>
              <w:t>的方针，</w:t>
            </w:r>
            <w:r>
              <w:rPr>
                <w:rFonts w:ascii="宋体" w:hAnsi="宋体" w:eastAsia="宋体" w:cs="宋体"/>
                <w:snapToGrid w:val="0"/>
                <w:color w:val="auto"/>
                <w:spacing w:val="-2"/>
                <w:kern w:val="0"/>
                <w:sz w:val="24"/>
                <w:szCs w:val="24"/>
                <w:lang w:eastAsia="en-US"/>
              </w:rPr>
              <w:t>将造林区的森林防火纳入县森林防火指挥系统，制定规章制度，落实防火责任</w:t>
            </w:r>
            <w:r>
              <w:rPr>
                <w:rFonts w:ascii="宋体" w:hAnsi="宋体" w:eastAsia="宋体" w:cs="宋体"/>
                <w:snapToGrid w:val="0"/>
                <w:color w:val="auto"/>
                <w:spacing w:val="-3"/>
                <w:kern w:val="0"/>
                <w:sz w:val="24"/>
                <w:szCs w:val="24"/>
                <w:lang w:eastAsia="en-US"/>
              </w:rPr>
              <w:t>。管护人员</w:t>
            </w:r>
            <w:r>
              <w:rPr>
                <w:rFonts w:ascii="宋体" w:hAnsi="宋体" w:eastAsia="宋体" w:cs="宋体"/>
                <w:snapToGrid w:val="0"/>
                <w:color w:val="auto"/>
                <w:spacing w:val="-8"/>
                <w:kern w:val="0"/>
                <w:sz w:val="24"/>
                <w:szCs w:val="24"/>
                <w:lang w:eastAsia="en-US"/>
              </w:rPr>
              <w:t>要加强林区用火管理，一旦发生火情，要及时上报，并采取措施积极扑灭。</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有害生物防控：①开展造林地及周边林地的</w:t>
            </w:r>
            <w:r>
              <w:rPr>
                <w:rFonts w:ascii="宋体" w:hAnsi="宋体" w:eastAsia="宋体" w:cs="宋体"/>
                <w:snapToGrid w:val="0"/>
                <w:color w:val="auto"/>
                <w:spacing w:val="-3"/>
                <w:kern w:val="0"/>
                <w:sz w:val="24"/>
                <w:szCs w:val="24"/>
                <w:lang w:eastAsia="en-US"/>
              </w:rPr>
              <w:t>林业有害生物防控预报，</w:t>
            </w:r>
            <w:r>
              <w:rPr>
                <w:rFonts w:ascii="宋体" w:hAnsi="宋体" w:eastAsia="宋体" w:cs="宋体"/>
                <w:snapToGrid w:val="0"/>
                <w:color w:val="auto"/>
                <w:spacing w:val="-2"/>
                <w:kern w:val="0"/>
                <w:sz w:val="24"/>
                <w:szCs w:val="24"/>
                <w:lang w:eastAsia="en-US"/>
              </w:rPr>
              <w:t>有害生物防控预报纳入全县的有害生物防控系统中，统一进行</w:t>
            </w:r>
            <w:r>
              <w:rPr>
                <w:rFonts w:ascii="宋体" w:hAnsi="宋体" w:eastAsia="宋体" w:cs="宋体"/>
                <w:snapToGrid w:val="0"/>
                <w:color w:val="auto"/>
                <w:spacing w:val="-3"/>
                <w:kern w:val="0"/>
                <w:sz w:val="24"/>
                <w:szCs w:val="24"/>
                <w:lang w:eastAsia="en-US"/>
              </w:rPr>
              <w:t>管理。②巡</w:t>
            </w:r>
            <w:r>
              <w:rPr>
                <w:rFonts w:ascii="宋体" w:hAnsi="宋体" w:eastAsia="宋体" w:cs="宋体"/>
                <w:snapToGrid w:val="0"/>
                <w:color w:val="auto"/>
                <w:spacing w:val="-2"/>
                <w:kern w:val="0"/>
                <w:sz w:val="24"/>
                <w:szCs w:val="24"/>
                <w:lang w:eastAsia="en-US"/>
              </w:rPr>
              <w:t>护人员发现有害生物情况应</w:t>
            </w:r>
            <w:r>
              <w:rPr>
                <w:rFonts w:hint="eastAsia" w:ascii="宋体" w:hAnsi="宋体" w:cs="宋体"/>
                <w:snapToGrid w:val="0"/>
                <w:color w:val="auto"/>
                <w:spacing w:val="-2"/>
                <w:kern w:val="0"/>
                <w:sz w:val="24"/>
                <w:szCs w:val="24"/>
                <w:lang w:eastAsia="zh-CN"/>
              </w:rPr>
              <w:t>记入</w:t>
            </w:r>
            <w:r>
              <w:rPr>
                <w:rFonts w:ascii="宋体" w:hAnsi="宋体" w:eastAsia="宋体" w:cs="宋体"/>
                <w:snapToGrid w:val="0"/>
                <w:color w:val="auto"/>
                <w:spacing w:val="-2"/>
                <w:kern w:val="0"/>
                <w:sz w:val="24"/>
                <w:szCs w:val="24"/>
                <w:lang w:eastAsia="en-US"/>
              </w:rPr>
              <w:t>巡护记录，并及时上报。③</w:t>
            </w:r>
            <w:r>
              <w:rPr>
                <w:rFonts w:ascii="宋体" w:hAnsi="宋体" w:eastAsia="宋体" w:cs="宋体"/>
                <w:snapToGrid w:val="0"/>
                <w:color w:val="auto"/>
                <w:spacing w:val="-3"/>
                <w:kern w:val="0"/>
                <w:sz w:val="24"/>
                <w:szCs w:val="24"/>
                <w:lang w:eastAsia="en-US"/>
              </w:rPr>
              <w:t>对发现的有害</w:t>
            </w:r>
            <w:r>
              <w:rPr>
                <w:rFonts w:ascii="宋体" w:hAnsi="宋体" w:eastAsia="宋体" w:cs="宋体"/>
                <w:snapToGrid w:val="0"/>
                <w:color w:val="auto"/>
                <w:spacing w:val="-8"/>
                <w:kern w:val="0"/>
                <w:sz w:val="24"/>
                <w:szCs w:val="24"/>
                <w:lang w:eastAsia="en-US"/>
              </w:rPr>
              <w:t>生物，管护单位应在主管部门及其他技术部门的指导下，及时处置，隔离、</w:t>
            </w:r>
            <w:r>
              <w:rPr>
                <w:rFonts w:ascii="宋体" w:hAnsi="宋体" w:eastAsia="宋体" w:cs="宋体"/>
                <w:snapToGrid w:val="0"/>
                <w:color w:val="auto"/>
                <w:spacing w:val="-2"/>
                <w:kern w:val="0"/>
                <w:sz w:val="24"/>
                <w:szCs w:val="24"/>
                <w:lang w:eastAsia="en-US"/>
              </w:rPr>
              <w:t>处理病虫危害木，减少病源；一旦发现检疫性有害生物，</w:t>
            </w:r>
            <w:r>
              <w:rPr>
                <w:rFonts w:ascii="宋体" w:hAnsi="宋体" w:eastAsia="宋体" w:cs="宋体"/>
                <w:snapToGrid w:val="0"/>
                <w:color w:val="auto"/>
                <w:spacing w:val="-3"/>
                <w:kern w:val="0"/>
                <w:sz w:val="24"/>
                <w:szCs w:val="24"/>
                <w:lang w:eastAsia="en-US"/>
              </w:rPr>
              <w:t>应及时伐除并销</w:t>
            </w:r>
            <w:r>
              <w:rPr>
                <w:rFonts w:ascii="宋体" w:hAnsi="宋体" w:eastAsia="宋体" w:cs="宋体"/>
                <w:snapToGrid w:val="0"/>
                <w:color w:val="auto"/>
                <w:spacing w:val="-2"/>
                <w:kern w:val="0"/>
                <w:sz w:val="24"/>
                <w:szCs w:val="24"/>
                <w:lang w:eastAsia="en-US"/>
              </w:rPr>
              <w:t>毁受害</w:t>
            </w:r>
            <w:r>
              <w:rPr>
                <w:rFonts w:hint="eastAsia" w:ascii="宋体" w:hAnsi="宋体" w:cs="宋体"/>
                <w:snapToGrid w:val="0"/>
                <w:color w:val="auto"/>
                <w:spacing w:val="-2"/>
                <w:kern w:val="0"/>
                <w:sz w:val="24"/>
                <w:szCs w:val="24"/>
                <w:lang w:val="en-US" w:eastAsia="zh-CN"/>
              </w:rPr>
              <w:t>树木</w:t>
            </w:r>
            <w:r>
              <w:rPr>
                <w:rFonts w:ascii="宋体" w:hAnsi="宋体" w:eastAsia="宋体" w:cs="宋体"/>
                <w:snapToGrid w:val="0"/>
                <w:color w:val="auto"/>
                <w:spacing w:val="-2"/>
                <w:kern w:val="0"/>
                <w:sz w:val="24"/>
                <w:szCs w:val="24"/>
                <w:lang w:eastAsia="en-US"/>
              </w:rPr>
              <w:t>。④病虫害发生后宜</w:t>
            </w:r>
            <w:r>
              <w:rPr>
                <w:rFonts w:ascii="宋体" w:hAnsi="宋体" w:eastAsia="宋体" w:cs="宋体"/>
                <w:snapToGrid w:val="0"/>
                <w:color w:val="auto"/>
                <w:spacing w:val="-3"/>
                <w:kern w:val="0"/>
                <w:sz w:val="24"/>
                <w:szCs w:val="24"/>
                <w:lang w:eastAsia="en-US"/>
              </w:rPr>
              <w:t>采</w:t>
            </w:r>
            <w:r>
              <w:rPr>
                <w:rFonts w:ascii="宋体" w:hAnsi="宋体" w:eastAsia="宋体" w:cs="宋体"/>
                <w:snapToGrid w:val="0"/>
                <w:color w:val="auto"/>
                <w:spacing w:val="-2"/>
                <w:kern w:val="0"/>
                <w:sz w:val="24"/>
                <w:szCs w:val="24"/>
                <w:lang w:eastAsia="en-US"/>
              </w:rPr>
              <w:t>用物理、生物防治等无公</w:t>
            </w:r>
            <w:r>
              <w:rPr>
                <w:rFonts w:ascii="宋体" w:hAnsi="宋体" w:eastAsia="宋体" w:cs="宋体"/>
                <w:snapToGrid w:val="0"/>
                <w:color w:val="auto"/>
                <w:spacing w:val="-3"/>
                <w:kern w:val="0"/>
                <w:sz w:val="24"/>
                <w:szCs w:val="24"/>
                <w:lang w:eastAsia="en-US"/>
              </w:rPr>
              <w:t>害防治方法，避免采</w:t>
            </w:r>
            <w:r>
              <w:rPr>
                <w:rFonts w:ascii="宋体" w:hAnsi="宋体" w:eastAsia="宋体" w:cs="宋体"/>
                <w:snapToGrid w:val="0"/>
                <w:color w:val="auto"/>
                <w:spacing w:val="-2"/>
                <w:kern w:val="0"/>
                <w:sz w:val="24"/>
                <w:szCs w:val="24"/>
                <w:lang w:eastAsia="en-US"/>
              </w:rPr>
              <w:t>用单一的化学防治方法。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4"/>
                <w:kern w:val="0"/>
                <w:sz w:val="24"/>
                <w:szCs w:val="24"/>
                <w:lang w:eastAsia="en-US"/>
              </w:rPr>
              <w:t>自然灾害防控：①旱灾：增加灌溉次数。因地制宜采用地膜覆盖、树</w:t>
            </w:r>
            <w:r>
              <w:rPr>
                <w:rFonts w:ascii="宋体" w:hAnsi="宋体" w:eastAsia="宋体" w:cs="宋体"/>
                <w:snapToGrid w:val="0"/>
                <w:color w:val="auto"/>
                <w:spacing w:val="-2"/>
                <w:kern w:val="0"/>
                <w:sz w:val="24"/>
                <w:szCs w:val="24"/>
                <w:lang w:eastAsia="en-US"/>
              </w:rPr>
              <w:t>盘盖石板或盖草保墒、喷洒抗蒸腾剂、盖遮阳网等多种措施，实现</w:t>
            </w:r>
            <w:r>
              <w:rPr>
                <w:rFonts w:ascii="宋体" w:hAnsi="宋体" w:eastAsia="宋体" w:cs="宋体"/>
                <w:snapToGrid w:val="0"/>
                <w:color w:val="auto"/>
                <w:spacing w:val="-3"/>
                <w:kern w:val="0"/>
                <w:sz w:val="24"/>
                <w:szCs w:val="24"/>
                <w:lang w:eastAsia="en-US"/>
              </w:rPr>
              <w:t>保水保</w:t>
            </w:r>
            <w:r>
              <w:rPr>
                <w:rFonts w:ascii="宋体" w:hAnsi="宋体" w:eastAsia="宋体" w:cs="宋体"/>
                <w:snapToGrid w:val="0"/>
                <w:color w:val="auto"/>
                <w:spacing w:val="-2"/>
                <w:kern w:val="0"/>
                <w:sz w:val="24"/>
                <w:szCs w:val="24"/>
                <w:lang w:eastAsia="en-US"/>
              </w:rPr>
              <w:t>墒。②洪涝：及时排水排涝，灾害易发地段设置排水沟，提高造林</w:t>
            </w:r>
            <w:r>
              <w:rPr>
                <w:rFonts w:ascii="宋体" w:hAnsi="宋体" w:eastAsia="宋体" w:cs="宋体"/>
                <w:snapToGrid w:val="0"/>
                <w:color w:val="auto"/>
                <w:spacing w:val="-3"/>
                <w:kern w:val="0"/>
                <w:sz w:val="24"/>
                <w:szCs w:val="24"/>
                <w:lang w:eastAsia="en-US"/>
              </w:rPr>
              <w:t>地的抗</w:t>
            </w:r>
            <w:r>
              <w:rPr>
                <w:rFonts w:ascii="宋体" w:hAnsi="宋体" w:eastAsia="宋体" w:cs="宋体"/>
                <w:snapToGrid w:val="0"/>
                <w:color w:val="auto"/>
                <w:spacing w:val="-2"/>
                <w:kern w:val="0"/>
                <w:sz w:val="24"/>
                <w:szCs w:val="24"/>
                <w:lang w:eastAsia="en-US"/>
              </w:rPr>
              <w:t>涝能力，防止苗木受淹。③风灾：及时做好支撑加固，树体旁加</w:t>
            </w:r>
            <w:r>
              <w:rPr>
                <w:rFonts w:ascii="宋体" w:hAnsi="宋体" w:eastAsia="宋体" w:cs="宋体"/>
                <w:snapToGrid w:val="0"/>
                <w:color w:val="auto"/>
                <w:spacing w:val="-3"/>
                <w:kern w:val="0"/>
                <w:sz w:val="24"/>
                <w:szCs w:val="24"/>
                <w:lang w:eastAsia="en-US"/>
              </w:rPr>
              <w:t>立支撑</w:t>
            </w:r>
            <w:r>
              <w:rPr>
                <w:rFonts w:ascii="宋体" w:hAnsi="宋体" w:eastAsia="宋体" w:cs="宋体"/>
                <w:snapToGrid w:val="0"/>
                <w:color w:val="auto"/>
                <w:spacing w:val="-2"/>
                <w:kern w:val="0"/>
                <w:sz w:val="24"/>
                <w:szCs w:val="24"/>
                <w:lang w:eastAsia="en-US"/>
              </w:rPr>
              <w:t>杆，必要时摘去部分树叶减轻受力。④防晒：如管护期间旱季温度</w:t>
            </w:r>
            <w:r>
              <w:rPr>
                <w:rFonts w:ascii="宋体" w:hAnsi="宋体" w:eastAsia="宋体" w:cs="宋体"/>
                <w:snapToGrid w:val="0"/>
                <w:color w:val="auto"/>
                <w:spacing w:val="-3"/>
                <w:kern w:val="0"/>
                <w:sz w:val="24"/>
                <w:szCs w:val="24"/>
                <w:lang w:eastAsia="en-US"/>
              </w:rPr>
              <w:t>较高，</w:t>
            </w:r>
            <w:r>
              <w:rPr>
                <w:rFonts w:ascii="宋体" w:hAnsi="宋体" w:eastAsia="宋体" w:cs="宋体"/>
                <w:snapToGrid w:val="0"/>
                <w:color w:val="auto"/>
                <w:spacing w:val="-2"/>
                <w:kern w:val="0"/>
                <w:sz w:val="24"/>
                <w:szCs w:val="24"/>
                <w:lang w:eastAsia="en-US"/>
              </w:rPr>
              <w:t>盖遮阳网，这样能较</w:t>
            </w:r>
            <w:r>
              <w:rPr>
                <w:rFonts w:hint="eastAsia" w:ascii="宋体" w:hAnsi="宋体" w:cs="宋体"/>
                <w:snapToGrid w:val="0"/>
                <w:color w:val="auto"/>
                <w:spacing w:val="-2"/>
                <w:kern w:val="0"/>
                <w:sz w:val="24"/>
                <w:szCs w:val="24"/>
                <w:lang w:eastAsia="zh-CN"/>
              </w:rPr>
              <w:t>好地</w:t>
            </w:r>
            <w:r>
              <w:rPr>
                <w:rFonts w:ascii="宋体" w:hAnsi="宋体" w:eastAsia="宋体" w:cs="宋体"/>
                <w:snapToGrid w:val="0"/>
                <w:color w:val="auto"/>
                <w:spacing w:val="-2"/>
                <w:kern w:val="0"/>
                <w:sz w:val="24"/>
                <w:szCs w:val="24"/>
                <w:lang w:eastAsia="en-US"/>
              </w:rPr>
              <w:t>挡住太阳的直射光，使树叶免遭灼伤。⑤</w:t>
            </w:r>
            <w:r>
              <w:rPr>
                <w:rFonts w:ascii="宋体" w:hAnsi="宋体" w:eastAsia="宋体" w:cs="宋体"/>
                <w:snapToGrid w:val="0"/>
                <w:color w:val="auto"/>
                <w:spacing w:val="-3"/>
                <w:kern w:val="0"/>
                <w:sz w:val="24"/>
                <w:szCs w:val="24"/>
                <w:lang w:eastAsia="en-US"/>
              </w:rPr>
              <w:t>冻害：</w:t>
            </w:r>
            <w:r>
              <w:rPr>
                <w:rFonts w:ascii="宋体" w:hAnsi="宋体" w:eastAsia="宋体" w:cs="宋体"/>
                <w:snapToGrid w:val="0"/>
                <w:color w:val="auto"/>
                <w:spacing w:val="-2"/>
                <w:kern w:val="0"/>
                <w:sz w:val="24"/>
                <w:szCs w:val="24"/>
                <w:lang w:eastAsia="en-US"/>
              </w:rPr>
              <w:t>管护期间，温度较低，影响到树木生长，要做好抗寒措施。</w:t>
            </w:r>
            <w:r>
              <w:rPr>
                <w:rFonts w:ascii="宋体" w:hAnsi="宋体" w:eastAsia="宋体" w:cs="宋体"/>
                <w:snapToGrid w:val="0"/>
                <w:color w:val="auto"/>
                <w:spacing w:val="-3"/>
                <w:kern w:val="0"/>
                <w:sz w:val="24"/>
                <w:szCs w:val="24"/>
                <w:lang w:eastAsia="en-US"/>
              </w:rPr>
              <w:t>一要用草绳绕</w:t>
            </w:r>
            <w:r>
              <w:rPr>
                <w:rFonts w:ascii="宋体" w:hAnsi="宋体" w:eastAsia="宋体" w:cs="宋体"/>
                <w:snapToGrid w:val="0"/>
                <w:color w:val="auto"/>
                <w:spacing w:val="-2"/>
                <w:kern w:val="0"/>
                <w:sz w:val="24"/>
                <w:szCs w:val="24"/>
                <w:lang w:eastAsia="en-US"/>
              </w:rPr>
              <w:t>干包裹保暖；二是搭建简易的塑料薄膜温室；三是选择一天</w:t>
            </w:r>
            <w:r>
              <w:rPr>
                <w:rFonts w:ascii="宋体" w:hAnsi="宋体" w:eastAsia="宋体" w:cs="宋体"/>
                <w:snapToGrid w:val="0"/>
                <w:color w:val="auto"/>
                <w:spacing w:val="-3"/>
                <w:kern w:val="0"/>
                <w:sz w:val="24"/>
                <w:szCs w:val="24"/>
                <w:lang w:eastAsia="en-US"/>
              </w:rPr>
              <w:t>中温度相对较</w:t>
            </w:r>
            <w:r>
              <w:rPr>
                <w:rFonts w:ascii="宋体" w:hAnsi="宋体" w:eastAsia="宋体" w:cs="宋体"/>
                <w:snapToGrid w:val="0"/>
                <w:color w:val="auto"/>
                <w:spacing w:val="-1"/>
                <w:kern w:val="0"/>
                <w:sz w:val="24"/>
                <w:szCs w:val="24"/>
                <w:lang w:eastAsia="en-US"/>
              </w:rPr>
              <w:t>高的中午浇水或叶面喷水。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3"/>
                <w:kern w:val="0"/>
                <w:sz w:val="24"/>
                <w:szCs w:val="24"/>
                <w:lang w:eastAsia="en-US"/>
              </w:rPr>
              <w:t>防火防盗宣传：①巡护时要注意各种火源情况，发现的火灾等情况要</w:t>
            </w:r>
            <w:r>
              <w:rPr>
                <w:rFonts w:ascii="宋体" w:hAnsi="宋体" w:eastAsia="宋体" w:cs="宋体"/>
                <w:snapToGrid w:val="0"/>
                <w:color w:val="auto"/>
                <w:spacing w:val="-2"/>
                <w:kern w:val="0"/>
                <w:sz w:val="24"/>
                <w:szCs w:val="24"/>
                <w:lang w:eastAsia="en-US"/>
              </w:rPr>
              <w:t>及时汇报。将造林地块纳入全县森林防火管理体系中，严格贯彻森</w:t>
            </w:r>
            <w:r>
              <w:rPr>
                <w:rFonts w:ascii="宋体" w:hAnsi="宋体" w:eastAsia="宋体" w:cs="宋体"/>
                <w:snapToGrid w:val="0"/>
                <w:color w:val="auto"/>
                <w:spacing w:val="-3"/>
                <w:kern w:val="0"/>
                <w:sz w:val="24"/>
                <w:szCs w:val="24"/>
                <w:lang w:eastAsia="en-US"/>
              </w:rPr>
              <w:t>林防火</w:t>
            </w:r>
            <w:r>
              <w:rPr>
                <w:rFonts w:ascii="宋体" w:hAnsi="宋体" w:eastAsia="宋体" w:cs="宋体"/>
                <w:snapToGrid w:val="0"/>
                <w:color w:val="auto"/>
                <w:spacing w:val="-2"/>
                <w:kern w:val="0"/>
                <w:sz w:val="24"/>
                <w:szCs w:val="24"/>
                <w:lang w:eastAsia="en-US"/>
              </w:rPr>
              <w:t>条例，应积极做好森林防火工作，落实防火措施，严控野外</w:t>
            </w:r>
            <w:r>
              <w:rPr>
                <w:rFonts w:ascii="宋体" w:hAnsi="宋体" w:eastAsia="宋体" w:cs="宋体"/>
                <w:snapToGrid w:val="0"/>
                <w:color w:val="auto"/>
                <w:spacing w:val="-3"/>
                <w:kern w:val="0"/>
                <w:sz w:val="24"/>
                <w:szCs w:val="24"/>
                <w:lang w:eastAsia="en-US"/>
              </w:rPr>
              <w:t>用火，严防森</w:t>
            </w:r>
            <w:r>
              <w:rPr>
                <w:rFonts w:ascii="宋体" w:hAnsi="宋体" w:eastAsia="宋体" w:cs="宋体"/>
                <w:snapToGrid w:val="0"/>
                <w:color w:val="auto"/>
                <w:spacing w:val="-2"/>
                <w:kern w:val="0"/>
                <w:sz w:val="24"/>
                <w:szCs w:val="24"/>
                <w:lang w:eastAsia="en-US"/>
              </w:rPr>
              <w:t>林火灾。②加强巡护次数，对滥伐和盗伐林木、破坏森林资源的任</w:t>
            </w:r>
            <w:r>
              <w:rPr>
                <w:rFonts w:ascii="宋体" w:hAnsi="宋体" w:eastAsia="宋体" w:cs="宋体"/>
                <w:snapToGrid w:val="0"/>
                <w:color w:val="auto"/>
                <w:spacing w:val="-3"/>
                <w:kern w:val="0"/>
                <w:sz w:val="24"/>
                <w:szCs w:val="24"/>
                <w:lang w:eastAsia="en-US"/>
              </w:rPr>
              <w:t>何单位</w:t>
            </w:r>
            <w:r>
              <w:rPr>
                <w:rFonts w:ascii="宋体" w:hAnsi="宋体" w:eastAsia="宋体" w:cs="宋体"/>
                <w:snapToGrid w:val="0"/>
                <w:color w:val="auto"/>
                <w:spacing w:val="-2"/>
                <w:kern w:val="0"/>
                <w:sz w:val="24"/>
                <w:szCs w:val="24"/>
                <w:lang w:eastAsia="en-US"/>
              </w:rPr>
              <w:t>或者个人，及时劝阻、依法严肃处理。林业主管部门要认真</w:t>
            </w:r>
            <w:r>
              <w:rPr>
                <w:rFonts w:ascii="宋体" w:hAnsi="宋体" w:eastAsia="宋体" w:cs="宋体"/>
                <w:snapToGrid w:val="0"/>
                <w:color w:val="auto"/>
                <w:spacing w:val="-3"/>
                <w:kern w:val="0"/>
                <w:sz w:val="24"/>
                <w:szCs w:val="24"/>
                <w:lang w:eastAsia="en-US"/>
              </w:rPr>
              <w:t>履行保护森林</w:t>
            </w:r>
            <w:r>
              <w:rPr>
                <w:rFonts w:ascii="宋体" w:hAnsi="宋体" w:eastAsia="宋体" w:cs="宋体"/>
                <w:snapToGrid w:val="0"/>
                <w:color w:val="auto"/>
                <w:spacing w:val="-2"/>
                <w:kern w:val="0"/>
                <w:sz w:val="24"/>
                <w:szCs w:val="24"/>
                <w:lang w:eastAsia="en-US"/>
              </w:rPr>
              <w:t>资源的职责，防止滥伐和盗伐林木的现象发生。③加大宣传</w:t>
            </w:r>
            <w:r>
              <w:rPr>
                <w:rFonts w:ascii="宋体" w:hAnsi="宋体" w:eastAsia="宋体" w:cs="宋体"/>
                <w:snapToGrid w:val="0"/>
                <w:color w:val="auto"/>
                <w:spacing w:val="-3"/>
                <w:kern w:val="0"/>
                <w:sz w:val="24"/>
                <w:szCs w:val="24"/>
                <w:lang w:eastAsia="en-US"/>
              </w:rPr>
              <w:t>力度。充分利</w:t>
            </w:r>
            <w:r>
              <w:rPr>
                <w:rFonts w:ascii="宋体" w:hAnsi="宋体" w:eastAsia="宋体" w:cs="宋体"/>
                <w:snapToGrid w:val="0"/>
                <w:color w:val="auto"/>
                <w:spacing w:val="-2"/>
                <w:kern w:val="0"/>
                <w:sz w:val="24"/>
                <w:szCs w:val="24"/>
                <w:lang w:eastAsia="en-US"/>
              </w:rPr>
              <w:t>用各种宣传媒体，大力宣传森林资源保护管理的法律法规和政策措</w:t>
            </w:r>
            <w:r>
              <w:rPr>
                <w:rFonts w:ascii="宋体" w:hAnsi="宋体" w:eastAsia="宋体" w:cs="宋体"/>
                <w:snapToGrid w:val="0"/>
                <w:color w:val="auto"/>
                <w:spacing w:val="-3"/>
                <w:kern w:val="0"/>
                <w:sz w:val="24"/>
                <w:szCs w:val="24"/>
                <w:lang w:eastAsia="en-US"/>
              </w:rPr>
              <w:t>施，进</w:t>
            </w:r>
            <w:r>
              <w:rPr>
                <w:rFonts w:ascii="宋体" w:hAnsi="宋体" w:eastAsia="宋体" w:cs="宋体"/>
                <w:snapToGrid w:val="0"/>
                <w:color w:val="auto"/>
                <w:spacing w:val="-1"/>
                <w:kern w:val="0"/>
                <w:sz w:val="24"/>
                <w:szCs w:val="24"/>
                <w:lang w:eastAsia="en-US"/>
              </w:rPr>
              <w:t>一步增强全社会森林资源保护和生态建设的法律意识。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0" w:firstLineChars="200"/>
              <w:jc w:val="left"/>
              <w:textAlignment w:val="baseline"/>
              <w:outlineLvl w:val="3"/>
              <w:rPr>
                <w:rFonts w:ascii="宋体" w:hAnsi="宋体" w:eastAsia="宋体" w:cs="宋体"/>
                <w:snapToGrid w:val="0"/>
                <w:color w:val="auto"/>
                <w:kern w:val="0"/>
                <w:sz w:val="24"/>
                <w:szCs w:val="24"/>
                <w:lang w:eastAsia="en-US"/>
              </w:rPr>
            </w:pPr>
            <w:r>
              <w:rPr>
                <w:rFonts w:ascii="宋体" w:hAnsi="宋体" w:eastAsia="宋体" w:cs="宋体"/>
                <w:b/>
                <w:bCs/>
                <w:snapToGrid w:val="0"/>
                <w:color w:val="auto"/>
                <w:spacing w:val="-3"/>
                <w:kern w:val="0"/>
                <w:sz w:val="24"/>
                <w:szCs w:val="24"/>
                <w:lang w:eastAsia="en-US"/>
              </w:rPr>
              <w:t>（</w:t>
            </w:r>
            <w:r>
              <w:rPr>
                <w:rFonts w:ascii="Times New Roman" w:hAnsi="Times New Roman" w:eastAsia="Times New Roman" w:cs="Times New Roman"/>
                <w:b/>
                <w:bCs/>
                <w:snapToGrid w:val="0"/>
                <w:color w:val="auto"/>
                <w:spacing w:val="-3"/>
                <w:kern w:val="0"/>
                <w:sz w:val="24"/>
                <w:szCs w:val="24"/>
                <w:lang w:eastAsia="en-US"/>
              </w:rPr>
              <w:t>4</w:t>
            </w:r>
            <w:r>
              <w:rPr>
                <w:rFonts w:ascii="宋体" w:hAnsi="宋体" w:eastAsia="宋体" w:cs="宋体"/>
                <w:b/>
                <w:bCs/>
                <w:snapToGrid w:val="0"/>
                <w:color w:val="auto"/>
                <w:spacing w:val="-3"/>
                <w:kern w:val="0"/>
                <w:sz w:val="24"/>
                <w:szCs w:val="24"/>
                <w:lang w:eastAsia="en-US"/>
              </w:rPr>
              <w:t>）主要技术要点（园林景观林）</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4"/>
                <w:kern w:val="0"/>
                <w:sz w:val="24"/>
                <w:szCs w:val="24"/>
                <w:lang w:eastAsia="en-US"/>
              </w:rPr>
              <w:t>1</w:t>
            </w:r>
            <w:r>
              <w:rPr>
                <w:rFonts w:ascii="宋体" w:hAnsi="宋体" w:eastAsia="宋体" w:cs="宋体"/>
                <w:snapToGrid w:val="0"/>
                <w:color w:val="auto"/>
                <w:spacing w:val="-4"/>
                <w:kern w:val="0"/>
                <w:sz w:val="24"/>
                <w:szCs w:val="24"/>
                <w:lang w:eastAsia="en-US"/>
              </w:rPr>
              <w:t>）乔木林类技术要点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9"/>
                <w:kern w:val="0"/>
                <w:sz w:val="24"/>
                <w:szCs w:val="24"/>
                <w:lang w:eastAsia="en-US"/>
              </w:rPr>
              <w:t>栽植准备：栽植前应对栽植地基本情况进行调查。大树移植前应切根，</w:t>
            </w:r>
            <w:r>
              <w:rPr>
                <w:rFonts w:ascii="宋体" w:hAnsi="宋体" w:eastAsia="宋体" w:cs="宋体"/>
                <w:snapToGrid w:val="0"/>
                <w:color w:val="auto"/>
                <w:spacing w:val="-2"/>
                <w:kern w:val="0"/>
                <w:sz w:val="24"/>
                <w:szCs w:val="24"/>
                <w:lang w:eastAsia="en-US"/>
              </w:rPr>
              <w:t>根据树木品种、树冠生长情况、移植季节、挖掘方式、运输条</w:t>
            </w:r>
            <w:r>
              <w:rPr>
                <w:rFonts w:ascii="宋体" w:hAnsi="宋体" w:eastAsia="宋体" w:cs="宋体"/>
                <w:snapToGrid w:val="0"/>
                <w:color w:val="auto"/>
                <w:spacing w:val="-3"/>
                <w:kern w:val="0"/>
                <w:sz w:val="24"/>
                <w:szCs w:val="24"/>
                <w:lang w:eastAsia="en-US"/>
              </w:rPr>
              <w:t>件、种植地</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条件等因素修枝，修枝应注意树形均衡。落叶树可抽稀后</w:t>
            </w:r>
            <w:r>
              <w:rPr>
                <w:rFonts w:ascii="宋体" w:hAnsi="宋体" w:eastAsia="宋体" w:cs="宋体"/>
                <w:snapToGrid w:val="0"/>
                <w:color w:val="auto"/>
                <w:spacing w:val="-3"/>
                <w:kern w:val="0"/>
                <w:sz w:val="24"/>
                <w:szCs w:val="24"/>
                <w:lang w:eastAsia="en-US"/>
              </w:rPr>
              <w:t>进行强截，常绿阔叶树，采取收缩树冠的方法。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3"/>
                <w:kern w:val="0"/>
                <w:sz w:val="24"/>
                <w:szCs w:val="24"/>
                <w:lang w:eastAsia="en-US"/>
              </w:rPr>
              <w:t>清理整地：春季、秋季造林前</w:t>
            </w:r>
            <w:r>
              <w:rPr>
                <w:rFonts w:ascii="Times New Roman" w:hAnsi="Times New Roman" w:eastAsia="Times New Roman" w:cs="Times New Roman"/>
                <w:snapToGrid w:val="0"/>
                <w:color w:val="auto"/>
                <w:spacing w:val="-3"/>
                <w:kern w:val="0"/>
                <w:sz w:val="24"/>
                <w:szCs w:val="24"/>
                <w:lang w:eastAsia="en-US"/>
              </w:rPr>
              <w:t>1</w:t>
            </w:r>
            <w:r>
              <w:rPr>
                <w:rFonts w:ascii="宋体" w:hAnsi="宋体" w:eastAsia="宋体" w:cs="宋体"/>
                <w:snapToGrid w:val="0"/>
                <w:color w:val="auto"/>
                <w:spacing w:val="-3"/>
                <w:kern w:val="0"/>
                <w:sz w:val="24"/>
                <w:szCs w:val="24"/>
                <w:lang w:eastAsia="en-US"/>
              </w:rPr>
              <w:t>个月或随造随清理。</w:t>
            </w:r>
            <w:r>
              <w:rPr>
                <w:rFonts w:ascii="宋体" w:hAnsi="宋体" w:eastAsia="宋体" w:cs="宋体"/>
                <w:snapToGrid w:val="0"/>
                <w:color w:val="auto"/>
                <w:spacing w:val="-4"/>
                <w:kern w:val="0"/>
                <w:sz w:val="24"/>
                <w:szCs w:val="24"/>
                <w:lang w:eastAsia="en-US"/>
              </w:rPr>
              <w:t>清理规格应为团</w:t>
            </w:r>
            <w:r>
              <w:rPr>
                <w:rFonts w:ascii="宋体" w:hAnsi="宋体" w:eastAsia="宋体" w:cs="宋体"/>
                <w:snapToGrid w:val="0"/>
                <w:color w:val="auto"/>
                <w:kern w:val="0"/>
                <w:sz w:val="24"/>
                <w:szCs w:val="24"/>
                <w:lang w:eastAsia="en-US"/>
              </w:rPr>
              <w:t>块状，不低于</w:t>
            </w:r>
            <w:r>
              <w:rPr>
                <w:rFonts w:ascii="Times New Roman" w:hAnsi="Times New Roman" w:eastAsia="Times New Roman" w:cs="Times New Roman"/>
                <w:snapToGrid w:val="0"/>
                <w:color w:val="auto"/>
                <w:kern w:val="0"/>
                <w:sz w:val="24"/>
                <w:szCs w:val="24"/>
                <w:lang w:eastAsia="en-US"/>
              </w:rPr>
              <w:t>100</w:t>
            </w:r>
            <w:r>
              <w:rPr>
                <w:rFonts w:ascii="宋体" w:hAnsi="宋体" w:eastAsia="宋体" w:cs="宋体"/>
                <w:snapToGrid w:val="0"/>
                <w:color w:val="auto"/>
                <w:kern w:val="0"/>
                <w:sz w:val="24"/>
                <w:szCs w:val="24"/>
                <w:lang w:eastAsia="en-US"/>
              </w:rPr>
              <w:t>×</w:t>
            </w:r>
            <w:r>
              <w:rPr>
                <w:rFonts w:ascii="Times New Roman" w:hAnsi="Times New Roman" w:eastAsia="Times New Roman" w:cs="Times New Roman"/>
                <w:snapToGrid w:val="0"/>
                <w:color w:val="auto"/>
                <w:kern w:val="0"/>
                <w:sz w:val="24"/>
                <w:szCs w:val="24"/>
                <w:lang w:eastAsia="en-US"/>
              </w:rPr>
              <w:t>100cm</w:t>
            </w:r>
            <w:r>
              <w:rPr>
                <w:rFonts w:ascii="宋体" w:hAnsi="宋体" w:eastAsia="宋体" w:cs="宋体"/>
                <w:snapToGrid w:val="0"/>
                <w:color w:val="auto"/>
                <w:kern w:val="0"/>
                <w:sz w:val="24"/>
                <w:szCs w:val="24"/>
                <w:lang w:eastAsia="en-US"/>
              </w:rPr>
              <w:t>。清理方式为人工，主要对种植穴附近影响作</w:t>
            </w:r>
            <w:r>
              <w:rPr>
                <w:rFonts w:ascii="宋体" w:hAnsi="宋体" w:eastAsia="宋体" w:cs="宋体"/>
                <w:snapToGrid w:val="0"/>
                <w:color w:val="auto"/>
                <w:spacing w:val="1"/>
                <w:kern w:val="0"/>
                <w:sz w:val="24"/>
                <w:szCs w:val="24"/>
                <w:lang w:eastAsia="en-US"/>
              </w:rPr>
              <w:t>业的杂物、石块移除。翻地深度不得少于</w:t>
            </w:r>
            <w:r>
              <w:rPr>
                <w:rFonts w:ascii="Times New Roman" w:hAnsi="Times New Roman" w:eastAsia="Times New Roman" w:cs="Times New Roman"/>
                <w:snapToGrid w:val="0"/>
                <w:color w:val="auto"/>
                <w:spacing w:val="1"/>
                <w:kern w:val="0"/>
                <w:sz w:val="24"/>
                <w:szCs w:val="24"/>
                <w:lang w:eastAsia="en-US"/>
              </w:rPr>
              <w:t>40</w:t>
            </w:r>
            <w:r>
              <w:rPr>
                <w:rFonts w:ascii="Times New Roman" w:hAnsi="Times New Roman" w:eastAsia="Times New Roman" w:cs="Times New Roman"/>
                <w:snapToGrid w:val="0"/>
                <w:color w:val="auto"/>
                <w:kern w:val="0"/>
                <w:sz w:val="24"/>
                <w:szCs w:val="24"/>
                <w:lang w:eastAsia="en-US"/>
              </w:rPr>
              <w:t>cm</w:t>
            </w:r>
            <w:r>
              <w:rPr>
                <w:rFonts w:ascii="宋体" w:hAnsi="宋体" w:eastAsia="宋体" w:cs="宋体"/>
                <w:snapToGrid w:val="0"/>
                <w:color w:val="auto"/>
                <w:spacing w:val="1"/>
                <w:kern w:val="0"/>
                <w:sz w:val="24"/>
                <w:szCs w:val="24"/>
                <w:lang w:eastAsia="en-US"/>
              </w:rPr>
              <w:t>，石块砖头、瓦片、灰渣</w:t>
            </w:r>
            <w:r>
              <w:rPr>
                <w:rFonts w:ascii="宋体" w:hAnsi="宋体" w:eastAsia="宋体" w:cs="宋体"/>
                <w:snapToGrid w:val="0"/>
                <w:color w:val="auto"/>
                <w:spacing w:val="-2"/>
                <w:kern w:val="0"/>
                <w:sz w:val="24"/>
                <w:szCs w:val="24"/>
                <w:lang w:eastAsia="en-US"/>
              </w:rPr>
              <w:t>过多的土壤，应过筛后再补足种植土。遇含灰渣量很大的土壤（如</w:t>
            </w:r>
            <w:r>
              <w:rPr>
                <w:rFonts w:ascii="宋体" w:hAnsi="宋体" w:eastAsia="宋体" w:cs="宋体"/>
                <w:snapToGrid w:val="0"/>
                <w:color w:val="auto"/>
                <w:spacing w:val="-3"/>
                <w:kern w:val="0"/>
                <w:sz w:val="24"/>
                <w:szCs w:val="24"/>
                <w:lang w:eastAsia="en-US"/>
              </w:rPr>
              <w:t>建筑垃</w:t>
            </w:r>
            <w:r>
              <w:rPr>
                <w:rFonts w:ascii="宋体" w:hAnsi="宋体" w:eastAsia="宋体" w:cs="宋体"/>
                <w:snapToGrid w:val="0"/>
                <w:color w:val="auto"/>
                <w:spacing w:val="-1"/>
                <w:kern w:val="0"/>
                <w:sz w:val="24"/>
                <w:szCs w:val="24"/>
                <w:lang w:eastAsia="en-US"/>
              </w:rPr>
              <w:t>圾等</w:t>
            </w:r>
            <w:r>
              <w:rPr>
                <w:rFonts w:ascii="宋体" w:hAnsi="宋体" w:eastAsia="宋体" w:cs="宋体"/>
                <w:snapToGrid w:val="0"/>
                <w:color w:val="auto"/>
                <w:spacing w:val="6"/>
                <w:kern w:val="0"/>
                <w:sz w:val="24"/>
                <w:szCs w:val="24"/>
                <w:lang w:eastAsia="en-US"/>
              </w:rPr>
              <w:t>），</w:t>
            </w:r>
            <w:r>
              <w:rPr>
                <w:rFonts w:ascii="宋体" w:hAnsi="宋体" w:eastAsia="宋体" w:cs="宋体"/>
                <w:snapToGrid w:val="0"/>
                <w:color w:val="auto"/>
                <w:spacing w:val="-1"/>
                <w:kern w:val="0"/>
                <w:sz w:val="24"/>
                <w:szCs w:val="24"/>
                <w:lang w:eastAsia="en-US"/>
              </w:rPr>
              <w:t>筛后不能使用时，要置换表土，换成种植土。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挖穴开槽：穴规格（长×宽×深）</w:t>
            </w:r>
            <w:r>
              <w:rPr>
                <w:rFonts w:ascii="Times New Roman" w:hAnsi="Times New Roman" w:eastAsia="Times New Roman" w:cs="Times New Roman"/>
                <w:snapToGrid w:val="0"/>
                <w:color w:val="auto"/>
                <w:spacing w:val="-1"/>
                <w:kern w:val="0"/>
                <w:sz w:val="24"/>
                <w:szCs w:val="24"/>
                <w:lang w:eastAsia="en-US"/>
              </w:rPr>
              <w:t>100</w:t>
            </w:r>
            <w:r>
              <w:rPr>
                <w:rFonts w:ascii="宋体" w:hAnsi="宋体" w:eastAsia="宋体" w:cs="宋体"/>
                <w:snapToGrid w:val="0"/>
                <w:color w:val="auto"/>
                <w:spacing w:val="-1"/>
                <w:kern w:val="0"/>
                <w:sz w:val="24"/>
                <w:szCs w:val="24"/>
                <w:lang w:eastAsia="en-US"/>
              </w:rPr>
              <w:t>×</w:t>
            </w:r>
            <w:r>
              <w:rPr>
                <w:rFonts w:ascii="Times New Roman" w:hAnsi="Times New Roman" w:eastAsia="Times New Roman" w:cs="Times New Roman"/>
                <w:snapToGrid w:val="0"/>
                <w:color w:val="auto"/>
                <w:spacing w:val="-1"/>
                <w:kern w:val="0"/>
                <w:sz w:val="24"/>
                <w:szCs w:val="24"/>
                <w:lang w:eastAsia="en-US"/>
              </w:rPr>
              <w:t>60</w:t>
            </w:r>
            <w:r>
              <w:rPr>
                <w:rFonts w:ascii="宋体" w:hAnsi="宋体" w:eastAsia="宋体" w:cs="宋体"/>
                <w:snapToGrid w:val="0"/>
                <w:color w:val="auto"/>
                <w:spacing w:val="-1"/>
                <w:kern w:val="0"/>
                <w:sz w:val="24"/>
                <w:szCs w:val="24"/>
                <w:lang w:eastAsia="en-US"/>
              </w:rPr>
              <w:t>×</w:t>
            </w:r>
            <w:r>
              <w:rPr>
                <w:rFonts w:ascii="Times New Roman" w:hAnsi="Times New Roman" w:eastAsia="Times New Roman" w:cs="Times New Roman"/>
                <w:snapToGrid w:val="0"/>
                <w:color w:val="auto"/>
                <w:spacing w:val="-1"/>
                <w:kern w:val="0"/>
                <w:sz w:val="24"/>
                <w:szCs w:val="24"/>
                <w:lang w:eastAsia="en-US"/>
              </w:rPr>
              <w:t>40cm</w:t>
            </w:r>
            <w:r>
              <w:rPr>
                <w:rFonts w:ascii="宋体" w:hAnsi="宋体" w:eastAsia="宋体" w:cs="宋体"/>
                <w:snapToGrid w:val="0"/>
                <w:color w:val="auto"/>
                <w:spacing w:val="-1"/>
                <w:kern w:val="0"/>
                <w:sz w:val="24"/>
                <w:szCs w:val="24"/>
                <w:lang w:eastAsia="en-US"/>
              </w:rPr>
              <w:t>。挖穴时应垂直开</w:t>
            </w:r>
            <w:r>
              <w:rPr>
                <w:rFonts w:ascii="宋体" w:hAnsi="宋体" w:eastAsia="宋体" w:cs="宋体"/>
                <w:snapToGrid w:val="0"/>
                <w:color w:val="auto"/>
                <w:spacing w:val="-2"/>
                <w:kern w:val="0"/>
                <w:sz w:val="24"/>
                <w:szCs w:val="24"/>
                <w:lang w:eastAsia="en-US"/>
              </w:rPr>
              <w:t>挖，上下口径一致。挖出的栽植土及废土分别堆置于穴外。</w:t>
            </w:r>
            <w:r>
              <w:rPr>
                <w:rFonts w:ascii="宋体" w:hAnsi="宋体" w:eastAsia="宋体" w:cs="宋体"/>
                <w:snapToGrid w:val="0"/>
                <w:color w:val="auto"/>
                <w:spacing w:val="-3"/>
                <w:kern w:val="0"/>
                <w:sz w:val="24"/>
                <w:szCs w:val="24"/>
                <w:lang w:eastAsia="en-US"/>
              </w:rPr>
              <w:t>栽植前应在穴内施足腐熟的基肥。种植槽应比泥球大</w:t>
            </w:r>
            <w:r>
              <w:rPr>
                <w:rFonts w:ascii="Times New Roman" w:hAnsi="Times New Roman" w:eastAsia="Times New Roman" w:cs="Times New Roman"/>
                <w:snapToGrid w:val="0"/>
                <w:color w:val="auto"/>
                <w:spacing w:val="-3"/>
                <w:kern w:val="0"/>
                <w:sz w:val="24"/>
                <w:szCs w:val="24"/>
                <w:lang w:eastAsia="en-US"/>
              </w:rPr>
              <w:t>10cm-20cm</w:t>
            </w:r>
            <w:r>
              <w:rPr>
                <w:rFonts w:ascii="宋体" w:hAnsi="宋体" w:eastAsia="宋体" w:cs="宋体"/>
                <w:snapToGrid w:val="0"/>
                <w:color w:val="auto"/>
                <w:spacing w:val="-3"/>
                <w:kern w:val="0"/>
                <w:sz w:val="24"/>
                <w:szCs w:val="24"/>
                <w:lang w:eastAsia="en-US"/>
              </w:rPr>
              <w:t>，深度应大于泥球或根</w:t>
            </w:r>
            <w:r>
              <w:rPr>
                <w:rFonts w:ascii="宋体" w:hAnsi="宋体" w:eastAsia="宋体" w:cs="宋体"/>
                <w:snapToGrid w:val="0"/>
                <w:color w:val="auto"/>
                <w:spacing w:val="-2"/>
                <w:kern w:val="0"/>
                <w:sz w:val="24"/>
                <w:szCs w:val="24"/>
                <w:lang w:eastAsia="en-US"/>
              </w:rPr>
              <w:t>系厚度</w:t>
            </w:r>
            <w:r>
              <w:rPr>
                <w:rFonts w:ascii="Times New Roman" w:hAnsi="Times New Roman" w:eastAsia="Times New Roman" w:cs="Times New Roman"/>
                <w:snapToGrid w:val="0"/>
                <w:color w:val="auto"/>
                <w:spacing w:val="-2"/>
                <w:kern w:val="0"/>
                <w:sz w:val="24"/>
                <w:szCs w:val="24"/>
                <w:lang w:eastAsia="en-US"/>
              </w:rPr>
              <w:t>20cm-30cm</w:t>
            </w:r>
            <w:r>
              <w:rPr>
                <w:rFonts w:ascii="宋体" w:hAnsi="宋体" w:eastAsia="宋体" w:cs="宋体"/>
                <w:snapToGrid w:val="0"/>
                <w:color w:val="auto"/>
                <w:spacing w:val="-2"/>
                <w:kern w:val="0"/>
                <w:sz w:val="24"/>
                <w:szCs w:val="24"/>
                <w:lang w:eastAsia="en-US"/>
              </w:rPr>
              <w:t>。种植槽开挖应垂直，宽度应一致。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挖掘装运：根据树冠形态和种植后造景的要</w:t>
            </w:r>
            <w:r>
              <w:rPr>
                <w:rFonts w:ascii="宋体" w:hAnsi="宋体" w:eastAsia="宋体" w:cs="宋体"/>
                <w:snapToGrid w:val="0"/>
                <w:color w:val="auto"/>
                <w:spacing w:val="-3"/>
                <w:kern w:val="0"/>
                <w:sz w:val="24"/>
                <w:szCs w:val="24"/>
                <w:lang w:eastAsia="en-US"/>
              </w:rPr>
              <w:t>求，对树木做好定三点半</w:t>
            </w:r>
            <w:r>
              <w:rPr>
                <w:rFonts w:ascii="宋体" w:hAnsi="宋体" w:eastAsia="宋体" w:cs="宋体"/>
                <w:snapToGrid w:val="0"/>
                <w:color w:val="auto"/>
                <w:spacing w:val="-2"/>
                <w:kern w:val="0"/>
                <w:sz w:val="24"/>
                <w:szCs w:val="24"/>
                <w:lang w:eastAsia="en-US"/>
              </w:rPr>
              <w:t>方位的记号。大树树干、主枝用草绳或草片进行包扎后应在树上拉好</w:t>
            </w:r>
            <w:r>
              <w:rPr>
                <w:rFonts w:ascii="宋体" w:hAnsi="宋体" w:eastAsia="宋体" w:cs="宋体"/>
                <w:snapToGrid w:val="0"/>
                <w:color w:val="auto"/>
                <w:spacing w:val="-3"/>
                <w:kern w:val="0"/>
                <w:sz w:val="24"/>
                <w:szCs w:val="24"/>
                <w:lang w:eastAsia="en-US"/>
              </w:rPr>
              <w:t>浪风</w:t>
            </w:r>
            <w:r>
              <w:rPr>
                <w:rFonts w:ascii="宋体" w:hAnsi="宋体" w:eastAsia="宋体" w:cs="宋体"/>
                <w:snapToGrid w:val="0"/>
                <w:color w:val="auto"/>
                <w:spacing w:val="19"/>
                <w:kern w:val="0"/>
                <w:sz w:val="24"/>
                <w:szCs w:val="24"/>
                <w:lang w:eastAsia="en-US"/>
              </w:rPr>
              <w:t>绳。带土球树木挖掘和运输可参考《大树移植技术规程》（</w:t>
            </w:r>
            <w:r>
              <w:rPr>
                <w:rFonts w:ascii="Times New Roman" w:hAnsi="Times New Roman" w:eastAsia="Times New Roman" w:cs="Times New Roman"/>
                <w:snapToGrid w:val="0"/>
                <w:color w:val="auto"/>
                <w:kern w:val="0"/>
                <w:sz w:val="24"/>
                <w:szCs w:val="24"/>
                <w:lang w:eastAsia="en-US"/>
              </w:rPr>
              <w:t>DB</w:t>
            </w:r>
            <w:r>
              <w:rPr>
                <w:rFonts w:ascii="Times New Roman" w:hAnsi="Times New Roman" w:eastAsia="Times New Roman" w:cs="Times New Roman"/>
                <w:snapToGrid w:val="0"/>
                <w:color w:val="auto"/>
                <w:spacing w:val="19"/>
                <w:kern w:val="0"/>
                <w:sz w:val="24"/>
                <w:szCs w:val="24"/>
                <w:lang w:eastAsia="en-US"/>
              </w:rPr>
              <w:t>51/T</w:t>
            </w:r>
            <w:r>
              <w:rPr>
                <w:rFonts w:ascii="Times New Roman" w:hAnsi="Times New Roman" w:eastAsia="Times New Roman" w:cs="Times New Roman"/>
                <w:snapToGrid w:val="0"/>
                <w:color w:val="auto"/>
                <w:spacing w:val="3"/>
                <w:kern w:val="0"/>
                <w:sz w:val="24"/>
                <w:szCs w:val="24"/>
                <w:lang w:eastAsia="en-US"/>
              </w:rPr>
              <w:t>2132-2016</w:t>
            </w:r>
            <w:r>
              <w:rPr>
                <w:rFonts w:ascii="宋体" w:hAnsi="宋体" w:eastAsia="宋体" w:cs="宋体"/>
                <w:snapToGrid w:val="0"/>
                <w:color w:val="auto"/>
                <w:spacing w:val="3"/>
                <w:kern w:val="0"/>
                <w:sz w:val="24"/>
                <w:szCs w:val="24"/>
                <w:lang w:eastAsia="en-US"/>
              </w:rPr>
              <w:t>）或园林方面相关技术规程。树木挖掘或包扎当天移出树</w:t>
            </w:r>
            <w:r>
              <w:rPr>
                <w:rFonts w:ascii="宋体" w:hAnsi="宋体" w:eastAsia="宋体" w:cs="宋体"/>
                <w:snapToGrid w:val="0"/>
                <w:color w:val="auto"/>
                <w:spacing w:val="-3"/>
                <w:kern w:val="0"/>
                <w:sz w:val="24"/>
                <w:szCs w:val="24"/>
                <w:lang w:eastAsia="en-US"/>
              </w:rPr>
              <w:t>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napToGrid w:val="0"/>
                <w:color w:val="auto"/>
                <w:spacing w:val="-1"/>
                <w:kern w:val="0"/>
                <w:sz w:val="24"/>
                <w:szCs w:val="24"/>
                <w:lang w:eastAsia="en-US"/>
              </w:rPr>
            </w:pPr>
            <w:r>
              <w:rPr>
                <w:rFonts w:ascii="宋体" w:hAnsi="宋体" w:eastAsia="宋体" w:cs="宋体"/>
                <w:snapToGrid w:val="0"/>
                <w:color w:val="auto"/>
                <w:kern w:val="0"/>
                <w:sz w:val="24"/>
                <w:szCs w:val="24"/>
                <w:lang w:eastAsia="en-US"/>
              </w:rPr>
              <w:t>栽植支撑：栽植密度</w:t>
            </w:r>
            <w:r>
              <w:rPr>
                <w:rFonts w:ascii="Times New Roman" w:hAnsi="Times New Roman" w:eastAsia="Times New Roman" w:cs="Times New Roman"/>
                <w:snapToGrid w:val="0"/>
                <w:color w:val="auto"/>
                <w:kern w:val="0"/>
                <w:sz w:val="24"/>
                <w:szCs w:val="24"/>
                <w:lang w:eastAsia="en-US"/>
              </w:rPr>
              <w:t>10</w:t>
            </w:r>
            <w:r>
              <w:rPr>
                <w:rFonts w:ascii="宋体" w:hAnsi="宋体" w:eastAsia="宋体" w:cs="宋体"/>
                <w:snapToGrid w:val="0"/>
                <w:color w:val="auto"/>
                <w:kern w:val="0"/>
                <w:sz w:val="24"/>
                <w:szCs w:val="24"/>
                <w:lang w:eastAsia="en-US"/>
              </w:rPr>
              <w:t>株</w:t>
            </w:r>
            <w:r>
              <w:rPr>
                <w:rFonts w:ascii="Times New Roman" w:hAnsi="Times New Roman" w:eastAsia="Times New Roman" w:cs="Times New Roman"/>
                <w:snapToGrid w:val="0"/>
                <w:color w:val="auto"/>
                <w:kern w:val="0"/>
                <w:sz w:val="24"/>
                <w:szCs w:val="24"/>
                <w:lang w:eastAsia="en-US"/>
              </w:rPr>
              <w:t>/</w:t>
            </w:r>
            <w:r>
              <w:rPr>
                <w:rFonts w:ascii="宋体" w:hAnsi="宋体" w:eastAsia="宋体" w:cs="宋体"/>
                <w:snapToGrid w:val="0"/>
                <w:color w:val="auto"/>
                <w:kern w:val="0"/>
                <w:sz w:val="24"/>
                <w:szCs w:val="24"/>
                <w:lang w:eastAsia="en-US"/>
              </w:rPr>
              <w:t>亩</w:t>
            </w:r>
            <w:r>
              <w:rPr>
                <w:rFonts w:ascii="Times New Roman" w:hAnsi="Times New Roman" w:eastAsia="Times New Roman" w:cs="Times New Roman"/>
                <w:snapToGrid w:val="0"/>
                <w:color w:val="auto"/>
                <w:kern w:val="0"/>
                <w:sz w:val="24"/>
                <w:szCs w:val="24"/>
                <w:lang w:eastAsia="en-US"/>
              </w:rPr>
              <w:t>-74</w:t>
            </w:r>
            <w:r>
              <w:rPr>
                <w:rFonts w:ascii="宋体" w:hAnsi="宋体" w:eastAsia="宋体" w:cs="宋体"/>
                <w:snapToGrid w:val="0"/>
                <w:color w:val="auto"/>
                <w:kern w:val="0"/>
                <w:sz w:val="24"/>
                <w:szCs w:val="24"/>
                <w:lang w:eastAsia="en-US"/>
              </w:rPr>
              <w:t>株</w:t>
            </w:r>
            <w:r>
              <w:rPr>
                <w:rFonts w:ascii="Times New Roman" w:hAnsi="Times New Roman" w:eastAsia="Times New Roman" w:cs="Times New Roman"/>
                <w:snapToGrid w:val="0"/>
                <w:color w:val="auto"/>
                <w:kern w:val="0"/>
                <w:sz w:val="24"/>
                <w:szCs w:val="24"/>
                <w:lang w:eastAsia="en-US"/>
              </w:rPr>
              <w:t>/</w:t>
            </w:r>
            <w:r>
              <w:rPr>
                <w:rFonts w:ascii="宋体" w:hAnsi="宋体" w:eastAsia="宋体" w:cs="宋体"/>
                <w:snapToGrid w:val="0"/>
                <w:color w:val="auto"/>
                <w:kern w:val="0"/>
                <w:sz w:val="24"/>
                <w:szCs w:val="24"/>
                <w:lang w:eastAsia="en-US"/>
              </w:rPr>
              <w:t>亩，根据实际情况调整密度</w:t>
            </w:r>
            <w:r>
              <w:rPr>
                <w:rFonts w:ascii="宋体" w:hAnsi="宋体" w:eastAsia="宋体" w:cs="宋体"/>
                <w:snapToGrid w:val="0"/>
                <w:color w:val="auto"/>
                <w:spacing w:val="-1"/>
                <w:kern w:val="0"/>
                <w:sz w:val="24"/>
                <w:szCs w:val="24"/>
                <w:lang w:eastAsia="en-US"/>
              </w:rPr>
              <w:t>，分</w:t>
            </w:r>
            <w:r>
              <w:rPr>
                <w:rFonts w:ascii="宋体" w:hAnsi="宋体" w:eastAsia="宋体" w:cs="宋体"/>
                <w:snapToGrid w:val="0"/>
                <w:color w:val="auto"/>
                <w:spacing w:val="-4"/>
                <w:kern w:val="0"/>
                <w:sz w:val="24"/>
                <w:szCs w:val="24"/>
                <w:lang w:eastAsia="en-US"/>
              </w:rPr>
              <w:t>小班。根据穴深和土球厚度回填底土，使树木种植后根颈</w:t>
            </w:r>
            <w:r>
              <w:rPr>
                <w:rFonts w:ascii="宋体" w:hAnsi="宋体" w:eastAsia="宋体" w:cs="宋体"/>
                <w:snapToGrid w:val="0"/>
                <w:color w:val="auto"/>
                <w:spacing w:val="-2"/>
                <w:kern w:val="0"/>
                <w:sz w:val="24"/>
                <w:szCs w:val="24"/>
                <w:lang w:eastAsia="en-US"/>
              </w:rPr>
              <w:t>部位高出地面</w:t>
            </w:r>
            <w:r>
              <w:rPr>
                <w:rFonts w:ascii="Times New Roman" w:hAnsi="Times New Roman" w:eastAsia="Times New Roman" w:cs="Times New Roman"/>
                <w:snapToGrid w:val="0"/>
                <w:color w:val="auto"/>
                <w:spacing w:val="-2"/>
                <w:kern w:val="0"/>
                <w:sz w:val="24"/>
                <w:szCs w:val="24"/>
                <w:lang w:eastAsia="en-US"/>
              </w:rPr>
              <w:t>5cm~10cm</w:t>
            </w:r>
            <w:r>
              <w:rPr>
                <w:rFonts w:ascii="宋体" w:hAnsi="宋体" w:eastAsia="宋体" w:cs="宋体"/>
                <w:snapToGrid w:val="0"/>
                <w:color w:val="auto"/>
                <w:spacing w:val="-2"/>
                <w:kern w:val="0"/>
                <w:sz w:val="24"/>
                <w:szCs w:val="24"/>
                <w:lang w:eastAsia="en-US"/>
              </w:rPr>
              <w:t>，待土下沉后，使根颈与地面平。入穴应符</w:t>
            </w:r>
            <w:r>
              <w:rPr>
                <w:rFonts w:ascii="宋体" w:hAnsi="宋体" w:eastAsia="宋体" w:cs="宋体"/>
                <w:snapToGrid w:val="0"/>
                <w:color w:val="auto"/>
                <w:spacing w:val="-3"/>
                <w:kern w:val="0"/>
                <w:sz w:val="24"/>
                <w:szCs w:val="24"/>
                <w:lang w:eastAsia="en-US"/>
              </w:rPr>
              <w:t>合定</w:t>
            </w:r>
            <w:r>
              <w:rPr>
                <w:rFonts w:ascii="宋体" w:hAnsi="宋体" w:eastAsia="宋体" w:cs="宋体"/>
                <w:snapToGrid w:val="0"/>
                <w:color w:val="auto"/>
                <w:spacing w:val="-2"/>
                <w:kern w:val="0"/>
                <w:sz w:val="24"/>
                <w:szCs w:val="24"/>
                <w:lang w:eastAsia="en-US"/>
              </w:rPr>
              <w:t>位标记或观赏面要求，且应保持树干垂直，入穴应除去包装。应从</w:t>
            </w:r>
            <w:r>
              <w:rPr>
                <w:rFonts w:ascii="宋体" w:hAnsi="宋体" w:eastAsia="宋体" w:cs="宋体"/>
                <w:snapToGrid w:val="0"/>
                <w:color w:val="auto"/>
                <w:spacing w:val="-3"/>
                <w:kern w:val="0"/>
                <w:sz w:val="24"/>
                <w:szCs w:val="24"/>
                <w:lang w:eastAsia="en-US"/>
              </w:rPr>
              <w:t>栽植穴</w:t>
            </w:r>
            <w:r>
              <w:rPr>
                <w:rFonts w:ascii="宋体" w:hAnsi="宋体" w:eastAsia="宋体" w:cs="宋体"/>
                <w:snapToGrid w:val="0"/>
                <w:color w:val="auto"/>
                <w:spacing w:val="-2"/>
                <w:kern w:val="0"/>
                <w:sz w:val="24"/>
                <w:szCs w:val="24"/>
                <w:lang w:eastAsia="en-US"/>
              </w:rPr>
              <w:t>边缘向土球四周培土，分层夯实，不得损伤土球。支撑应牢固，树</w:t>
            </w:r>
            <w:r>
              <w:rPr>
                <w:rFonts w:ascii="宋体" w:hAnsi="宋体" w:eastAsia="宋体" w:cs="宋体"/>
                <w:snapToGrid w:val="0"/>
                <w:color w:val="auto"/>
                <w:spacing w:val="-3"/>
                <w:kern w:val="0"/>
                <w:sz w:val="24"/>
                <w:szCs w:val="24"/>
                <w:lang w:eastAsia="en-US"/>
              </w:rPr>
              <w:t>木绑扎</w:t>
            </w:r>
            <w:r>
              <w:rPr>
                <w:rFonts w:ascii="宋体" w:hAnsi="宋体" w:eastAsia="宋体" w:cs="宋体"/>
                <w:snapToGrid w:val="0"/>
                <w:color w:val="auto"/>
                <w:spacing w:val="-2"/>
                <w:kern w:val="0"/>
                <w:sz w:val="24"/>
                <w:szCs w:val="24"/>
                <w:lang w:eastAsia="en-US"/>
              </w:rPr>
              <w:t>处应夹垫软质物，绑扎后树干应保持正直。行道树树桩定位应与道</w:t>
            </w:r>
            <w:r>
              <w:rPr>
                <w:rFonts w:ascii="宋体" w:hAnsi="宋体" w:eastAsia="宋体" w:cs="宋体"/>
                <w:snapToGrid w:val="0"/>
                <w:color w:val="auto"/>
                <w:spacing w:val="-3"/>
                <w:kern w:val="0"/>
                <w:sz w:val="24"/>
                <w:szCs w:val="24"/>
                <w:lang w:eastAsia="en-US"/>
              </w:rPr>
              <w:t>路走向</w:t>
            </w:r>
            <w:r>
              <w:rPr>
                <w:rFonts w:ascii="宋体" w:hAnsi="宋体" w:eastAsia="宋体" w:cs="宋体"/>
                <w:snapToGrid w:val="0"/>
                <w:color w:val="auto"/>
                <w:spacing w:val="2"/>
                <w:kern w:val="0"/>
                <w:sz w:val="24"/>
                <w:szCs w:val="24"/>
                <w:lang w:eastAsia="en-US"/>
              </w:rPr>
              <w:t>平行，落叶乔木应用单柱支撑，在栽植前先竖桩。三</w:t>
            </w:r>
            <w:r>
              <w:rPr>
                <w:rFonts w:ascii="宋体" w:hAnsi="宋体" w:eastAsia="宋体" w:cs="宋体"/>
                <w:snapToGrid w:val="0"/>
                <w:color w:val="auto"/>
                <w:spacing w:val="1"/>
                <w:kern w:val="0"/>
                <w:sz w:val="24"/>
                <w:szCs w:val="24"/>
                <w:lang w:eastAsia="en-US"/>
              </w:rPr>
              <w:t>角撑宜在树干高</w:t>
            </w:r>
            <w:r>
              <w:rPr>
                <w:rFonts w:ascii="Times New Roman" w:hAnsi="Times New Roman" w:eastAsia="Times New Roman" w:cs="Times New Roman"/>
                <w:snapToGrid w:val="0"/>
                <w:color w:val="auto"/>
                <w:spacing w:val="1"/>
                <w:kern w:val="0"/>
                <w:sz w:val="24"/>
                <w:szCs w:val="24"/>
                <w:lang w:eastAsia="en-US"/>
              </w:rPr>
              <w:t>2/3</w:t>
            </w:r>
            <w:r>
              <w:rPr>
                <w:rFonts w:ascii="宋体" w:hAnsi="宋体" w:eastAsia="宋体" w:cs="宋体"/>
                <w:snapToGrid w:val="0"/>
                <w:color w:val="auto"/>
                <w:spacing w:val="-1"/>
                <w:kern w:val="0"/>
                <w:sz w:val="24"/>
                <w:szCs w:val="24"/>
                <w:lang w:eastAsia="en-US"/>
              </w:rPr>
              <w:t>处结扎，可用毛竹或钢丝绳固定。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3"/>
                <w:kern w:val="0"/>
                <w:sz w:val="24"/>
                <w:szCs w:val="24"/>
                <w:lang w:eastAsia="en-US"/>
              </w:rPr>
              <w:t>筑堰浇水：树木栽植后，应在树穴周围用土筑成高于根</w:t>
            </w:r>
            <w:r>
              <w:rPr>
                <w:rFonts w:ascii="宋体" w:hAnsi="宋体" w:eastAsia="宋体" w:cs="宋体"/>
                <w:snapToGrid w:val="0"/>
                <w:color w:val="auto"/>
                <w:spacing w:val="-4"/>
                <w:kern w:val="0"/>
                <w:sz w:val="24"/>
                <w:szCs w:val="24"/>
                <w:lang w:eastAsia="en-US"/>
              </w:rPr>
              <w:t>颈</w:t>
            </w:r>
            <w:r>
              <w:rPr>
                <w:rFonts w:ascii="Times New Roman" w:hAnsi="Times New Roman" w:eastAsia="Times New Roman" w:cs="Times New Roman"/>
                <w:snapToGrid w:val="0"/>
                <w:color w:val="auto"/>
                <w:spacing w:val="-4"/>
                <w:kern w:val="0"/>
                <w:sz w:val="24"/>
                <w:szCs w:val="24"/>
                <w:lang w:eastAsia="en-US"/>
              </w:rPr>
              <w:t>10cm-15cm</w:t>
            </w:r>
            <w:r>
              <w:rPr>
                <w:rFonts w:ascii="宋体" w:hAnsi="宋体" w:eastAsia="宋体" w:cs="宋体"/>
                <w:snapToGrid w:val="0"/>
                <w:color w:val="auto"/>
                <w:spacing w:val="-3"/>
                <w:kern w:val="0"/>
                <w:sz w:val="24"/>
                <w:szCs w:val="24"/>
                <w:lang w:eastAsia="en-US"/>
              </w:rPr>
              <w:t>的浇水堰，且应筑实、底平，不得漏水。作堰后应及时浇水，浇水应缓浇</w:t>
            </w:r>
            <w:r>
              <w:rPr>
                <w:rFonts w:ascii="宋体" w:hAnsi="宋体" w:eastAsia="宋体" w:cs="宋体"/>
                <w:snapToGrid w:val="0"/>
                <w:color w:val="auto"/>
                <w:spacing w:val="-8"/>
                <w:kern w:val="0"/>
                <w:sz w:val="24"/>
                <w:szCs w:val="24"/>
                <w:lang w:eastAsia="en-US"/>
              </w:rPr>
              <w:t>慢渗，出现漏水、土壤下陷和树木倾斜，应及时扶正、培土</w:t>
            </w:r>
            <w:r>
              <w:rPr>
                <w:rFonts w:ascii="宋体" w:hAnsi="宋体" w:eastAsia="宋体" w:cs="宋体"/>
                <w:snapToGrid w:val="0"/>
                <w:color w:val="auto"/>
                <w:spacing w:val="-9"/>
                <w:kern w:val="0"/>
                <w:sz w:val="24"/>
                <w:szCs w:val="24"/>
                <w:lang w:eastAsia="en-US"/>
              </w:rPr>
              <w:t>。第二天复水，</w:t>
            </w:r>
            <w:r>
              <w:rPr>
                <w:rFonts w:ascii="宋体" w:hAnsi="宋体" w:eastAsia="宋体" w:cs="宋体"/>
                <w:snapToGrid w:val="0"/>
                <w:color w:val="auto"/>
                <w:spacing w:val="-1"/>
                <w:kern w:val="0"/>
                <w:sz w:val="24"/>
                <w:szCs w:val="24"/>
                <w:lang w:eastAsia="en-US"/>
              </w:rPr>
              <w:t>封土，以后视天气及树木生长情况进行浇水。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辅助措施：包括大树营养液和树干涂白</w:t>
            </w:r>
            <w:r>
              <w:rPr>
                <w:rFonts w:ascii="宋体" w:hAnsi="宋体" w:eastAsia="宋体" w:cs="宋体"/>
                <w:snapToGrid w:val="0"/>
                <w:color w:val="auto"/>
                <w:spacing w:val="-15"/>
                <w:kern w:val="0"/>
                <w:sz w:val="24"/>
                <w:szCs w:val="24"/>
                <w:lang w:eastAsia="en-US"/>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3"/>
                <w:kern w:val="0"/>
                <w:sz w:val="24"/>
                <w:szCs w:val="24"/>
                <w:lang w:eastAsia="en-US"/>
              </w:rPr>
              <w:t>栽后养护：树木死亡，应查清原因，并采取相应措施，选择适宜季节</w:t>
            </w:r>
            <w:r>
              <w:rPr>
                <w:rFonts w:ascii="宋体" w:hAnsi="宋体" w:eastAsia="宋体" w:cs="宋体"/>
                <w:snapToGrid w:val="0"/>
                <w:color w:val="auto"/>
                <w:spacing w:val="-2"/>
                <w:kern w:val="0"/>
                <w:sz w:val="24"/>
                <w:szCs w:val="24"/>
                <w:lang w:eastAsia="en-US"/>
              </w:rPr>
              <w:t>进行补植。应根据树木和气候情况进行浇水和喷雾，保持树身湿润，</w:t>
            </w:r>
            <w:r>
              <w:rPr>
                <w:rFonts w:ascii="宋体" w:hAnsi="宋体" w:eastAsia="宋体" w:cs="宋体"/>
                <w:snapToGrid w:val="0"/>
                <w:color w:val="auto"/>
                <w:spacing w:val="-3"/>
                <w:kern w:val="0"/>
                <w:sz w:val="24"/>
                <w:szCs w:val="24"/>
                <w:lang w:eastAsia="en-US"/>
              </w:rPr>
              <w:t>夏季</w:t>
            </w:r>
            <w:r>
              <w:rPr>
                <w:rFonts w:ascii="宋体" w:hAnsi="宋体" w:eastAsia="宋体" w:cs="宋体"/>
                <w:snapToGrid w:val="0"/>
                <w:color w:val="auto"/>
                <w:spacing w:val="-2"/>
                <w:kern w:val="0"/>
                <w:sz w:val="24"/>
                <w:szCs w:val="24"/>
                <w:lang w:eastAsia="en-US"/>
              </w:rPr>
              <w:t>每天早晚</w:t>
            </w:r>
            <w:r>
              <w:rPr>
                <w:rFonts w:hint="eastAsia" w:ascii="宋体" w:hAnsi="宋体" w:cs="宋体"/>
                <w:snapToGrid w:val="0"/>
                <w:color w:val="auto"/>
                <w:spacing w:val="-2"/>
                <w:kern w:val="0"/>
                <w:sz w:val="24"/>
                <w:szCs w:val="24"/>
                <w:lang w:eastAsia="zh-CN"/>
              </w:rPr>
              <w:t>两次</w:t>
            </w:r>
            <w:r>
              <w:rPr>
                <w:rFonts w:ascii="宋体" w:hAnsi="宋体" w:eastAsia="宋体" w:cs="宋体"/>
                <w:snapToGrid w:val="0"/>
                <w:color w:val="auto"/>
                <w:spacing w:val="-2"/>
                <w:kern w:val="0"/>
                <w:sz w:val="24"/>
                <w:szCs w:val="24"/>
                <w:lang w:eastAsia="en-US"/>
              </w:rPr>
              <w:t>喷雾，保证覆盖全部叶面，常绿树应加强喷雾，喷雾时</w:t>
            </w:r>
            <w:r>
              <w:rPr>
                <w:rFonts w:ascii="宋体" w:hAnsi="宋体" w:eastAsia="宋体" w:cs="宋体"/>
                <w:snapToGrid w:val="0"/>
                <w:color w:val="auto"/>
                <w:spacing w:val="-3"/>
                <w:kern w:val="0"/>
                <w:sz w:val="24"/>
                <w:szCs w:val="24"/>
                <w:lang w:eastAsia="en-US"/>
              </w:rPr>
              <w:t>应覆</w:t>
            </w:r>
            <w:r>
              <w:rPr>
                <w:rFonts w:ascii="宋体" w:hAnsi="宋体" w:eastAsia="宋体" w:cs="宋体"/>
                <w:snapToGrid w:val="0"/>
                <w:color w:val="auto"/>
                <w:spacing w:val="-2"/>
                <w:kern w:val="0"/>
                <w:sz w:val="24"/>
                <w:szCs w:val="24"/>
                <w:lang w:eastAsia="en-US"/>
              </w:rPr>
              <w:t>盖根部。雨后应及时排水。新芽萌发后，应进行剥芽，可分几次进行</w:t>
            </w:r>
            <w:r>
              <w:rPr>
                <w:rFonts w:ascii="宋体" w:hAnsi="宋体" w:eastAsia="宋体" w:cs="宋体"/>
                <w:snapToGrid w:val="0"/>
                <w:color w:val="auto"/>
                <w:spacing w:val="-3"/>
                <w:kern w:val="0"/>
                <w:sz w:val="24"/>
                <w:szCs w:val="24"/>
                <w:lang w:eastAsia="en-US"/>
              </w:rPr>
              <w:t>，且</w:t>
            </w:r>
            <w:r>
              <w:rPr>
                <w:rFonts w:ascii="宋体" w:hAnsi="宋体" w:eastAsia="宋体" w:cs="宋体"/>
                <w:snapToGrid w:val="0"/>
                <w:color w:val="auto"/>
                <w:spacing w:val="-8"/>
                <w:kern w:val="0"/>
                <w:sz w:val="24"/>
                <w:szCs w:val="24"/>
                <w:lang w:eastAsia="en-US"/>
              </w:rPr>
              <w:t>应保留新梢芽条。发现新梢叶片有萎缩现象，应及时查明根部</w:t>
            </w:r>
            <w:r>
              <w:rPr>
                <w:rFonts w:ascii="宋体" w:hAnsi="宋体" w:eastAsia="宋体" w:cs="宋体"/>
                <w:snapToGrid w:val="0"/>
                <w:color w:val="auto"/>
                <w:spacing w:val="-9"/>
                <w:kern w:val="0"/>
                <w:sz w:val="24"/>
                <w:szCs w:val="24"/>
                <w:lang w:eastAsia="en-US"/>
              </w:rPr>
              <w:t>是否有空隙，</w:t>
            </w:r>
            <w:r>
              <w:rPr>
                <w:rFonts w:ascii="宋体" w:hAnsi="宋体" w:eastAsia="宋体" w:cs="宋体"/>
                <w:snapToGrid w:val="0"/>
                <w:color w:val="auto"/>
                <w:spacing w:val="-1"/>
                <w:kern w:val="0"/>
                <w:sz w:val="24"/>
                <w:szCs w:val="24"/>
                <w:lang w:eastAsia="en-US"/>
              </w:rPr>
              <w:t>水分不足或过多，有无病虫害，并采取相应的措施。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1"/>
                <w:kern w:val="0"/>
                <w:sz w:val="24"/>
                <w:szCs w:val="24"/>
                <w:lang w:eastAsia="en-US"/>
              </w:rPr>
              <w:t>2</w:t>
            </w:r>
            <w:r>
              <w:rPr>
                <w:rFonts w:ascii="宋体" w:hAnsi="宋体" w:eastAsia="宋体" w:cs="宋体"/>
                <w:snapToGrid w:val="0"/>
                <w:color w:val="auto"/>
                <w:spacing w:val="-1"/>
                <w:kern w:val="0"/>
                <w:sz w:val="24"/>
                <w:szCs w:val="24"/>
                <w:lang w:eastAsia="en-US"/>
              </w:rPr>
              <w:t>）灌木林类技术要点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栽植准备：栽植前应整地，翻地深度不得少于</w:t>
            </w:r>
            <w:r>
              <w:rPr>
                <w:rFonts w:ascii="Times New Roman" w:hAnsi="Times New Roman" w:eastAsia="Times New Roman" w:cs="Times New Roman"/>
                <w:snapToGrid w:val="0"/>
                <w:color w:val="auto"/>
                <w:spacing w:val="1"/>
                <w:kern w:val="0"/>
                <w:sz w:val="24"/>
                <w:szCs w:val="24"/>
                <w:lang w:eastAsia="en-US"/>
              </w:rPr>
              <w:t>40</w:t>
            </w:r>
            <w:r>
              <w:rPr>
                <w:rFonts w:ascii="Times New Roman" w:hAnsi="Times New Roman" w:eastAsia="Times New Roman" w:cs="Times New Roman"/>
                <w:snapToGrid w:val="0"/>
                <w:color w:val="auto"/>
                <w:kern w:val="0"/>
                <w:sz w:val="24"/>
                <w:szCs w:val="24"/>
                <w:lang w:eastAsia="en-US"/>
              </w:rPr>
              <w:t>cm</w:t>
            </w:r>
            <w:r>
              <w:rPr>
                <w:rFonts w:ascii="宋体" w:hAnsi="宋体" w:eastAsia="宋体" w:cs="宋体"/>
                <w:snapToGrid w:val="0"/>
                <w:color w:val="auto"/>
                <w:spacing w:val="1"/>
                <w:kern w:val="0"/>
                <w:sz w:val="24"/>
                <w:szCs w:val="24"/>
                <w:lang w:eastAsia="en-US"/>
              </w:rPr>
              <w:t>，石块、砖头、</w:t>
            </w:r>
            <w:r>
              <w:rPr>
                <w:rFonts w:ascii="宋体" w:hAnsi="宋体" w:eastAsia="宋体" w:cs="宋体"/>
                <w:snapToGrid w:val="0"/>
                <w:color w:val="auto"/>
                <w:spacing w:val="-2"/>
                <w:kern w:val="0"/>
                <w:sz w:val="24"/>
                <w:szCs w:val="24"/>
                <w:lang w:eastAsia="en-US"/>
              </w:rPr>
              <w:t>瓦片、灰渣过多的土壤，应过筛后再补足种植土。栽植前结合整地</w:t>
            </w:r>
            <w:r>
              <w:rPr>
                <w:rFonts w:ascii="宋体" w:hAnsi="宋体" w:eastAsia="宋体" w:cs="宋体"/>
                <w:snapToGrid w:val="0"/>
                <w:color w:val="auto"/>
                <w:spacing w:val="-3"/>
                <w:kern w:val="0"/>
                <w:sz w:val="24"/>
                <w:szCs w:val="24"/>
                <w:lang w:eastAsia="en-US"/>
              </w:rPr>
              <w:t>，整地</w:t>
            </w:r>
            <w:r>
              <w:rPr>
                <w:rFonts w:ascii="宋体" w:hAnsi="宋体" w:eastAsia="宋体" w:cs="宋体"/>
                <w:snapToGrid w:val="0"/>
                <w:color w:val="auto"/>
                <w:spacing w:val="-4"/>
                <w:kern w:val="0"/>
                <w:sz w:val="24"/>
                <w:szCs w:val="24"/>
                <w:lang w:eastAsia="en-US"/>
              </w:rPr>
              <w:t>规格（长×宽×深）</w:t>
            </w:r>
            <w:r>
              <w:rPr>
                <w:rFonts w:ascii="Times New Roman" w:hAnsi="Times New Roman" w:eastAsia="Times New Roman" w:cs="Times New Roman"/>
                <w:snapToGrid w:val="0"/>
                <w:color w:val="auto"/>
                <w:spacing w:val="-4"/>
                <w:kern w:val="0"/>
                <w:sz w:val="24"/>
                <w:szCs w:val="24"/>
                <w:lang w:eastAsia="en-US"/>
              </w:rPr>
              <w:t>30</w:t>
            </w:r>
            <w:r>
              <w:rPr>
                <w:rFonts w:ascii="宋体" w:hAnsi="宋体" w:eastAsia="宋体" w:cs="宋体"/>
                <w:snapToGrid w:val="0"/>
                <w:color w:val="auto"/>
                <w:spacing w:val="-4"/>
                <w:kern w:val="0"/>
                <w:sz w:val="24"/>
                <w:szCs w:val="24"/>
                <w:lang w:eastAsia="en-US"/>
              </w:rPr>
              <w:t>×</w:t>
            </w:r>
            <w:r>
              <w:rPr>
                <w:rFonts w:ascii="Times New Roman" w:hAnsi="Times New Roman" w:eastAsia="Times New Roman" w:cs="Times New Roman"/>
                <w:snapToGrid w:val="0"/>
                <w:color w:val="auto"/>
                <w:spacing w:val="-4"/>
                <w:kern w:val="0"/>
                <w:sz w:val="24"/>
                <w:szCs w:val="24"/>
                <w:lang w:eastAsia="en-US"/>
              </w:rPr>
              <w:t>20</w:t>
            </w:r>
            <w:r>
              <w:rPr>
                <w:rFonts w:ascii="宋体" w:hAnsi="宋体" w:eastAsia="宋体" w:cs="宋体"/>
                <w:snapToGrid w:val="0"/>
                <w:color w:val="auto"/>
                <w:spacing w:val="-4"/>
                <w:kern w:val="0"/>
                <w:sz w:val="24"/>
                <w:szCs w:val="24"/>
                <w:lang w:eastAsia="en-US"/>
              </w:rPr>
              <w:t>×</w:t>
            </w:r>
            <w:r>
              <w:rPr>
                <w:rFonts w:ascii="Times New Roman" w:hAnsi="Times New Roman" w:eastAsia="Times New Roman" w:cs="Times New Roman"/>
                <w:snapToGrid w:val="0"/>
                <w:color w:val="auto"/>
                <w:spacing w:val="-4"/>
                <w:kern w:val="0"/>
                <w:sz w:val="24"/>
                <w:szCs w:val="24"/>
                <w:lang w:eastAsia="en-US"/>
              </w:rPr>
              <w:t>20cm</w:t>
            </w:r>
            <w:r>
              <w:rPr>
                <w:rFonts w:ascii="宋体" w:hAnsi="宋体" w:eastAsia="宋体" w:cs="宋体"/>
                <w:snapToGrid w:val="0"/>
                <w:color w:val="auto"/>
                <w:spacing w:val="-4"/>
                <w:kern w:val="0"/>
                <w:sz w:val="24"/>
                <w:szCs w:val="24"/>
                <w:lang w:eastAsia="en-US"/>
              </w:rPr>
              <w:t>。土壤施基肥。肥料宜选择腐熟的有机肥，每穴应施</w:t>
            </w:r>
            <w:r>
              <w:rPr>
                <w:rFonts w:ascii="Times New Roman" w:hAnsi="Times New Roman" w:eastAsia="Times New Roman" w:cs="Times New Roman"/>
                <w:snapToGrid w:val="0"/>
                <w:color w:val="auto"/>
                <w:spacing w:val="-4"/>
                <w:kern w:val="0"/>
                <w:sz w:val="24"/>
                <w:szCs w:val="24"/>
                <w:lang w:eastAsia="en-US"/>
              </w:rPr>
              <w:t>0.1kg</w:t>
            </w:r>
            <w:r>
              <w:rPr>
                <w:rFonts w:ascii="宋体" w:hAnsi="宋体" w:eastAsia="宋体" w:cs="宋体"/>
                <w:snapToGrid w:val="0"/>
                <w:color w:val="auto"/>
                <w:spacing w:val="-4"/>
                <w:kern w:val="0"/>
                <w:sz w:val="24"/>
                <w:szCs w:val="24"/>
                <w:lang w:eastAsia="en-US"/>
              </w:rPr>
              <w:t>。将肥料与土拌匀，施入穴内。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栽植技术：落叶灌木应在春季萌动前或秋季</w:t>
            </w:r>
            <w:r>
              <w:rPr>
                <w:rFonts w:ascii="宋体" w:hAnsi="宋体" w:eastAsia="宋体" w:cs="宋体"/>
                <w:snapToGrid w:val="0"/>
                <w:color w:val="auto"/>
                <w:spacing w:val="-3"/>
                <w:kern w:val="0"/>
                <w:sz w:val="24"/>
                <w:szCs w:val="24"/>
                <w:lang w:eastAsia="en-US"/>
              </w:rPr>
              <w:t>落叶后进行；常绿灌木应</w:t>
            </w:r>
            <w:r>
              <w:rPr>
                <w:rFonts w:ascii="宋体" w:hAnsi="宋体" w:eastAsia="宋体" w:cs="宋体"/>
                <w:snapToGrid w:val="0"/>
                <w:color w:val="auto"/>
                <w:spacing w:val="16"/>
                <w:kern w:val="0"/>
                <w:sz w:val="24"/>
                <w:szCs w:val="24"/>
                <w:lang w:eastAsia="en-US"/>
              </w:rPr>
              <w:t>在春季萌动前或在秋季新</w:t>
            </w:r>
            <w:r>
              <w:rPr>
                <w:rFonts w:hint="eastAsia" w:ascii="宋体" w:hAnsi="宋体" w:cs="宋体"/>
                <w:snapToGrid w:val="0"/>
                <w:color w:val="auto"/>
                <w:spacing w:val="16"/>
                <w:kern w:val="0"/>
                <w:sz w:val="24"/>
                <w:szCs w:val="24"/>
                <w:lang w:eastAsia="zh-CN"/>
              </w:rPr>
              <w:t>梢</w:t>
            </w:r>
            <w:r>
              <w:rPr>
                <w:rFonts w:ascii="宋体" w:hAnsi="宋体" w:eastAsia="宋体" w:cs="宋体"/>
                <w:snapToGrid w:val="0"/>
                <w:color w:val="auto"/>
                <w:spacing w:val="16"/>
                <w:kern w:val="0"/>
                <w:sz w:val="24"/>
                <w:szCs w:val="24"/>
                <w:lang w:eastAsia="en-US"/>
              </w:rPr>
              <w:t>停止生长后，降霜前进行。栽植间距宜为</w:t>
            </w:r>
            <w:r>
              <w:rPr>
                <w:rFonts w:ascii="Times New Roman" w:hAnsi="Times New Roman" w:eastAsia="Times New Roman" w:cs="Times New Roman"/>
                <w:snapToGrid w:val="0"/>
                <w:color w:val="auto"/>
                <w:spacing w:val="1"/>
                <w:kern w:val="0"/>
                <w:sz w:val="24"/>
                <w:szCs w:val="24"/>
                <w:lang w:eastAsia="en-US"/>
              </w:rPr>
              <w:t>30</w:t>
            </w:r>
            <w:r>
              <w:rPr>
                <w:rFonts w:ascii="Times New Roman" w:hAnsi="Times New Roman" w:eastAsia="Times New Roman" w:cs="Times New Roman"/>
                <w:snapToGrid w:val="0"/>
                <w:color w:val="auto"/>
                <w:kern w:val="0"/>
                <w:sz w:val="24"/>
                <w:szCs w:val="24"/>
                <w:lang w:eastAsia="en-US"/>
              </w:rPr>
              <w:t>cm</w:t>
            </w:r>
            <w:r>
              <w:rPr>
                <w:rFonts w:ascii="Times New Roman" w:hAnsi="Times New Roman" w:eastAsia="Times New Roman" w:cs="Times New Roman"/>
                <w:snapToGrid w:val="0"/>
                <w:color w:val="auto"/>
                <w:spacing w:val="1"/>
                <w:kern w:val="0"/>
                <w:sz w:val="24"/>
                <w:szCs w:val="24"/>
                <w:lang w:eastAsia="en-US"/>
              </w:rPr>
              <w:t>-60</w:t>
            </w:r>
            <w:r>
              <w:rPr>
                <w:rFonts w:ascii="Times New Roman" w:hAnsi="Times New Roman" w:eastAsia="Times New Roman" w:cs="Times New Roman"/>
                <w:snapToGrid w:val="0"/>
                <w:color w:val="auto"/>
                <w:kern w:val="0"/>
                <w:sz w:val="24"/>
                <w:szCs w:val="24"/>
                <w:lang w:eastAsia="en-US"/>
              </w:rPr>
              <w:t>cm</w:t>
            </w:r>
            <w:r>
              <w:rPr>
                <w:rFonts w:ascii="宋体" w:hAnsi="宋体" w:eastAsia="宋体" w:cs="宋体"/>
                <w:snapToGrid w:val="0"/>
                <w:color w:val="auto"/>
                <w:spacing w:val="1"/>
                <w:kern w:val="0"/>
                <w:sz w:val="24"/>
                <w:szCs w:val="24"/>
                <w:lang w:eastAsia="en-US"/>
              </w:rPr>
              <w:t>，密度</w:t>
            </w:r>
            <w:r>
              <w:rPr>
                <w:rFonts w:ascii="Times New Roman" w:hAnsi="Times New Roman" w:eastAsia="Times New Roman" w:cs="Times New Roman"/>
                <w:snapToGrid w:val="0"/>
                <w:color w:val="auto"/>
                <w:spacing w:val="1"/>
                <w:kern w:val="0"/>
                <w:sz w:val="24"/>
                <w:szCs w:val="24"/>
                <w:lang w:eastAsia="en-US"/>
              </w:rPr>
              <w:t>56</w:t>
            </w:r>
            <w:r>
              <w:rPr>
                <w:rFonts w:ascii="宋体" w:hAnsi="宋体" w:eastAsia="宋体" w:cs="宋体"/>
                <w:snapToGrid w:val="0"/>
                <w:color w:val="auto"/>
                <w:spacing w:val="1"/>
                <w:kern w:val="0"/>
                <w:sz w:val="24"/>
                <w:szCs w:val="24"/>
                <w:lang w:eastAsia="en-US"/>
              </w:rPr>
              <w:t>株</w:t>
            </w:r>
            <w:r>
              <w:rPr>
                <w:rFonts w:ascii="Times New Roman" w:hAnsi="Times New Roman" w:eastAsia="Times New Roman" w:cs="Times New Roman"/>
                <w:snapToGrid w:val="0"/>
                <w:color w:val="auto"/>
                <w:spacing w:val="1"/>
                <w:kern w:val="0"/>
                <w:sz w:val="24"/>
                <w:szCs w:val="24"/>
                <w:lang w:eastAsia="en-US"/>
              </w:rPr>
              <w:t>/</w:t>
            </w:r>
            <w:r>
              <w:rPr>
                <w:rFonts w:ascii="宋体" w:hAnsi="宋体" w:eastAsia="宋体" w:cs="宋体"/>
                <w:snapToGrid w:val="0"/>
                <w:color w:val="auto"/>
                <w:spacing w:val="1"/>
                <w:kern w:val="0"/>
                <w:sz w:val="24"/>
                <w:szCs w:val="24"/>
                <w:lang w:eastAsia="en-US"/>
              </w:rPr>
              <w:t>亩</w:t>
            </w:r>
            <w:r>
              <w:rPr>
                <w:rFonts w:ascii="Times New Roman" w:hAnsi="Times New Roman" w:eastAsia="Times New Roman" w:cs="Times New Roman"/>
                <w:snapToGrid w:val="0"/>
                <w:color w:val="auto"/>
                <w:spacing w:val="1"/>
                <w:kern w:val="0"/>
                <w:sz w:val="24"/>
                <w:szCs w:val="24"/>
                <w:lang w:eastAsia="en-US"/>
              </w:rPr>
              <w:t>-5373</w:t>
            </w:r>
            <w:r>
              <w:rPr>
                <w:rFonts w:ascii="宋体" w:hAnsi="宋体" w:eastAsia="宋体" w:cs="宋体"/>
                <w:snapToGrid w:val="0"/>
                <w:color w:val="auto"/>
                <w:spacing w:val="1"/>
                <w:kern w:val="0"/>
                <w:sz w:val="24"/>
                <w:szCs w:val="24"/>
                <w:lang w:eastAsia="en-US"/>
              </w:rPr>
              <w:t>株</w:t>
            </w:r>
            <w:r>
              <w:rPr>
                <w:rFonts w:ascii="Times New Roman" w:hAnsi="Times New Roman" w:eastAsia="Times New Roman" w:cs="Times New Roman"/>
                <w:snapToGrid w:val="0"/>
                <w:color w:val="auto"/>
                <w:spacing w:val="1"/>
                <w:kern w:val="0"/>
                <w:sz w:val="24"/>
                <w:szCs w:val="24"/>
                <w:lang w:eastAsia="en-US"/>
              </w:rPr>
              <w:t>/</w:t>
            </w:r>
            <w:r>
              <w:rPr>
                <w:rFonts w:ascii="宋体" w:hAnsi="宋体" w:eastAsia="宋体" w:cs="宋体"/>
                <w:snapToGrid w:val="0"/>
                <w:color w:val="auto"/>
                <w:spacing w:val="1"/>
                <w:kern w:val="0"/>
                <w:sz w:val="24"/>
                <w:szCs w:val="24"/>
                <w:lang w:eastAsia="en-US"/>
              </w:rPr>
              <w:t>亩，根据实际情况和植物生长习性调</w:t>
            </w:r>
            <w:r>
              <w:rPr>
                <w:rFonts w:ascii="宋体" w:hAnsi="宋体" w:eastAsia="宋体" w:cs="宋体"/>
                <w:snapToGrid w:val="0"/>
                <w:color w:val="auto"/>
                <w:spacing w:val="-5"/>
                <w:kern w:val="0"/>
                <w:sz w:val="24"/>
                <w:szCs w:val="24"/>
                <w:lang w:eastAsia="en-US"/>
              </w:rPr>
              <w:t>整密度，分小班。穴应四壁垂直，底平；穴径应大于土球</w:t>
            </w:r>
            <w:r>
              <w:rPr>
                <w:rFonts w:ascii="Times New Roman" w:hAnsi="Times New Roman" w:eastAsia="Times New Roman" w:cs="Times New Roman"/>
                <w:snapToGrid w:val="0"/>
                <w:color w:val="auto"/>
                <w:spacing w:val="-2"/>
                <w:kern w:val="0"/>
                <w:sz w:val="24"/>
                <w:szCs w:val="24"/>
                <w:lang w:eastAsia="en-US"/>
              </w:rPr>
              <w:t>10cm-20cm</w:t>
            </w:r>
            <w:r>
              <w:rPr>
                <w:rFonts w:ascii="宋体" w:hAnsi="宋体" w:eastAsia="宋体" w:cs="宋体"/>
                <w:snapToGrid w:val="0"/>
                <w:color w:val="auto"/>
                <w:spacing w:val="-2"/>
                <w:kern w:val="0"/>
                <w:sz w:val="24"/>
                <w:szCs w:val="24"/>
                <w:lang w:eastAsia="en-US"/>
              </w:rPr>
              <w:t>，穴深应大于泥球或根系厚度</w:t>
            </w:r>
            <w:r>
              <w:rPr>
                <w:rFonts w:ascii="Times New Roman" w:hAnsi="Times New Roman" w:eastAsia="Times New Roman" w:cs="Times New Roman"/>
                <w:snapToGrid w:val="0"/>
                <w:color w:val="auto"/>
                <w:spacing w:val="-2"/>
                <w:kern w:val="0"/>
                <w:sz w:val="24"/>
                <w:szCs w:val="24"/>
                <w:lang w:eastAsia="en-US"/>
              </w:rPr>
              <w:t>20cm-30cm</w:t>
            </w:r>
            <w:r>
              <w:rPr>
                <w:rFonts w:ascii="宋体" w:hAnsi="宋体" w:eastAsia="宋体" w:cs="宋体"/>
                <w:snapToGrid w:val="0"/>
                <w:color w:val="auto"/>
                <w:spacing w:val="-2"/>
                <w:kern w:val="0"/>
                <w:sz w:val="24"/>
                <w:szCs w:val="24"/>
                <w:lang w:eastAsia="en-US"/>
              </w:rPr>
              <w:t>。根据生</w:t>
            </w:r>
            <w:r>
              <w:rPr>
                <w:rFonts w:ascii="宋体" w:hAnsi="宋体" w:eastAsia="宋体" w:cs="宋体"/>
                <w:snapToGrid w:val="0"/>
                <w:color w:val="auto"/>
                <w:spacing w:val="-3"/>
                <w:kern w:val="0"/>
                <w:sz w:val="24"/>
                <w:szCs w:val="24"/>
                <w:lang w:eastAsia="en-US"/>
              </w:rPr>
              <w:t>长季节进行</w:t>
            </w:r>
            <w:r>
              <w:rPr>
                <w:rFonts w:ascii="宋体" w:hAnsi="宋体" w:eastAsia="宋体" w:cs="宋体"/>
                <w:snapToGrid w:val="0"/>
                <w:color w:val="auto"/>
                <w:spacing w:val="-2"/>
                <w:kern w:val="0"/>
                <w:sz w:val="24"/>
                <w:szCs w:val="24"/>
                <w:lang w:eastAsia="en-US"/>
              </w:rPr>
              <w:t>合理修剪。</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3"/>
                <w:kern w:val="0"/>
                <w:sz w:val="24"/>
                <w:szCs w:val="24"/>
                <w:lang w:eastAsia="en-US"/>
              </w:rPr>
              <w:t>栽后养护：缺株应及时补植。喜肥的植物多施有机肥；吸附类藤本可</w:t>
            </w:r>
            <w:r>
              <w:rPr>
                <w:rFonts w:ascii="宋体" w:hAnsi="宋体" w:eastAsia="宋体" w:cs="宋体"/>
                <w:snapToGrid w:val="0"/>
                <w:color w:val="auto"/>
                <w:spacing w:val="16"/>
                <w:kern w:val="0"/>
                <w:sz w:val="24"/>
                <w:szCs w:val="24"/>
                <w:lang w:eastAsia="en-US"/>
              </w:rPr>
              <w:t>叶面施肥；生长差，恢复慢的新栽苗或需促长的植物可用赤霉素配成</w:t>
            </w:r>
            <w:r>
              <w:rPr>
                <w:rFonts w:ascii="Times New Roman" w:hAnsi="Times New Roman" w:eastAsia="Times New Roman" w:cs="Times New Roman"/>
                <w:snapToGrid w:val="0"/>
                <w:color w:val="auto"/>
                <w:spacing w:val="1"/>
                <w:kern w:val="0"/>
                <w:sz w:val="24"/>
                <w:szCs w:val="24"/>
                <w:lang w:eastAsia="en-US"/>
              </w:rPr>
              <w:t>25</w:t>
            </w:r>
            <w:r>
              <w:rPr>
                <w:rFonts w:ascii="Times New Roman" w:hAnsi="Times New Roman" w:eastAsia="Times New Roman" w:cs="Times New Roman"/>
                <w:snapToGrid w:val="0"/>
                <w:color w:val="auto"/>
                <w:kern w:val="0"/>
                <w:sz w:val="24"/>
                <w:szCs w:val="24"/>
                <w:lang w:eastAsia="en-US"/>
              </w:rPr>
              <w:t>ppm</w:t>
            </w:r>
            <w:r>
              <w:rPr>
                <w:rFonts w:ascii="Times New Roman" w:hAnsi="Times New Roman" w:eastAsia="Times New Roman" w:cs="Times New Roman"/>
                <w:snapToGrid w:val="0"/>
                <w:color w:val="auto"/>
                <w:spacing w:val="1"/>
                <w:kern w:val="0"/>
                <w:sz w:val="24"/>
                <w:szCs w:val="24"/>
                <w:lang w:eastAsia="en-US"/>
              </w:rPr>
              <w:t>-50</w:t>
            </w:r>
            <w:r>
              <w:rPr>
                <w:rFonts w:ascii="Times New Roman" w:hAnsi="Times New Roman" w:eastAsia="Times New Roman" w:cs="Times New Roman"/>
                <w:snapToGrid w:val="0"/>
                <w:color w:val="auto"/>
                <w:kern w:val="0"/>
                <w:sz w:val="24"/>
                <w:szCs w:val="24"/>
                <w:lang w:eastAsia="en-US"/>
              </w:rPr>
              <w:t>ppm</w:t>
            </w:r>
            <w:r>
              <w:rPr>
                <w:rFonts w:ascii="宋体" w:hAnsi="宋体" w:eastAsia="宋体" w:cs="宋体"/>
                <w:snapToGrid w:val="0"/>
                <w:color w:val="auto"/>
                <w:spacing w:val="1"/>
                <w:kern w:val="0"/>
                <w:sz w:val="24"/>
                <w:szCs w:val="24"/>
                <w:lang w:eastAsia="en-US"/>
              </w:rPr>
              <w:t>的水溶液，并加</w:t>
            </w:r>
            <w:r>
              <w:rPr>
                <w:rFonts w:ascii="Times New Roman" w:hAnsi="Times New Roman" w:eastAsia="Times New Roman" w:cs="Times New Roman"/>
                <w:snapToGrid w:val="0"/>
                <w:color w:val="auto"/>
                <w:spacing w:val="1"/>
                <w:kern w:val="0"/>
                <w:sz w:val="24"/>
                <w:szCs w:val="24"/>
                <w:lang w:eastAsia="en-US"/>
              </w:rPr>
              <w:t>0.2%</w:t>
            </w:r>
            <w:r>
              <w:rPr>
                <w:rFonts w:ascii="宋体" w:hAnsi="宋体" w:eastAsia="宋体" w:cs="宋体"/>
                <w:snapToGrid w:val="0"/>
                <w:color w:val="auto"/>
                <w:spacing w:val="1"/>
                <w:kern w:val="0"/>
                <w:sz w:val="24"/>
                <w:szCs w:val="24"/>
                <w:lang w:eastAsia="en-US"/>
              </w:rPr>
              <w:t>的复合化肥进行叶面施肥。天气干旱</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8"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8"/>
                <w:kern w:val="0"/>
                <w:sz w:val="24"/>
                <w:szCs w:val="24"/>
                <w:lang w:eastAsia="en-US"/>
              </w:rPr>
              <w:t>应每隔两天浇一次水，并对一些生长较弱的植株进</w:t>
            </w:r>
            <w:r>
              <w:rPr>
                <w:rFonts w:ascii="宋体" w:hAnsi="宋体" w:eastAsia="宋体" w:cs="宋体"/>
                <w:snapToGrid w:val="0"/>
                <w:color w:val="auto"/>
                <w:spacing w:val="-9"/>
                <w:kern w:val="0"/>
                <w:sz w:val="24"/>
                <w:szCs w:val="24"/>
                <w:lang w:eastAsia="en-US"/>
              </w:rPr>
              <w:t>行叶面喷雾，早晚一次；</w:t>
            </w:r>
            <w:r>
              <w:rPr>
                <w:rFonts w:ascii="宋体" w:hAnsi="宋体" w:eastAsia="宋体" w:cs="宋体"/>
                <w:snapToGrid w:val="0"/>
                <w:color w:val="auto"/>
                <w:spacing w:val="-2"/>
                <w:kern w:val="0"/>
                <w:sz w:val="24"/>
                <w:szCs w:val="24"/>
                <w:lang w:eastAsia="en-US"/>
              </w:rPr>
              <w:t>植物出现不服夏的现象时，应增加叶面喷雾，适当轻剪。梅雨、</w:t>
            </w:r>
            <w:r>
              <w:rPr>
                <w:rFonts w:ascii="宋体" w:hAnsi="宋体" w:eastAsia="宋体" w:cs="宋体"/>
                <w:snapToGrid w:val="0"/>
                <w:color w:val="auto"/>
                <w:spacing w:val="-3"/>
                <w:kern w:val="0"/>
                <w:sz w:val="24"/>
                <w:szCs w:val="24"/>
                <w:lang w:eastAsia="en-US"/>
              </w:rPr>
              <w:t>暴雨季节</w:t>
            </w:r>
            <w:r>
              <w:rPr>
                <w:rFonts w:ascii="宋体" w:hAnsi="宋体" w:eastAsia="宋体" w:cs="宋体"/>
                <w:snapToGrid w:val="0"/>
                <w:color w:val="auto"/>
                <w:spacing w:val="-1"/>
                <w:kern w:val="0"/>
                <w:sz w:val="24"/>
                <w:szCs w:val="24"/>
                <w:lang w:eastAsia="en-US"/>
              </w:rPr>
              <w:t>应防止积水，如有积水应立即排除。</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3</w:t>
            </w:r>
            <w:r>
              <w:rPr>
                <w:rFonts w:ascii="宋体" w:hAnsi="宋体" w:eastAsia="宋体" w:cs="宋体"/>
                <w:snapToGrid w:val="0"/>
                <w:color w:val="auto"/>
                <w:spacing w:val="-2"/>
                <w:kern w:val="0"/>
                <w:sz w:val="24"/>
                <w:szCs w:val="24"/>
                <w:lang w:eastAsia="en-US"/>
              </w:rPr>
              <w:t>）花草类技术要点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3"/>
                <w:kern w:val="0"/>
                <w:sz w:val="24"/>
                <w:szCs w:val="24"/>
                <w:lang w:eastAsia="en-US"/>
              </w:rPr>
              <w:t>栽植准备：土壤必须经过消毒，严禁含有病菌或对植物、人、动物有</w:t>
            </w:r>
            <w:r>
              <w:rPr>
                <w:rFonts w:ascii="宋体" w:hAnsi="宋体" w:eastAsia="宋体" w:cs="宋体"/>
                <w:snapToGrid w:val="0"/>
                <w:color w:val="auto"/>
                <w:spacing w:val="-2"/>
                <w:kern w:val="0"/>
                <w:sz w:val="24"/>
                <w:szCs w:val="24"/>
                <w:lang w:eastAsia="en-US"/>
              </w:rPr>
              <w:t>害的物质。应在建植前全面翻耙，深耕细耙，整地深度应为</w:t>
            </w:r>
            <w:r>
              <w:rPr>
                <w:rFonts w:ascii="Times New Roman" w:hAnsi="Times New Roman" w:eastAsia="Times New Roman" w:cs="Times New Roman"/>
                <w:snapToGrid w:val="0"/>
                <w:color w:val="auto"/>
                <w:spacing w:val="-2"/>
                <w:kern w:val="0"/>
                <w:sz w:val="24"/>
                <w:szCs w:val="24"/>
                <w:lang w:eastAsia="en-US"/>
              </w:rPr>
              <w:t>20c</w:t>
            </w:r>
            <w:r>
              <w:rPr>
                <w:rFonts w:ascii="Times New Roman" w:hAnsi="Times New Roman" w:eastAsia="Times New Roman" w:cs="Times New Roman"/>
                <w:snapToGrid w:val="0"/>
                <w:color w:val="auto"/>
                <w:spacing w:val="-3"/>
                <w:kern w:val="0"/>
                <w:sz w:val="24"/>
                <w:szCs w:val="24"/>
                <w:lang w:eastAsia="en-US"/>
              </w:rPr>
              <w:t>m-25cm</w:t>
            </w:r>
            <w:r>
              <w:rPr>
                <w:rFonts w:ascii="宋体" w:hAnsi="宋体" w:eastAsia="宋体" w:cs="宋体"/>
                <w:snapToGrid w:val="0"/>
                <w:color w:val="auto"/>
                <w:spacing w:val="-3"/>
                <w:kern w:val="0"/>
                <w:sz w:val="24"/>
                <w:szCs w:val="24"/>
                <w:lang w:eastAsia="en-US"/>
              </w:rPr>
              <w:t>，</w:t>
            </w:r>
            <w:r>
              <w:rPr>
                <w:rFonts w:ascii="宋体" w:hAnsi="宋体" w:eastAsia="宋体" w:cs="宋体"/>
                <w:snapToGrid w:val="0"/>
                <w:color w:val="auto"/>
                <w:spacing w:val="-2"/>
                <w:kern w:val="0"/>
                <w:sz w:val="24"/>
                <w:szCs w:val="24"/>
                <w:lang w:eastAsia="en-US"/>
              </w:rPr>
              <w:t>同时清除杂草和杂物。新鲜种子可直接播种，发芽困难的</w:t>
            </w:r>
            <w:r>
              <w:rPr>
                <w:rFonts w:ascii="宋体" w:hAnsi="宋体" w:eastAsia="宋体" w:cs="宋体"/>
                <w:snapToGrid w:val="0"/>
                <w:color w:val="auto"/>
                <w:spacing w:val="-3"/>
                <w:kern w:val="0"/>
                <w:sz w:val="24"/>
                <w:szCs w:val="24"/>
                <w:lang w:eastAsia="en-US"/>
              </w:rPr>
              <w:t>应在播种前进行</w:t>
            </w:r>
            <w:r>
              <w:rPr>
                <w:rFonts w:ascii="宋体" w:hAnsi="宋体" w:eastAsia="宋体" w:cs="宋体"/>
                <w:snapToGrid w:val="0"/>
                <w:color w:val="auto"/>
                <w:spacing w:val="-2"/>
                <w:kern w:val="0"/>
                <w:sz w:val="24"/>
                <w:szCs w:val="24"/>
                <w:lang w:eastAsia="en-US"/>
              </w:rPr>
              <w:t>种子催芽处理。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栽植技术：播种期应根据草种的生物学特性</w:t>
            </w:r>
            <w:r>
              <w:rPr>
                <w:rFonts w:ascii="宋体" w:hAnsi="宋体" w:eastAsia="宋体" w:cs="宋体"/>
                <w:snapToGrid w:val="0"/>
                <w:color w:val="auto"/>
                <w:spacing w:val="-3"/>
                <w:kern w:val="0"/>
                <w:sz w:val="24"/>
                <w:szCs w:val="24"/>
                <w:lang w:eastAsia="en-US"/>
              </w:rPr>
              <w:t>做到适时播种，暖季型一</w:t>
            </w:r>
            <w:r>
              <w:rPr>
                <w:rFonts w:ascii="宋体" w:hAnsi="宋体" w:eastAsia="宋体" w:cs="宋体"/>
                <w:snapToGrid w:val="0"/>
                <w:color w:val="auto"/>
                <w:spacing w:val="-8"/>
                <w:kern w:val="0"/>
                <w:sz w:val="24"/>
                <w:szCs w:val="24"/>
                <w:lang w:eastAsia="en-US"/>
              </w:rPr>
              <w:t>般在</w:t>
            </w:r>
            <w:r>
              <w:rPr>
                <w:rFonts w:ascii="Times New Roman" w:hAnsi="Times New Roman" w:eastAsia="Times New Roman" w:cs="Times New Roman"/>
                <w:snapToGrid w:val="0"/>
                <w:color w:val="auto"/>
                <w:spacing w:val="-8"/>
                <w:kern w:val="0"/>
                <w:sz w:val="24"/>
                <w:szCs w:val="24"/>
                <w:lang w:eastAsia="en-US"/>
              </w:rPr>
              <w:t>5</w:t>
            </w:r>
            <w:r>
              <w:rPr>
                <w:rFonts w:ascii="宋体" w:hAnsi="宋体" w:eastAsia="宋体" w:cs="宋体"/>
                <w:snapToGrid w:val="0"/>
                <w:color w:val="auto"/>
                <w:spacing w:val="-8"/>
                <w:kern w:val="0"/>
                <w:sz w:val="24"/>
                <w:szCs w:val="24"/>
                <w:lang w:eastAsia="en-US"/>
              </w:rPr>
              <w:t>月</w:t>
            </w:r>
            <w:r>
              <w:rPr>
                <w:rFonts w:ascii="Times New Roman" w:hAnsi="Times New Roman" w:eastAsia="Times New Roman" w:cs="Times New Roman"/>
                <w:snapToGrid w:val="0"/>
                <w:color w:val="auto"/>
                <w:spacing w:val="-8"/>
                <w:kern w:val="0"/>
                <w:sz w:val="24"/>
                <w:szCs w:val="24"/>
                <w:lang w:eastAsia="en-US"/>
              </w:rPr>
              <w:t>-9</w:t>
            </w:r>
            <w:r>
              <w:rPr>
                <w:rFonts w:ascii="宋体" w:hAnsi="宋体" w:eastAsia="宋体" w:cs="宋体"/>
                <w:snapToGrid w:val="0"/>
                <w:color w:val="auto"/>
                <w:spacing w:val="-8"/>
                <w:kern w:val="0"/>
                <w:sz w:val="24"/>
                <w:szCs w:val="24"/>
                <w:lang w:eastAsia="en-US"/>
              </w:rPr>
              <w:t>月，冷季型一般在</w:t>
            </w:r>
            <w:r>
              <w:rPr>
                <w:rFonts w:ascii="Times New Roman" w:hAnsi="Times New Roman" w:eastAsia="Times New Roman" w:cs="Times New Roman"/>
                <w:snapToGrid w:val="0"/>
                <w:color w:val="auto"/>
                <w:spacing w:val="-8"/>
                <w:kern w:val="0"/>
                <w:sz w:val="24"/>
                <w:szCs w:val="24"/>
                <w:lang w:eastAsia="en-US"/>
              </w:rPr>
              <w:t>3</w:t>
            </w:r>
            <w:r>
              <w:rPr>
                <w:rFonts w:ascii="宋体" w:hAnsi="宋体" w:eastAsia="宋体" w:cs="宋体"/>
                <w:snapToGrid w:val="0"/>
                <w:color w:val="auto"/>
                <w:spacing w:val="-8"/>
                <w:kern w:val="0"/>
                <w:sz w:val="24"/>
                <w:szCs w:val="24"/>
                <w:lang w:eastAsia="en-US"/>
              </w:rPr>
              <w:t>月上旬</w:t>
            </w:r>
            <w:r>
              <w:rPr>
                <w:rFonts w:ascii="Times New Roman" w:hAnsi="Times New Roman" w:eastAsia="Times New Roman" w:cs="Times New Roman"/>
                <w:snapToGrid w:val="0"/>
                <w:color w:val="auto"/>
                <w:spacing w:val="-8"/>
                <w:kern w:val="0"/>
                <w:sz w:val="24"/>
                <w:szCs w:val="24"/>
                <w:lang w:eastAsia="en-US"/>
              </w:rPr>
              <w:t>-4</w:t>
            </w:r>
            <w:r>
              <w:rPr>
                <w:rFonts w:ascii="宋体" w:hAnsi="宋体" w:eastAsia="宋体" w:cs="宋体"/>
                <w:snapToGrid w:val="0"/>
                <w:color w:val="auto"/>
                <w:spacing w:val="-8"/>
                <w:kern w:val="0"/>
                <w:sz w:val="24"/>
                <w:szCs w:val="24"/>
                <w:lang w:eastAsia="en-US"/>
              </w:rPr>
              <w:t>月上旬或</w:t>
            </w:r>
            <w:r>
              <w:rPr>
                <w:rFonts w:ascii="Times New Roman" w:hAnsi="Times New Roman" w:eastAsia="Times New Roman" w:cs="Times New Roman"/>
                <w:snapToGrid w:val="0"/>
                <w:color w:val="auto"/>
                <w:spacing w:val="-8"/>
                <w:kern w:val="0"/>
                <w:sz w:val="24"/>
                <w:szCs w:val="24"/>
                <w:lang w:eastAsia="en-US"/>
              </w:rPr>
              <w:t>10</w:t>
            </w:r>
            <w:r>
              <w:rPr>
                <w:rFonts w:ascii="宋体" w:hAnsi="宋体" w:eastAsia="宋体" w:cs="宋体"/>
                <w:snapToGrid w:val="0"/>
                <w:color w:val="auto"/>
                <w:spacing w:val="-8"/>
                <w:kern w:val="0"/>
                <w:sz w:val="24"/>
                <w:szCs w:val="24"/>
                <w:lang w:eastAsia="en-US"/>
              </w:rPr>
              <w:t>月中旬</w:t>
            </w:r>
            <w:r>
              <w:rPr>
                <w:rFonts w:ascii="Times New Roman" w:hAnsi="Times New Roman" w:eastAsia="Times New Roman" w:cs="Times New Roman"/>
                <w:snapToGrid w:val="0"/>
                <w:color w:val="auto"/>
                <w:spacing w:val="-8"/>
                <w:kern w:val="0"/>
                <w:sz w:val="24"/>
                <w:szCs w:val="24"/>
                <w:lang w:eastAsia="en-US"/>
              </w:rPr>
              <w:t>-11</w:t>
            </w:r>
            <w:r>
              <w:rPr>
                <w:rFonts w:ascii="宋体" w:hAnsi="宋体" w:eastAsia="宋体" w:cs="宋体"/>
                <w:snapToGrid w:val="0"/>
                <w:color w:val="auto"/>
                <w:spacing w:val="-8"/>
                <w:kern w:val="0"/>
                <w:sz w:val="24"/>
                <w:szCs w:val="24"/>
                <w:lang w:eastAsia="en-US"/>
              </w:rPr>
              <w:t>月底。草</w:t>
            </w:r>
            <w:r>
              <w:rPr>
                <w:rFonts w:ascii="宋体" w:hAnsi="宋体" w:eastAsia="宋体" w:cs="宋体"/>
                <w:snapToGrid w:val="0"/>
                <w:color w:val="auto"/>
                <w:kern w:val="0"/>
                <w:sz w:val="24"/>
                <w:szCs w:val="24"/>
                <w:lang w:eastAsia="en-US"/>
              </w:rPr>
              <w:t>花种子播种方式宜以人工撒播为主，播种后</w:t>
            </w:r>
            <w:r>
              <w:rPr>
                <w:rFonts w:ascii="宋体" w:hAnsi="宋体" w:eastAsia="宋体" w:cs="宋体"/>
                <w:snapToGrid w:val="0"/>
                <w:color w:val="auto"/>
                <w:spacing w:val="-1"/>
                <w:kern w:val="0"/>
                <w:sz w:val="24"/>
                <w:szCs w:val="24"/>
                <w:lang w:eastAsia="en-US"/>
              </w:rPr>
              <w:t>应及时填压、覆土（或沙</w:t>
            </w:r>
            <w:r>
              <w:rPr>
                <w:rFonts w:ascii="宋体" w:hAnsi="宋体" w:eastAsia="宋体" w:cs="宋体"/>
                <w:snapToGrid w:val="0"/>
                <w:color w:val="auto"/>
                <w:spacing w:val="-28"/>
                <w:kern w:val="0"/>
                <w:sz w:val="24"/>
                <w:szCs w:val="24"/>
                <w:lang w:eastAsia="en-US"/>
              </w:rPr>
              <w:t>），</w:t>
            </w:r>
            <w:r>
              <w:rPr>
                <w:rFonts w:ascii="宋体" w:hAnsi="宋体" w:eastAsia="宋体" w:cs="宋体"/>
                <w:snapToGrid w:val="0"/>
                <w:color w:val="auto"/>
                <w:spacing w:val="-4"/>
                <w:kern w:val="0"/>
                <w:sz w:val="24"/>
                <w:szCs w:val="24"/>
                <w:lang w:eastAsia="en-US"/>
              </w:rPr>
              <w:t>覆土（沙）厚度宜为</w:t>
            </w:r>
            <w:r>
              <w:rPr>
                <w:rFonts w:ascii="Times New Roman" w:hAnsi="Times New Roman" w:eastAsia="Times New Roman" w:cs="Times New Roman"/>
                <w:snapToGrid w:val="0"/>
                <w:color w:val="auto"/>
                <w:spacing w:val="-4"/>
                <w:kern w:val="0"/>
                <w:sz w:val="24"/>
                <w:szCs w:val="24"/>
                <w:lang w:eastAsia="en-US"/>
              </w:rPr>
              <w:t>0.5cm~1cm</w:t>
            </w:r>
            <w:r>
              <w:rPr>
                <w:rFonts w:ascii="宋体" w:hAnsi="宋体" w:eastAsia="宋体" w:cs="宋体"/>
                <w:snapToGrid w:val="0"/>
                <w:color w:val="auto"/>
                <w:spacing w:val="-4"/>
                <w:kern w:val="0"/>
                <w:sz w:val="24"/>
                <w:szCs w:val="24"/>
                <w:lang w:eastAsia="en-US"/>
              </w:rPr>
              <w:t>。草花苗梅花状种植，一、二年生草花之</w:t>
            </w:r>
            <w:r>
              <w:rPr>
                <w:rFonts w:ascii="宋体" w:hAnsi="宋体" w:eastAsia="宋体" w:cs="宋体"/>
                <w:snapToGrid w:val="0"/>
                <w:color w:val="auto"/>
                <w:kern w:val="0"/>
                <w:sz w:val="24"/>
                <w:szCs w:val="24"/>
                <w:lang w:eastAsia="en-US"/>
              </w:rPr>
              <w:t>间应留出</w:t>
            </w:r>
            <w:r>
              <w:rPr>
                <w:rFonts w:ascii="Times New Roman" w:hAnsi="Times New Roman" w:eastAsia="Times New Roman" w:cs="Times New Roman"/>
                <w:snapToGrid w:val="0"/>
                <w:color w:val="auto"/>
                <w:kern w:val="0"/>
                <w:sz w:val="24"/>
                <w:szCs w:val="24"/>
                <w:lang w:eastAsia="en-US"/>
              </w:rPr>
              <w:t>3cm-5cm</w:t>
            </w:r>
            <w:r>
              <w:rPr>
                <w:rFonts w:ascii="宋体" w:hAnsi="宋体" w:eastAsia="宋体" w:cs="宋体"/>
                <w:snapToGrid w:val="0"/>
                <w:color w:val="auto"/>
                <w:kern w:val="0"/>
                <w:sz w:val="24"/>
                <w:szCs w:val="24"/>
                <w:lang w:eastAsia="en-US"/>
              </w:rPr>
              <w:t>空隙；多年生草本花卉之间应留出相</w:t>
            </w:r>
            <w:r>
              <w:rPr>
                <w:rFonts w:ascii="宋体" w:hAnsi="宋体" w:eastAsia="宋体" w:cs="宋体"/>
                <w:snapToGrid w:val="0"/>
                <w:color w:val="auto"/>
                <w:spacing w:val="-1"/>
                <w:kern w:val="0"/>
                <w:sz w:val="24"/>
                <w:szCs w:val="24"/>
                <w:lang w:eastAsia="en-US"/>
              </w:rPr>
              <w:t>邻植物一个季节生长所需的空间；地被植物栽植应适当密植。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栽后养护：灌溉必须湿透根系层，应浸湿的土层深度为</w:t>
            </w:r>
            <w:r>
              <w:rPr>
                <w:rFonts w:ascii="Times New Roman" w:hAnsi="Times New Roman" w:eastAsia="Times New Roman" w:cs="Times New Roman"/>
                <w:snapToGrid w:val="0"/>
                <w:color w:val="auto"/>
                <w:spacing w:val="1"/>
                <w:kern w:val="0"/>
                <w:sz w:val="24"/>
                <w:szCs w:val="24"/>
                <w:lang w:eastAsia="en-US"/>
              </w:rPr>
              <w:t>20</w:t>
            </w:r>
            <w:r>
              <w:rPr>
                <w:rFonts w:ascii="Times New Roman" w:hAnsi="Times New Roman" w:eastAsia="Times New Roman" w:cs="Times New Roman"/>
                <w:snapToGrid w:val="0"/>
                <w:color w:val="auto"/>
                <w:kern w:val="0"/>
                <w:sz w:val="24"/>
                <w:szCs w:val="24"/>
                <w:lang w:eastAsia="en-US"/>
              </w:rPr>
              <w:t>cm</w:t>
            </w:r>
            <w:r>
              <w:rPr>
                <w:rFonts w:ascii="宋体" w:hAnsi="宋体" w:eastAsia="宋体" w:cs="宋体"/>
                <w:snapToGrid w:val="0"/>
                <w:color w:val="auto"/>
                <w:spacing w:val="1"/>
                <w:kern w:val="0"/>
                <w:sz w:val="24"/>
                <w:szCs w:val="24"/>
                <w:lang w:eastAsia="en-US"/>
              </w:rPr>
              <w:t>，地面</w:t>
            </w:r>
            <w:r>
              <w:rPr>
                <w:rFonts w:ascii="宋体" w:hAnsi="宋体" w:eastAsia="宋体" w:cs="宋体"/>
                <w:snapToGrid w:val="0"/>
                <w:color w:val="auto"/>
                <w:spacing w:val="-2"/>
                <w:kern w:val="0"/>
                <w:sz w:val="24"/>
                <w:szCs w:val="24"/>
                <w:lang w:eastAsia="en-US"/>
              </w:rPr>
              <w:t>不得长时间积水，灌溉量应根据土质、生长期、草种、气候等因素确定。冷季型草春秋两季充分浇水，保持生长，夏季适量浇水，宜早晨浇</w:t>
            </w:r>
            <w:r>
              <w:rPr>
                <w:rFonts w:ascii="宋体" w:hAnsi="宋体" w:eastAsia="宋体" w:cs="宋体"/>
                <w:snapToGrid w:val="0"/>
                <w:color w:val="auto"/>
                <w:spacing w:val="-3"/>
                <w:kern w:val="0"/>
                <w:sz w:val="24"/>
                <w:szCs w:val="24"/>
                <w:lang w:eastAsia="en-US"/>
              </w:rPr>
              <w:t>，安全</w:t>
            </w:r>
            <w:r>
              <w:rPr>
                <w:rFonts w:ascii="宋体" w:hAnsi="宋体" w:eastAsia="宋体" w:cs="宋体"/>
                <w:snapToGrid w:val="0"/>
                <w:color w:val="auto"/>
                <w:spacing w:val="-2"/>
                <w:kern w:val="0"/>
                <w:sz w:val="24"/>
                <w:szCs w:val="24"/>
                <w:lang w:eastAsia="en-US"/>
              </w:rPr>
              <w:t>越夏。暖季型草夏季勤浇水，宜早、晚浇，保持生长。灌溉方式应</w:t>
            </w:r>
            <w:r>
              <w:rPr>
                <w:rFonts w:ascii="宋体" w:hAnsi="宋体" w:eastAsia="宋体" w:cs="宋体"/>
                <w:snapToGrid w:val="0"/>
                <w:color w:val="auto"/>
                <w:spacing w:val="-3"/>
                <w:kern w:val="0"/>
                <w:sz w:val="24"/>
                <w:szCs w:val="24"/>
                <w:lang w:eastAsia="en-US"/>
              </w:rPr>
              <w:t>以喷灌</w:t>
            </w:r>
            <w:r>
              <w:rPr>
                <w:rFonts w:ascii="宋体" w:hAnsi="宋体" w:eastAsia="宋体" w:cs="宋体"/>
                <w:snapToGrid w:val="0"/>
                <w:color w:val="auto"/>
                <w:spacing w:val="-2"/>
                <w:kern w:val="0"/>
                <w:sz w:val="24"/>
                <w:szCs w:val="24"/>
                <w:lang w:eastAsia="en-US"/>
              </w:rPr>
              <w:t>为主，也可用人工灌溉；冷季型草高于</w:t>
            </w:r>
            <w:r>
              <w:rPr>
                <w:rFonts w:ascii="Times New Roman" w:hAnsi="Times New Roman" w:eastAsia="Times New Roman" w:cs="Times New Roman"/>
                <w:snapToGrid w:val="0"/>
                <w:color w:val="auto"/>
                <w:spacing w:val="-2"/>
                <w:kern w:val="0"/>
                <w:sz w:val="24"/>
                <w:szCs w:val="24"/>
                <w:lang w:eastAsia="en-US"/>
              </w:rPr>
              <w:t>8cm</w:t>
            </w:r>
            <w:r>
              <w:rPr>
                <w:rFonts w:ascii="宋体" w:hAnsi="宋体" w:eastAsia="宋体" w:cs="宋体"/>
                <w:snapToGrid w:val="0"/>
                <w:color w:val="auto"/>
                <w:spacing w:val="-2"/>
                <w:kern w:val="0"/>
                <w:sz w:val="24"/>
                <w:szCs w:val="24"/>
                <w:lang w:eastAsia="en-US"/>
              </w:rPr>
              <w:t>，</w:t>
            </w:r>
            <w:r>
              <w:rPr>
                <w:rFonts w:ascii="宋体" w:hAnsi="宋体" w:eastAsia="宋体" w:cs="宋体"/>
                <w:snapToGrid w:val="0"/>
                <w:color w:val="auto"/>
                <w:spacing w:val="-3"/>
                <w:kern w:val="0"/>
                <w:sz w:val="24"/>
                <w:szCs w:val="24"/>
                <w:lang w:eastAsia="en-US"/>
              </w:rPr>
              <w:t>暖季型草高于</w:t>
            </w:r>
            <w:r>
              <w:rPr>
                <w:rFonts w:ascii="Times New Roman" w:hAnsi="Times New Roman" w:eastAsia="Times New Roman" w:cs="Times New Roman"/>
                <w:snapToGrid w:val="0"/>
                <w:color w:val="auto"/>
                <w:spacing w:val="-3"/>
                <w:kern w:val="0"/>
                <w:sz w:val="24"/>
                <w:szCs w:val="24"/>
                <w:lang w:eastAsia="en-US"/>
              </w:rPr>
              <w:t>5cm</w:t>
            </w:r>
            <w:r>
              <w:rPr>
                <w:rFonts w:ascii="宋体" w:hAnsi="宋体" w:eastAsia="宋体" w:cs="宋体"/>
                <w:snapToGrid w:val="0"/>
                <w:color w:val="auto"/>
                <w:spacing w:val="-3"/>
                <w:kern w:val="0"/>
                <w:sz w:val="24"/>
                <w:szCs w:val="24"/>
                <w:lang w:eastAsia="en-US"/>
              </w:rPr>
              <w:t>应进行修剪。冷季型草修剪高度</w:t>
            </w:r>
            <w:r>
              <w:rPr>
                <w:rFonts w:ascii="Times New Roman" w:hAnsi="Times New Roman" w:eastAsia="Times New Roman" w:cs="Times New Roman"/>
                <w:snapToGrid w:val="0"/>
                <w:color w:val="auto"/>
                <w:spacing w:val="-3"/>
                <w:kern w:val="0"/>
                <w:sz w:val="24"/>
                <w:szCs w:val="24"/>
                <w:lang w:eastAsia="en-US"/>
              </w:rPr>
              <w:t>4cm-5cm</w:t>
            </w:r>
            <w:r>
              <w:rPr>
                <w:rFonts w:ascii="宋体" w:hAnsi="宋体" w:eastAsia="宋体" w:cs="宋体"/>
                <w:snapToGrid w:val="0"/>
                <w:color w:val="auto"/>
                <w:spacing w:val="-3"/>
                <w:kern w:val="0"/>
                <w:sz w:val="24"/>
                <w:szCs w:val="24"/>
                <w:lang w:eastAsia="en-US"/>
              </w:rPr>
              <w:t>，暖季型</w:t>
            </w:r>
            <w:r>
              <w:rPr>
                <w:rFonts w:ascii="宋体" w:hAnsi="宋体" w:eastAsia="宋体" w:cs="宋体"/>
                <w:snapToGrid w:val="0"/>
                <w:color w:val="auto"/>
                <w:spacing w:val="-4"/>
                <w:kern w:val="0"/>
                <w:sz w:val="24"/>
                <w:szCs w:val="24"/>
                <w:lang w:eastAsia="en-US"/>
              </w:rPr>
              <w:t>草修剪高度为</w:t>
            </w:r>
            <w:r>
              <w:rPr>
                <w:rFonts w:ascii="Times New Roman" w:hAnsi="Times New Roman" w:eastAsia="Times New Roman" w:cs="Times New Roman"/>
                <w:snapToGrid w:val="0"/>
                <w:color w:val="auto"/>
                <w:spacing w:val="-4"/>
                <w:kern w:val="0"/>
                <w:sz w:val="24"/>
                <w:szCs w:val="24"/>
                <w:lang w:eastAsia="en-US"/>
              </w:rPr>
              <w:t>3cm-4cm</w:t>
            </w:r>
            <w:r>
              <w:rPr>
                <w:rFonts w:ascii="宋体" w:hAnsi="宋体" w:eastAsia="宋体" w:cs="宋体"/>
                <w:snapToGrid w:val="0"/>
                <w:color w:val="auto"/>
                <w:spacing w:val="-4"/>
                <w:kern w:val="0"/>
                <w:sz w:val="24"/>
                <w:szCs w:val="24"/>
                <w:lang w:eastAsia="en-US"/>
              </w:rPr>
              <w:t>。杂草应</w:t>
            </w:r>
            <w:r>
              <w:rPr>
                <w:rFonts w:ascii="宋体" w:hAnsi="宋体" w:eastAsia="宋体" w:cs="宋体"/>
                <w:snapToGrid w:val="0"/>
                <w:color w:val="auto"/>
                <w:spacing w:val="-2"/>
                <w:kern w:val="0"/>
                <w:sz w:val="24"/>
                <w:szCs w:val="24"/>
                <w:lang w:eastAsia="en-US"/>
              </w:rPr>
              <w:t>及时清除，宜采用生物除草和机械除草，必要时也可用人工</w:t>
            </w:r>
            <w:r>
              <w:rPr>
                <w:rFonts w:ascii="宋体" w:hAnsi="宋体" w:eastAsia="宋体" w:cs="宋体"/>
                <w:snapToGrid w:val="0"/>
                <w:color w:val="auto"/>
                <w:spacing w:val="-3"/>
                <w:kern w:val="0"/>
                <w:sz w:val="24"/>
                <w:szCs w:val="24"/>
                <w:lang w:eastAsia="en-US"/>
              </w:rPr>
              <w:t>挑草。冷季型</w:t>
            </w:r>
            <w:r>
              <w:rPr>
                <w:rFonts w:ascii="宋体" w:hAnsi="宋体" w:eastAsia="宋体" w:cs="宋体"/>
                <w:snapToGrid w:val="0"/>
                <w:color w:val="auto"/>
                <w:spacing w:val="-2"/>
                <w:kern w:val="0"/>
                <w:sz w:val="24"/>
                <w:szCs w:val="24"/>
                <w:lang w:eastAsia="en-US"/>
              </w:rPr>
              <w:t>草种追肥宜在春季和秋季，暖季型草种施肥宜在晚春。追肥应以复</w:t>
            </w:r>
            <w:r>
              <w:rPr>
                <w:rFonts w:ascii="宋体" w:hAnsi="宋体" w:eastAsia="宋体" w:cs="宋体"/>
                <w:snapToGrid w:val="0"/>
                <w:color w:val="auto"/>
                <w:spacing w:val="-3"/>
                <w:kern w:val="0"/>
                <w:sz w:val="24"/>
                <w:szCs w:val="24"/>
                <w:lang w:eastAsia="en-US"/>
              </w:rPr>
              <w:t>合肥料</w:t>
            </w:r>
            <w:r>
              <w:rPr>
                <w:rFonts w:ascii="宋体" w:hAnsi="宋体" w:eastAsia="宋体" w:cs="宋体"/>
                <w:snapToGrid w:val="0"/>
                <w:color w:val="auto"/>
                <w:spacing w:val="-2"/>
                <w:kern w:val="0"/>
                <w:sz w:val="24"/>
                <w:szCs w:val="24"/>
                <w:lang w:eastAsia="en-US"/>
              </w:rPr>
              <w:t>为主，追肥时间和数量可根据土壤肥力、草种和幼苗生长等情况而</w:t>
            </w:r>
            <w:r>
              <w:rPr>
                <w:rFonts w:ascii="宋体" w:hAnsi="宋体" w:eastAsia="宋体" w:cs="宋体"/>
                <w:snapToGrid w:val="0"/>
                <w:color w:val="auto"/>
                <w:spacing w:val="-3"/>
                <w:kern w:val="0"/>
                <w:sz w:val="24"/>
                <w:szCs w:val="24"/>
                <w:lang w:eastAsia="en-US"/>
              </w:rPr>
              <w:t>定。病</w:t>
            </w:r>
            <w:r>
              <w:rPr>
                <w:rFonts w:ascii="宋体" w:hAnsi="宋体" w:eastAsia="宋体" w:cs="宋体"/>
                <w:snapToGrid w:val="0"/>
                <w:color w:val="auto"/>
                <w:spacing w:val="-2"/>
                <w:kern w:val="0"/>
                <w:sz w:val="24"/>
                <w:szCs w:val="24"/>
                <w:lang w:eastAsia="en-US"/>
              </w:rPr>
              <w:t>虫害的防治应遵循</w:t>
            </w:r>
            <w:r>
              <w:rPr>
                <w:rFonts w:hint="eastAsia" w:ascii="宋体" w:hAnsi="宋体" w:cs="宋体"/>
                <w:snapToGrid w:val="0"/>
                <w:color w:val="auto"/>
                <w:spacing w:val="-2"/>
                <w:kern w:val="0"/>
                <w:sz w:val="24"/>
                <w:szCs w:val="24"/>
                <w:lang w:eastAsia="zh-CN"/>
              </w:rPr>
              <w:t>预防为主</w:t>
            </w:r>
            <w:r>
              <w:rPr>
                <w:rFonts w:ascii="宋体" w:hAnsi="宋体" w:eastAsia="宋体" w:cs="宋体"/>
                <w:snapToGrid w:val="0"/>
                <w:color w:val="auto"/>
                <w:spacing w:val="-2"/>
                <w:kern w:val="0"/>
                <w:sz w:val="24"/>
                <w:szCs w:val="24"/>
                <w:lang w:eastAsia="en-US"/>
              </w:rPr>
              <w:t>，防治结合的原则。不同病虫害的防治</w:t>
            </w:r>
            <w:r>
              <w:rPr>
                <w:rFonts w:ascii="宋体" w:hAnsi="宋体" w:eastAsia="宋体" w:cs="宋体"/>
                <w:snapToGrid w:val="0"/>
                <w:color w:val="auto"/>
                <w:spacing w:val="-3"/>
                <w:kern w:val="0"/>
                <w:sz w:val="24"/>
                <w:szCs w:val="24"/>
                <w:lang w:eastAsia="en-US"/>
              </w:rPr>
              <w:t>可根据</w:t>
            </w:r>
            <w:r>
              <w:rPr>
                <w:rFonts w:ascii="宋体" w:hAnsi="宋体" w:eastAsia="宋体" w:cs="宋体"/>
                <w:snapToGrid w:val="0"/>
                <w:color w:val="auto"/>
                <w:spacing w:val="-1"/>
                <w:kern w:val="0"/>
                <w:sz w:val="24"/>
                <w:szCs w:val="24"/>
                <w:lang w:eastAsia="en-US"/>
              </w:rPr>
              <w:t>具体情况选择无公害药剂或高效低毒的化学药剂。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left"/>
              <w:textAlignment w:val="baseline"/>
              <w:outlineLvl w:val="3"/>
              <w:rPr>
                <w:rFonts w:hint="default" w:ascii="Times New Roman" w:hAnsi="Times New Roman" w:eastAsia="宋体" w:cs="Times New Roman"/>
                <w:b/>
                <w:bCs/>
                <w:snapToGrid w:val="0"/>
                <w:color w:val="auto"/>
                <w:spacing w:val="-4"/>
                <w:kern w:val="0"/>
                <w:sz w:val="24"/>
                <w:szCs w:val="24"/>
                <w:lang w:eastAsia="en-US"/>
              </w:rPr>
            </w:pPr>
            <w:r>
              <w:rPr>
                <w:rFonts w:hint="default" w:ascii="Times New Roman" w:hAnsi="Times New Roman" w:eastAsia="宋体" w:cs="Times New Roman"/>
                <w:b/>
                <w:bCs/>
                <w:snapToGrid w:val="0"/>
                <w:color w:val="auto"/>
                <w:spacing w:val="-4"/>
                <w:kern w:val="0"/>
                <w:sz w:val="24"/>
                <w:szCs w:val="24"/>
                <w:lang w:val="en-US" w:eastAsia="zh-CN"/>
              </w:rPr>
              <w:t>2、</w:t>
            </w:r>
            <w:r>
              <w:rPr>
                <w:rFonts w:hint="default" w:ascii="Times New Roman" w:hAnsi="Times New Roman" w:eastAsia="宋体" w:cs="Times New Roman"/>
                <w:b/>
                <w:bCs/>
                <w:snapToGrid w:val="0"/>
                <w:color w:val="auto"/>
                <w:spacing w:val="-4"/>
                <w:kern w:val="0"/>
                <w:sz w:val="24"/>
                <w:szCs w:val="24"/>
                <w:lang w:eastAsia="en-US"/>
              </w:rPr>
              <w:t>现有林改培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left"/>
              <w:textAlignment w:val="baseline"/>
              <w:outlineLvl w:val="3"/>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b/>
                <w:bCs/>
                <w:snapToGrid w:val="0"/>
                <w:color w:val="auto"/>
                <w:spacing w:val="-4"/>
                <w:kern w:val="0"/>
                <w:sz w:val="24"/>
                <w:szCs w:val="24"/>
                <w:lang w:eastAsia="en-US"/>
              </w:rPr>
              <w:t>（</w:t>
            </w:r>
            <w:r>
              <w:rPr>
                <w:rFonts w:hint="default" w:ascii="Times New Roman" w:hAnsi="Times New Roman" w:eastAsia="Times New Roman" w:cs="Times New Roman"/>
                <w:b/>
                <w:bCs/>
                <w:snapToGrid w:val="0"/>
                <w:color w:val="auto"/>
                <w:spacing w:val="-4"/>
                <w:kern w:val="0"/>
                <w:sz w:val="24"/>
                <w:szCs w:val="24"/>
                <w:lang w:eastAsia="en-US"/>
              </w:rPr>
              <w:t>1</w:t>
            </w:r>
            <w:r>
              <w:rPr>
                <w:rFonts w:hint="default" w:ascii="Times New Roman" w:hAnsi="Times New Roman" w:eastAsia="宋体" w:cs="Times New Roman"/>
                <w:b/>
                <w:bCs/>
                <w:snapToGrid w:val="0"/>
                <w:color w:val="auto"/>
                <w:spacing w:val="-4"/>
                <w:kern w:val="0"/>
                <w:sz w:val="24"/>
                <w:szCs w:val="24"/>
                <w:lang w:eastAsia="en-US"/>
              </w:rPr>
              <w:t>）实施范围与规模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jc w:val="both"/>
              <w:textAlignment w:val="baseline"/>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spacing w:val="-6"/>
                <w:kern w:val="0"/>
                <w:sz w:val="24"/>
                <w:szCs w:val="24"/>
                <w:lang w:eastAsia="en-US"/>
              </w:rPr>
              <w:t>现有林改培总规模</w:t>
            </w:r>
            <w:r>
              <w:rPr>
                <w:rFonts w:hint="default" w:ascii="Times New Roman" w:hAnsi="Times New Roman" w:eastAsia="Times New Roman" w:cs="Times New Roman"/>
                <w:snapToGrid w:val="0"/>
                <w:color w:val="auto"/>
                <w:spacing w:val="-6"/>
                <w:kern w:val="0"/>
                <w:sz w:val="24"/>
                <w:szCs w:val="24"/>
                <w:lang w:eastAsia="en-US"/>
              </w:rPr>
              <w:t>33541.61</w:t>
            </w:r>
            <w:r>
              <w:rPr>
                <w:rFonts w:hint="default" w:ascii="Times New Roman" w:hAnsi="Times New Roman" w:eastAsia="宋体" w:cs="Times New Roman"/>
                <w:snapToGrid w:val="0"/>
                <w:color w:val="auto"/>
                <w:spacing w:val="-6"/>
                <w:kern w:val="0"/>
                <w:sz w:val="24"/>
                <w:szCs w:val="24"/>
                <w:lang w:eastAsia="en-US"/>
              </w:rPr>
              <w:t>亩，涉及</w:t>
            </w:r>
            <w:r>
              <w:rPr>
                <w:rFonts w:hint="eastAsia" w:eastAsia="宋体" w:cs="Times New Roman"/>
                <w:snapToGrid w:val="0"/>
                <w:color w:val="auto"/>
                <w:spacing w:val="-6"/>
                <w:kern w:val="0"/>
                <w:sz w:val="24"/>
                <w:szCs w:val="24"/>
                <w:lang w:val="en-US" w:eastAsia="zh-CN"/>
              </w:rPr>
              <w:t>19</w:t>
            </w:r>
            <w:r>
              <w:rPr>
                <w:rFonts w:hint="default" w:ascii="Times New Roman" w:hAnsi="Times New Roman" w:eastAsia="宋体" w:cs="Times New Roman"/>
                <w:snapToGrid w:val="0"/>
                <w:color w:val="auto"/>
                <w:spacing w:val="-6"/>
                <w:kern w:val="0"/>
                <w:sz w:val="24"/>
                <w:szCs w:val="24"/>
                <w:lang w:eastAsia="en-US"/>
              </w:rPr>
              <w:t>个乡镇</w:t>
            </w:r>
            <w:r>
              <w:rPr>
                <w:rFonts w:hint="default" w:ascii="Times New Roman" w:hAnsi="Times New Roman" w:eastAsia="Times New Roman" w:cs="Times New Roman"/>
                <w:snapToGrid w:val="0"/>
                <w:color w:val="auto"/>
                <w:spacing w:val="-6"/>
                <w:kern w:val="0"/>
                <w:sz w:val="24"/>
                <w:szCs w:val="24"/>
                <w:lang w:eastAsia="en-US"/>
              </w:rPr>
              <w:t>229</w:t>
            </w:r>
            <w:r>
              <w:rPr>
                <w:rFonts w:hint="default" w:ascii="Times New Roman" w:hAnsi="Times New Roman" w:eastAsia="宋体" w:cs="Times New Roman"/>
                <w:snapToGrid w:val="0"/>
                <w:color w:val="auto"/>
                <w:spacing w:val="-6"/>
                <w:kern w:val="0"/>
                <w:sz w:val="24"/>
                <w:szCs w:val="24"/>
                <w:lang w:eastAsia="en-US"/>
              </w:rPr>
              <w:t>个村（社</w:t>
            </w:r>
            <w:r>
              <w:rPr>
                <w:rFonts w:hint="default" w:ascii="Times New Roman" w:hAnsi="Times New Roman" w:eastAsia="宋体" w:cs="Times New Roman"/>
                <w:snapToGrid w:val="0"/>
                <w:color w:val="auto"/>
                <w:spacing w:val="-2"/>
                <w:kern w:val="0"/>
                <w:sz w:val="24"/>
                <w:szCs w:val="24"/>
                <w:lang w:eastAsia="en-US"/>
              </w:rPr>
              <w:t>区）</w:t>
            </w:r>
            <w:r>
              <w:rPr>
                <w:rFonts w:hint="default" w:ascii="Times New Roman" w:hAnsi="Times New Roman" w:eastAsia="Times New Roman" w:cs="Times New Roman"/>
                <w:snapToGrid w:val="0"/>
                <w:color w:val="auto"/>
                <w:spacing w:val="-2"/>
                <w:kern w:val="0"/>
                <w:sz w:val="24"/>
                <w:szCs w:val="24"/>
                <w:lang w:eastAsia="en-US"/>
              </w:rPr>
              <w:t>1510</w:t>
            </w:r>
            <w:r>
              <w:rPr>
                <w:rFonts w:hint="default" w:ascii="Times New Roman" w:hAnsi="Times New Roman" w:eastAsia="宋体" w:cs="Times New Roman"/>
                <w:snapToGrid w:val="0"/>
                <w:color w:val="auto"/>
                <w:spacing w:val="-2"/>
                <w:kern w:val="0"/>
                <w:sz w:val="24"/>
                <w:szCs w:val="24"/>
                <w:lang w:eastAsia="en-US"/>
              </w:rPr>
              <w:t>个小班，各乡（镇）建设规模见</w:t>
            </w:r>
            <w:r>
              <w:rPr>
                <w:rFonts w:hint="default" w:ascii="Times New Roman" w:hAnsi="Times New Roman" w:cs="Times New Roman"/>
                <w:snapToGrid w:val="0"/>
                <w:color w:val="auto"/>
                <w:spacing w:val="-2"/>
                <w:kern w:val="0"/>
                <w:sz w:val="24"/>
                <w:szCs w:val="24"/>
                <w:lang w:eastAsia="zh-CN"/>
              </w:rPr>
              <w:t>表2</w:t>
            </w:r>
            <w:r>
              <w:rPr>
                <w:rFonts w:hint="default" w:ascii="Times New Roman" w:hAnsi="Times New Roman" w:eastAsia="Times New Roman" w:cs="Times New Roman"/>
                <w:snapToGrid w:val="0"/>
                <w:color w:val="auto"/>
                <w:spacing w:val="-2"/>
                <w:kern w:val="0"/>
                <w:sz w:val="24"/>
                <w:szCs w:val="24"/>
                <w:lang w:eastAsia="en-US"/>
              </w:rPr>
              <w:t>-</w:t>
            </w:r>
            <w:r>
              <w:rPr>
                <w:rFonts w:hint="eastAsia" w:cs="Times New Roman"/>
                <w:snapToGrid w:val="0"/>
                <w:color w:val="auto"/>
                <w:spacing w:val="-2"/>
                <w:kern w:val="0"/>
                <w:sz w:val="24"/>
                <w:szCs w:val="24"/>
                <w:lang w:val="en-US" w:eastAsia="zh-CN"/>
              </w:rPr>
              <w:t>9</w:t>
            </w:r>
            <w:r>
              <w:rPr>
                <w:rFonts w:hint="default" w:ascii="Times New Roman" w:hAnsi="Times New Roman" w:eastAsia="宋体" w:cs="Times New Roman"/>
                <w:snapToGrid w:val="0"/>
                <w:color w:val="auto"/>
                <w:spacing w:val="-2"/>
                <w:kern w:val="0"/>
                <w:sz w:val="24"/>
                <w:szCs w:val="24"/>
                <w:lang w:eastAsia="en-US"/>
              </w:rPr>
              <w:t>。提质培优型（涉及</w:t>
            </w:r>
            <w:r>
              <w:rPr>
                <w:rFonts w:hint="default" w:ascii="Times New Roman" w:hAnsi="Times New Roman" w:eastAsia="宋体" w:cs="Times New Roman"/>
                <w:snapToGrid w:val="0"/>
                <w:color w:val="auto"/>
                <w:spacing w:val="-3"/>
                <w:kern w:val="0"/>
                <w:sz w:val="24"/>
                <w:szCs w:val="24"/>
                <w:lang w:eastAsia="en-US"/>
              </w:rPr>
              <w:t>模型</w:t>
            </w:r>
            <w:r>
              <w:rPr>
                <w:rFonts w:hint="default" w:ascii="Times New Roman" w:hAnsi="Times New Roman" w:eastAsia="宋体" w:cs="Times New Roman"/>
                <w:snapToGrid w:val="0"/>
                <w:color w:val="auto"/>
                <w:spacing w:val="-8"/>
                <w:kern w:val="0"/>
                <w:sz w:val="24"/>
                <w:szCs w:val="24"/>
                <w:lang w:eastAsia="en-US"/>
              </w:rPr>
              <w:t>编号</w:t>
            </w:r>
            <w:r>
              <w:rPr>
                <w:rFonts w:hint="default" w:ascii="Times New Roman" w:hAnsi="Times New Roman" w:eastAsia="Times New Roman" w:cs="Times New Roman"/>
                <w:snapToGrid w:val="0"/>
                <w:color w:val="auto"/>
                <w:spacing w:val="-8"/>
                <w:kern w:val="0"/>
                <w:sz w:val="24"/>
                <w:szCs w:val="24"/>
                <w:lang w:eastAsia="en-US"/>
              </w:rPr>
              <w:t>GP01-</w:t>
            </w:r>
            <w:r>
              <w:rPr>
                <w:rFonts w:hint="default" w:ascii="Times New Roman" w:hAnsi="Times New Roman" w:eastAsia="宋体" w:cs="Times New Roman"/>
                <w:snapToGrid w:val="0"/>
                <w:color w:val="auto"/>
                <w:spacing w:val="-8"/>
                <w:kern w:val="0"/>
                <w:sz w:val="24"/>
                <w:szCs w:val="24"/>
                <w:lang w:eastAsia="en-US"/>
              </w:rPr>
              <w:t>新</w:t>
            </w:r>
            <w:r>
              <w:rPr>
                <w:rFonts w:hint="default" w:ascii="Times New Roman" w:hAnsi="Times New Roman" w:eastAsia="Times New Roman" w:cs="Times New Roman"/>
                <w:snapToGrid w:val="0"/>
                <w:color w:val="auto"/>
                <w:spacing w:val="-8"/>
                <w:kern w:val="0"/>
                <w:sz w:val="24"/>
                <w:szCs w:val="24"/>
                <w:lang w:eastAsia="en-US"/>
              </w:rPr>
              <w:t>-1</w:t>
            </w:r>
            <w:r>
              <w:rPr>
                <w:rFonts w:hint="default" w:ascii="Times New Roman" w:hAnsi="Times New Roman" w:eastAsia="宋体" w:cs="Times New Roman"/>
                <w:snapToGrid w:val="0"/>
                <w:color w:val="auto"/>
                <w:spacing w:val="-8"/>
                <w:kern w:val="0"/>
                <w:sz w:val="24"/>
                <w:szCs w:val="24"/>
                <w:lang w:eastAsia="en-US"/>
              </w:rPr>
              <w:t>至</w:t>
            </w:r>
            <w:r>
              <w:rPr>
                <w:rFonts w:hint="default" w:ascii="Times New Roman" w:hAnsi="Times New Roman" w:eastAsia="Times New Roman" w:cs="Times New Roman"/>
                <w:snapToGrid w:val="0"/>
                <w:color w:val="auto"/>
                <w:spacing w:val="-8"/>
                <w:kern w:val="0"/>
                <w:sz w:val="24"/>
                <w:szCs w:val="24"/>
                <w:lang w:eastAsia="en-US"/>
              </w:rPr>
              <w:t>GP01-</w:t>
            </w:r>
            <w:r>
              <w:rPr>
                <w:rFonts w:hint="default" w:ascii="Times New Roman" w:hAnsi="Times New Roman" w:eastAsia="宋体" w:cs="Times New Roman"/>
                <w:snapToGrid w:val="0"/>
                <w:color w:val="auto"/>
                <w:spacing w:val="-8"/>
                <w:kern w:val="0"/>
                <w:sz w:val="24"/>
                <w:szCs w:val="24"/>
                <w:lang w:eastAsia="en-US"/>
              </w:rPr>
              <w:t>新</w:t>
            </w:r>
            <w:r>
              <w:rPr>
                <w:rFonts w:hint="default" w:ascii="Times New Roman" w:hAnsi="Times New Roman" w:eastAsia="Times New Roman" w:cs="Times New Roman"/>
                <w:snapToGrid w:val="0"/>
                <w:color w:val="auto"/>
                <w:spacing w:val="-8"/>
                <w:kern w:val="0"/>
                <w:sz w:val="24"/>
                <w:szCs w:val="24"/>
                <w:lang w:eastAsia="en-US"/>
              </w:rPr>
              <w:t>-3</w:t>
            </w:r>
            <w:r>
              <w:rPr>
                <w:rFonts w:hint="default" w:ascii="Times New Roman" w:hAnsi="Times New Roman" w:eastAsia="宋体" w:cs="Times New Roman"/>
                <w:snapToGrid w:val="0"/>
                <w:color w:val="auto"/>
                <w:spacing w:val="-8"/>
                <w:kern w:val="0"/>
                <w:sz w:val="24"/>
                <w:szCs w:val="24"/>
                <w:lang w:eastAsia="en-US"/>
              </w:rPr>
              <w:t>）改培方式面积</w:t>
            </w:r>
            <w:r>
              <w:rPr>
                <w:rFonts w:hint="default" w:ascii="Times New Roman" w:hAnsi="Times New Roman" w:eastAsia="Times New Roman" w:cs="Times New Roman"/>
                <w:snapToGrid w:val="0"/>
                <w:color w:val="auto"/>
                <w:spacing w:val="-8"/>
                <w:kern w:val="0"/>
                <w:sz w:val="24"/>
                <w:szCs w:val="24"/>
                <w:lang w:eastAsia="en-US"/>
              </w:rPr>
              <w:t>11932</w:t>
            </w:r>
            <w:r>
              <w:rPr>
                <w:rFonts w:hint="default" w:ascii="Times New Roman" w:hAnsi="Times New Roman" w:eastAsia="Times New Roman" w:cs="Times New Roman"/>
                <w:snapToGrid w:val="0"/>
                <w:color w:val="auto"/>
                <w:spacing w:val="-9"/>
                <w:kern w:val="0"/>
                <w:sz w:val="24"/>
                <w:szCs w:val="24"/>
                <w:lang w:eastAsia="en-US"/>
              </w:rPr>
              <w:t>.49</w:t>
            </w:r>
            <w:r>
              <w:rPr>
                <w:rFonts w:hint="default" w:ascii="Times New Roman" w:hAnsi="Times New Roman" w:eastAsia="宋体" w:cs="Times New Roman"/>
                <w:snapToGrid w:val="0"/>
                <w:color w:val="auto"/>
                <w:spacing w:val="-9"/>
                <w:kern w:val="0"/>
                <w:sz w:val="24"/>
                <w:szCs w:val="24"/>
                <w:lang w:eastAsia="en-US"/>
              </w:rPr>
              <w:t>亩，改造培育型（模</w:t>
            </w:r>
            <w:r>
              <w:rPr>
                <w:rFonts w:hint="default" w:ascii="Times New Roman" w:hAnsi="Times New Roman" w:eastAsia="宋体" w:cs="Times New Roman"/>
                <w:snapToGrid w:val="0"/>
                <w:color w:val="auto"/>
                <w:spacing w:val="-2"/>
                <w:kern w:val="0"/>
                <w:sz w:val="24"/>
                <w:szCs w:val="24"/>
                <w:lang w:eastAsia="en-US"/>
              </w:rPr>
              <w:t>型编号</w:t>
            </w:r>
            <w:r>
              <w:rPr>
                <w:rFonts w:hint="default" w:ascii="Times New Roman" w:hAnsi="Times New Roman" w:eastAsia="Times New Roman" w:cs="Times New Roman"/>
                <w:snapToGrid w:val="0"/>
                <w:color w:val="auto"/>
                <w:spacing w:val="-2"/>
                <w:kern w:val="0"/>
                <w:sz w:val="24"/>
                <w:szCs w:val="24"/>
                <w:lang w:eastAsia="en-US"/>
              </w:rPr>
              <w:t>GP02-</w:t>
            </w:r>
            <w:r>
              <w:rPr>
                <w:rFonts w:hint="default" w:ascii="Times New Roman" w:hAnsi="Times New Roman" w:eastAsia="宋体" w:cs="Times New Roman"/>
                <w:snapToGrid w:val="0"/>
                <w:color w:val="auto"/>
                <w:spacing w:val="-2"/>
                <w:kern w:val="0"/>
                <w:sz w:val="24"/>
                <w:szCs w:val="24"/>
                <w:lang w:eastAsia="en-US"/>
              </w:rPr>
              <w:t>新</w:t>
            </w:r>
            <w:r>
              <w:rPr>
                <w:rFonts w:hint="default" w:ascii="Times New Roman" w:hAnsi="Times New Roman" w:eastAsia="Times New Roman" w:cs="Times New Roman"/>
                <w:snapToGrid w:val="0"/>
                <w:color w:val="auto"/>
                <w:spacing w:val="-2"/>
                <w:kern w:val="0"/>
                <w:sz w:val="24"/>
                <w:szCs w:val="24"/>
                <w:lang w:eastAsia="en-US"/>
              </w:rPr>
              <w:t>-1</w:t>
            </w:r>
            <w:r>
              <w:rPr>
                <w:rFonts w:hint="default" w:ascii="Times New Roman" w:hAnsi="Times New Roman" w:eastAsia="宋体" w:cs="Times New Roman"/>
                <w:snapToGrid w:val="0"/>
                <w:color w:val="auto"/>
                <w:spacing w:val="-2"/>
                <w:kern w:val="0"/>
                <w:sz w:val="24"/>
                <w:szCs w:val="24"/>
                <w:lang w:eastAsia="en-US"/>
              </w:rPr>
              <w:t>至</w:t>
            </w:r>
            <w:r>
              <w:rPr>
                <w:rFonts w:hint="default" w:ascii="Times New Roman" w:hAnsi="Times New Roman" w:eastAsia="Times New Roman" w:cs="Times New Roman"/>
                <w:snapToGrid w:val="0"/>
                <w:color w:val="auto"/>
                <w:spacing w:val="-2"/>
                <w:kern w:val="0"/>
                <w:sz w:val="24"/>
                <w:szCs w:val="24"/>
                <w:lang w:eastAsia="en-US"/>
              </w:rPr>
              <w:t>GP02-</w:t>
            </w:r>
            <w:r>
              <w:rPr>
                <w:rFonts w:hint="default" w:ascii="Times New Roman" w:hAnsi="Times New Roman" w:eastAsia="宋体" w:cs="Times New Roman"/>
                <w:snapToGrid w:val="0"/>
                <w:color w:val="auto"/>
                <w:spacing w:val="-2"/>
                <w:kern w:val="0"/>
                <w:sz w:val="24"/>
                <w:szCs w:val="24"/>
                <w:lang w:eastAsia="en-US"/>
              </w:rPr>
              <w:t>新</w:t>
            </w:r>
            <w:r>
              <w:rPr>
                <w:rFonts w:hint="default" w:ascii="Times New Roman" w:hAnsi="Times New Roman" w:eastAsia="Times New Roman" w:cs="Times New Roman"/>
                <w:snapToGrid w:val="0"/>
                <w:color w:val="auto"/>
                <w:spacing w:val="-2"/>
                <w:kern w:val="0"/>
                <w:sz w:val="24"/>
                <w:szCs w:val="24"/>
                <w:lang w:eastAsia="en-US"/>
              </w:rPr>
              <w:t>-5</w:t>
            </w:r>
            <w:r>
              <w:rPr>
                <w:rFonts w:hint="default" w:ascii="Times New Roman" w:hAnsi="Times New Roman" w:eastAsia="宋体" w:cs="Times New Roman"/>
                <w:snapToGrid w:val="0"/>
                <w:color w:val="auto"/>
                <w:spacing w:val="-2"/>
                <w:kern w:val="0"/>
                <w:sz w:val="24"/>
                <w:szCs w:val="24"/>
                <w:lang w:eastAsia="en-US"/>
              </w:rPr>
              <w:t>）改培方式面积</w:t>
            </w:r>
            <w:r>
              <w:rPr>
                <w:rFonts w:hint="default" w:ascii="Times New Roman" w:hAnsi="Times New Roman" w:eastAsia="Times New Roman" w:cs="Times New Roman"/>
                <w:snapToGrid w:val="0"/>
                <w:color w:val="auto"/>
                <w:spacing w:val="-2"/>
                <w:kern w:val="0"/>
                <w:sz w:val="24"/>
                <w:szCs w:val="24"/>
                <w:lang w:eastAsia="en-US"/>
              </w:rPr>
              <w:t>21609.12</w:t>
            </w:r>
            <w:r>
              <w:rPr>
                <w:rFonts w:hint="default" w:ascii="Times New Roman" w:hAnsi="Times New Roman" w:eastAsia="宋体" w:cs="Times New Roman"/>
                <w:snapToGrid w:val="0"/>
                <w:color w:val="auto"/>
                <w:spacing w:val="-2"/>
                <w:kern w:val="0"/>
                <w:sz w:val="24"/>
                <w:szCs w:val="24"/>
                <w:lang w:eastAsia="en-US"/>
              </w:rPr>
              <w:t>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en-US"/>
              </w:rPr>
            </w:pPr>
            <w:r>
              <w:rPr>
                <w:rFonts w:hint="default" w:ascii="Times New Roman" w:hAnsi="Times New Roman" w:eastAsia="宋体" w:cs="Times New Roman"/>
                <w:b/>
                <w:bCs/>
                <w:color w:val="auto"/>
                <w:sz w:val="21"/>
                <w:szCs w:val="21"/>
                <w:lang w:val="en-US" w:eastAsia="en-US"/>
              </w:rPr>
              <w:t>表</w:t>
            </w:r>
            <w:r>
              <w:rPr>
                <w:rFonts w:hint="default"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en-US"/>
              </w:rPr>
              <w:t>-</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en-US"/>
              </w:rPr>
              <w:t xml:space="preserve">  现有林改培实施范围与规模简表</w:t>
            </w:r>
          </w:p>
          <w:tbl>
            <w:tblPr>
              <w:tblStyle w:val="55"/>
              <w:tblW w:w="796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3"/>
              <w:gridCol w:w="1760"/>
              <w:gridCol w:w="2221"/>
              <w:gridCol w:w="22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6"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65" w:line="22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3"/>
                      <w:kern w:val="0"/>
                      <w:sz w:val="21"/>
                      <w:szCs w:val="21"/>
                      <w:lang w:val="en-US" w:eastAsia="en-US" w:bidi="ar-SA"/>
                    </w:rPr>
                    <w:t>乡镇（街道）</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1"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65" w:line="22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4"/>
                      <w:kern w:val="0"/>
                      <w:sz w:val="21"/>
                      <w:szCs w:val="21"/>
                      <w:lang w:val="en-US" w:eastAsia="en-US" w:bidi="ar-SA"/>
                    </w:rPr>
                    <w:t>合计（亩）</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5" w:line="22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5"/>
                      <w:kern w:val="0"/>
                      <w:sz w:val="21"/>
                      <w:szCs w:val="21"/>
                      <w:lang w:val="en-US" w:eastAsia="en-US" w:bidi="ar-SA"/>
                    </w:rPr>
                    <w:t>提质培优型（亩）</w:t>
                  </w:r>
                </w:p>
                <w:p>
                  <w:pPr>
                    <w:keepNext w:val="0"/>
                    <w:keepLines w:val="0"/>
                    <w:pageBreakBefore w:val="0"/>
                    <w:widowControl/>
                    <w:kinsoku w:val="0"/>
                    <w:wordWrap/>
                    <w:overflowPunct/>
                    <w:topLinePunct w:val="0"/>
                    <w:autoSpaceDE w:val="0"/>
                    <w:autoSpaceDN w:val="0"/>
                    <w:bidi w:val="0"/>
                    <w:adjustRightInd w:val="0"/>
                    <w:snapToGrid w:val="0"/>
                    <w:spacing w:before="24" w:line="235"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5"/>
                      <w:kern w:val="0"/>
                      <w:sz w:val="21"/>
                      <w:szCs w:val="21"/>
                      <w:lang w:val="en-US" w:eastAsia="en-US" w:bidi="ar-SA"/>
                    </w:rPr>
                    <w:t>（模型编号</w:t>
                  </w:r>
                  <w:r>
                    <w:rPr>
                      <w:rFonts w:hint="default" w:ascii="Times New Roman" w:hAnsi="Times New Roman" w:eastAsia="Times New Roman" w:cs="Times New Roman"/>
                      <w:b/>
                      <w:bCs/>
                      <w:snapToGrid w:val="0"/>
                      <w:color w:val="auto"/>
                      <w:kern w:val="0"/>
                      <w:sz w:val="21"/>
                      <w:szCs w:val="21"/>
                      <w:lang w:val="en-US" w:eastAsia="en-US" w:bidi="ar-SA"/>
                    </w:rPr>
                    <w:t>GP</w:t>
                  </w:r>
                  <w:r>
                    <w:rPr>
                      <w:rFonts w:hint="default" w:ascii="Times New Roman" w:hAnsi="Times New Roman" w:eastAsia="Times New Roman" w:cs="Times New Roman"/>
                      <w:b/>
                      <w:bCs/>
                      <w:snapToGrid w:val="0"/>
                      <w:color w:val="auto"/>
                      <w:spacing w:val="5"/>
                      <w:kern w:val="0"/>
                      <w:sz w:val="21"/>
                      <w:szCs w:val="21"/>
                      <w:lang w:val="en-US" w:eastAsia="en-US" w:bidi="ar-SA"/>
                    </w:rPr>
                    <w:t>01-</w:t>
                  </w:r>
                  <w:r>
                    <w:rPr>
                      <w:rFonts w:hint="default" w:ascii="Times New Roman" w:hAnsi="Times New Roman" w:eastAsia="宋体" w:cs="Times New Roman"/>
                      <w:b/>
                      <w:bCs/>
                      <w:snapToGrid w:val="0"/>
                      <w:color w:val="auto"/>
                      <w:spacing w:val="5"/>
                      <w:kern w:val="0"/>
                      <w:sz w:val="21"/>
                      <w:szCs w:val="21"/>
                      <w:lang w:val="en-US" w:eastAsia="en-US" w:bidi="ar-SA"/>
                    </w:rPr>
                    <w:t>新</w:t>
                  </w:r>
                  <w:r>
                    <w:rPr>
                      <w:rFonts w:hint="default" w:ascii="Times New Roman" w:hAnsi="Times New Roman" w:eastAsia="Times New Roman" w:cs="Times New Roman"/>
                      <w:b/>
                      <w:bCs/>
                      <w:snapToGrid w:val="0"/>
                      <w:color w:val="auto"/>
                      <w:spacing w:val="5"/>
                      <w:kern w:val="0"/>
                      <w:sz w:val="21"/>
                      <w:szCs w:val="21"/>
                      <w:lang w:val="en-US" w:eastAsia="en-US" w:bidi="ar-SA"/>
                    </w:rPr>
                    <w:t>-1</w:t>
                  </w:r>
                  <w:r>
                    <w:rPr>
                      <w:rFonts w:hint="default" w:ascii="Times New Roman" w:hAnsi="Times New Roman" w:eastAsia="宋体" w:cs="Times New Roman"/>
                      <w:b/>
                      <w:bCs/>
                      <w:snapToGrid w:val="0"/>
                      <w:color w:val="auto"/>
                      <w:spacing w:val="5"/>
                      <w:kern w:val="0"/>
                      <w:sz w:val="21"/>
                      <w:szCs w:val="21"/>
                      <w:lang w:val="en-US" w:eastAsia="en-US" w:bidi="ar-SA"/>
                    </w:rPr>
                    <w:t>至</w:t>
                  </w:r>
                  <w:r>
                    <w:rPr>
                      <w:rFonts w:hint="default" w:ascii="Times New Roman" w:hAnsi="Times New Roman" w:eastAsia="Times New Roman" w:cs="Times New Roman"/>
                      <w:b/>
                      <w:bCs/>
                      <w:snapToGrid w:val="0"/>
                      <w:color w:val="auto"/>
                      <w:kern w:val="0"/>
                      <w:sz w:val="21"/>
                      <w:szCs w:val="21"/>
                      <w:lang w:val="en-US" w:eastAsia="en-US" w:bidi="ar-SA"/>
                    </w:rPr>
                    <w:t>GP</w:t>
                  </w:r>
                  <w:r>
                    <w:rPr>
                      <w:rFonts w:hint="default" w:ascii="Times New Roman" w:hAnsi="Times New Roman" w:eastAsia="Times New Roman" w:cs="Times New Roman"/>
                      <w:b/>
                      <w:bCs/>
                      <w:snapToGrid w:val="0"/>
                      <w:color w:val="auto"/>
                      <w:spacing w:val="4"/>
                      <w:kern w:val="0"/>
                      <w:sz w:val="21"/>
                      <w:szCs w:val="21"/>
                      <w:lang w:val="en-US" w:eastAsia="en-US" w:bidi="ar-SA"/>
                    </w:rPr>
                    <w:t>01-</w:t>
                  </w:r>
                  <w:r>
                    <w:rPr>
                      <w:rFonts w:hint="default" w:ascii="Times New Roman" w:hAnsi="Times New Roman" w:eastAsia="宋体" w:cs="Times New Roman"/>
                      <w:b/>
                      <w:bCs/>
                      <w:snapToGrid w:val="0"/>
                      <w:color w:val="auto"/>
                      <w:spacing w:val="4"/>
                      <w:kern w:val="0"/>
                      <w:sz w:val="21"/>
                      <w:szCs w:val="21"/>
                      <w:lang w:val="en-US" w:eastAsia="en-US" w:bidi="ar-SA"/>
                    </w:rPr>
                    <w:t>新</w:t>
                  </w:r>
                  <w:r>
                    <w:rPr>
                      <w:rFonts w:hint="default" w:ascii="Times New Roman" w:hAnsi="Times New Roman" w:eastAsia="Times New Roman" w:cs="Times New Roman"/>
                      <w:b/>
                      <w:bCs/>
                      <w:snapToGrid w:val="0"/>
                      <w:color w:val="auto"/>
                      <w:spacing w:val="4"/>
                      <w:kern w:val="0"/>
                      <w:sz w:val="21"/>
                      <w:szCs w:val="21"/>
                      <w:lang w:val="en-US" w:eastAsia="en-US" w:bidi="ar-SA"/>
                    </w:rPr>
                    <w:t>-3</w:t>
                  </w:r>
                  <w:r>
                    <w:rPr>
                      <w:rFonts w:hint="default" w:ascii="Times New Roman" w:hAnsi="Times New Roman" w:eastAsia="宋体" w:cs="Times New Roman"/>
                      <w:b/>
                      <w:bCs/>
                      <w:snapToGrid w:val="0"/>
                      <w:color w:val="auto"/>
                      <w:spacing w:val="4"/>
                      <w:kern w:val="0"/>
                      <w:sz w:val="21"/>
                      <w:szCs w:val="21"/>
                      <w:lang w:val="en-US" w:eastAsia="en-US" w:bidi="ar-SA"/>
                    </w:rPr>
                    <w:t>）</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5" w:line="22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4"/>
                      <w:kern w:val="0"/>
                      <w:sz w:val="21"/>
                      <w:szCs w:val="21"/>
                      <w:lang w:val="en-US" w:eastAsia="en-US" w:bidi="ar-SA"/>
                    </w:rPr>
                    <w:t>改造培育型（亩）</w:t>
                  </w:r>
                </w:p>
                <w:p>
                  <w:pPr>
                    <w:keepNext w:val="0"/>
                    <w:keepLines w:val="0"/>
                    <w:pageBreakBefore w:val="0"/>
                    <w:widowControl/>
                    <w:kinsoku w:val="0"/>
                    <w:wordWrap/>
                    <w:overflowPunct/>
                    <w:topLinePunct w:val="0"/>
                    <w:autoSpaceDE w:val="0"/>
                    <w:autoSpaceDN w:val="0"/>
                    <w:bidi w:val="0"/>
                    <w:adjustRightInd w:val="0"/>
                    <w:snapToGrid w:val="0"/>
                    <w:spacing w:before="24" w:line="235"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5"/>
                      <w:kern w:val="0"/>
                      <w:sz w:val="21"/>
                      <w:szCs w:val="21"/>
                      <w:lang w:val="en-US" w:eastAsia="en-US" w:bidi="ar-SA"/>
                    </w:rPr>
                    <w:t>（模型编号</w:t>
                  </w:r>
                  <w:r>
                    <w:rPr>
                      <w:rFonts w:hint="default" w:ascii="Times New Roman" w:hAnsi="Times New Roman" w:eastAsia="Times New Roman" w:cs="Times New Roman"/>
                      <w:b/>
                      <w:bCs/>
                      <w:snapToGrid w:val="0"/>
                      <w:color w:val="auto"/>
                      <w:kern w:val="0"/>
                      <w:sz w:val="21"/>
                      <w:szCs w:val="21"/>
                      <w:lang w:val="en-US" w:eastAsia="en-US" w:bidi="ar-SA"/>
                    </w:rPr>
                    <w:t>GP</w:t>
                  </w:r>
                  <w:r>
                    <w:rPr>
                      <w:rFonts w:hint="default" w:ascii="Times New Roman" w:hAnsi="Times New Roman" w:eastAsia="Times New Roman" w:cs="Times New Roman"/>
                      <w:b/>
                      <w:bCs/>
                      <w:snapToGrid w:val="0"/>
                      <w:color w:val="auto"/>
                      <w:spacing w:val="5"/>
                      <w:kern w:val="0"/>
                      <w:sz w:val="21"/>
                      <w:szCs w:val="21"/>
                      <w:lang w:val="en-US" w:eastAsia="en-US" w:bidi="ar-SA"/>
                    </w:rPr>
                    <w:t>02-</w:t>
                  </w:r>
                  <w:r>
                    <w:rPr>
                      <w:rFonts w:hint="default" w:ascii="Times New Roman" w:hAnsi="Times New Roman" w:eastAsia="宋体" w:cs="Times New Roman"/>
                      <w:b/>
                      <w:bCs/>
                      <w:snapToGrid w:val="0"/>
                      <w:color w:val="auto"/>
                      <w:spacing w:val="5"/>
                      <w:kern w:val="0"/>
                      <w:sz w:val="21"/>
                      <w:szCs w:val="21"/>
                      <w:lang w:val="en-US" w:eastAsia="en-US" w:bidi="ar-SA"/>
                    </w:rPr>
                    <w:t>新</w:t>
                  </w:r>
                  <w:r>
                    <w:rPr>
                      <w:rFonts w:hint="default" w:ascii="Times New Roman" w:hAnsi="Times New Roman" w:eastAsia="Times New Roman" w:cs="Times New Roman"/>
                      <w:b/>
                      <w:bCs/>
                      <w:snapToGrid w:val="0"/>
                      <w:color w:val="auto"/>
                      <w:spacing w:val="5"/>
                      <w:kern w:val="0"/>
                      <w:sz w:val="21"/>
                      <w:szCs w:val="21"/>
                      <w:lang w:val="en-US" w:eastAsia="en-US" w:bidi="ar-SA"/>
                    </w:rPr>
                    <w:t>-1</w:t>
                  </w:r>
                  <w:r>
                    <w:rPr>
                      <w:rFonts w:hint="default" w:ascii="Times New Roman" w:hAnsi="Times New Roman" w:eastAsia="宋体" w:cs="Times New Roman"/>
                      <w:b/>
                      <w:bCs/>
                      <w:snapToGrid w:val="0"/>
                      <w:color w:val="auto"/>
                      <w:spacing w:val="5"/>
                      <w:kern w:val="0"/>
                      <w:sz w:val="21"/>
                      <w:szCs w:val="21"/>
                      <w:lang w:val="en-US" w:eastAsia="en-US" w:bidi="ar-SA"/>
                    </w:rPr>
                    <w:t>至</w:t>
                  </w:r>
                  <w:r>
                    <w:rPr>
                      <w:rFonts w:hint="default" w:ascii="Times New Roman" w:hAnsi="Times New Roman" w:eastAsia="Times New Roman" w:cs="Times New Roman"/>
                      <w:b/>
                      <w:bCs/>
                      <w:snapToGrid w:val="0"/>
                      <w:color w:val="auto"/>
                      <w:kern w:val="0"/>
                      <w:sz w:val="21"/>
                      <w:szCs w:val="21"/>
                      <w:lang w:val="en-US" w:eastAsia="en-US" w:bidi="ar-SA"/>
                    </w:rPr>
                    <w:t>GP</w:t>
                  </w:r>
                  <w:r>
                    <w:rPr>
                      <w:rFonts w:hint="default" w:ascii="Times New Roman" w:hAnsi="Times New Roman" w:eastAsia="Times New Roman" w:cs="Times New Roman"/>
                      <w:b/>
                      <w:bCs/>
                      <w:snapToGrid w:val="0"/>
                      <w:color w:val="auto"/>
                      <w:spacing w:val="4"/>
                      <w:kern w:val="0"/>
                      <w:sz w:val="21"/>
                      <w:szCs w:val="21"/>
                      <w:lang w:val="en-US" w:eastAsia="en-US" w:bidi="ar-SA"/>
                    </w:rPr>
                    <w:t>02-</w:t>
                  </w:r>
                  <w:r>
                    <w:rPr>
                      <w:rFonts w:hint="default" w:ascii="Times New Roman" w:hAnsi="Times New Roman" w:eastAsia="宋体" w:cs="Times New Roman"/>
                      <w:b/>
                      <w:bCs/>
                      <w:snapToGrid w:val="0"/>
                      <w:color w:val="auto"/>
                      <w:spacing w:val="4"/>
                      <w:kern w:val="0"/>
                      <w:sz w:val="21"/>
                      <w:szCs w:val="21"/>
                      <w:lang w:val="en-US" w:eastAsia="en-US" w:bidi="ar-SA"/>
                    </w:rPr>
                    <w:t>新</w:t>
                  </w:r>
                  <w:r>
                    <w:rPr>
                      <w:rFonts w:hint="default" w:ascii="Times New Roman" w:hAnsi="Times New Roman" w:eastAsia="Times New Roman" w:cs="Times New Roman"/>
                      <w:b/>
                      <w:bCs/>
                      <w:snapToGrid w:val="0"/>
                      <w:color w:val="auto"/>
                      <w:spacing w:val="4"/>
                      <w:kern w:val="0"/>
                      <w:sz w:val="21"/>
                      <w:szCs w:val="21"/>
                      <w:lang w:val="en-US" w:eastAsia="en-US" w:bidi="ar-SA"/>
                    </w:rPr>
                    <w:t>-5</w:t>
                  </w:r>
                  <w:r>
                    <w:rPr>
                      <w:rFonts w:hint="default" w:ascii="Times New Roman" w:hAnsi="Times New Roman" w:eastAsia="宋体" w:cs="Times New Roman"/>
                      <w:b/>
                      <w:bCs/>
                      <w:snapToGrid w:val="0"/>
                      <w:color w:val="auto"/>
                      <w:spacing w:val="4"/>
                      <w:kern w:val="0"/>
                      <w:sz w:val="21"/>
                      <w:szCs w:val="21"/>
                      <w:lang w:val="en-US" w:eastAsia="en-US" w:bidi="ar-S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5" w:line="220"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总计</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33541.61</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11932.49</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21609.12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6" w:line="219"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宝梵镇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1" w:line="190"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1969.42</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1" w:line="190"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1874.57</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1" w:line="190"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2"/>
                      <w:kern w:val="0"/>
                      <w:sz w:val="21"/>
                      <w:szCs w:val="21"/>
                      <w:lang w:eastAsia="en-US"/>
                    </w:rPr>
                    <w:t>94.85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7" w:line="21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常乐镇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3"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900.68</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3"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2"/>
                      <w:kern w:val="0"/>
                      <w:sz w:val="21"/>
                      <w:szCs w:val="21"/>
                      <w:lang w:eastAsia="en-US"/>
                    </w:rPr>
                    <w:t>830.95</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3"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2"/>
                      <w:kern w:val="0"/>
                      <w:sz w:val="21"/>
                      <w:szCs w:val="21"/>
                      <w:lang w:eastAsia="en-US"/>
                    </w:rPr>
                    <w:t>69.73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6" w:line="219"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赤城镇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3742.10</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1412.51</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4"/>
                      <w:kern w:val="0"/>
                      <w:sz w:val="21"/>
                      <w:szCs w:val="21"/>
                      <w:lang w:eastAsia="en-US"/>
                    </w:rPr>
                    <w:t>2329.59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8" w:line="21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大石镇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6" w:line="186"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962.64</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6" w:line="186"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652.45</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6" w:line="186"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310.19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8" w:line="21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高升乡</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1168.84</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216.64</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952.20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9" w:line="217"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荷叶乡</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745.96</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369.23</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376.73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9" w:line="217"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红江镇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468.78</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kern w:val="0"/>
                      <w:sz w:val="21"/>
                      <w:szCs w:val="21"/>
                      <w:lang w:eastAsia="en-US"/>
                    </w:rPr>
                    <w:t>110.28</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358.50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9" w:line="217"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槐花镇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999.73</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2"/>
                      <w:kern w:val="0"/>
                      <w:sz w:val="21"/>
                      <w:szCs w:val="21"/>
                      <w:lang w:eastAsia="en-US"/>
                    </w:rPr>
                    <w:t>861.73</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kern w:val="0"/>
                      <w:sz w:val="21"/>
                      <w:szCs w:val="21"/>
                      <w:lang w:eastAsia="en-US"/>
                    </w:rPr>
                    <w:t>138.00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7" w:line="219"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吉祥镇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1081.21</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653.52</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427.69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8" w:line="21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金桥镇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6" w:line="186"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4"/>
                      <w:kern w:val="0"/>
                      <w:sz w:val="21"/>
                      <w:szCs w:val="21"/>
                      <w:lang w:eastAsia="en-US"/>
                    </w:rPr>
                    <w:t>2300.41</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6" w:line="186"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2"/>
                      <w:kern w:val="0"/>
                      <w:sz w:val="21"/>
                      <w:szCs w:val="21"/>
                      <w:lang w:eastAsia="en-US"/>
                    </w:rPr>
                    <w:t>893.08</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6" w:line="186"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1407.33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8" w:line="21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明月镇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4"/>
                      <w:kern w:val="0"/>
                      <w:sz w:val="21"/>
                      <w:szCs w:val="21"/>
                      <w:lang w:eastAsia="en-US"/>
                    </w:rPr>
                    <w:t>2573.57</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2"/>
                      <w:kern w:val="0"/>
                      <w:sz w:val="21"/>
                      <w:szCs w:val="21"/>
                      <w:lang w:eastAsia="en-US"/>
                    </w:rPr>
                    <w:t>809.18</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1764.39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9" w:line="217"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鸣凤镇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6310.93</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236.35</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6074.58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9" w:line="217"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蓬南镇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4"/>
                      <w:kern w:val="0"/>
                      <w:sz w:val="21"/>
                      <w:szCs w:val="21"/>
                      <w:lang w:eastAsia="en-US"/>
                    </w:rPr>
                    <w:t>2890.57</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2"/>
                      <w:kern w:val="0"/>
                      <w:sz w:val="21"/>
                      <w:szCs w:val="21"/>
                      <w:lang w:eastAsia="en-US"/>
                    </w:rPr>
                    <w:t>818.91</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4"/>
                      <w:kern w:val="0"/>
                      <w:sz w:val="21"/>
                      <w:szCs w:val="21"/>
                      <w:lang w:eastAsia="en-US"/>
                    </w:rPr>
                    <w:t>2071.66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9" w:line="217"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普安街道</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kern w:val="0"/>
                      <w:sz w:val="21"/>
                      <w:szCs w:val="21"/>
                      <w:lang w:eastAsia="en-US"/>
                    </w:rPr>
                    <w:t>103.26</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80.59</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22.67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7" w:line="219"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群利镇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279.21</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2"/>
                      <w:kern w:val="0"/>
                      <w:sz w:val="21"/>
                      <w:szCs w:val="21"/>
                      <w:lang w:eastAsia="en-US"/>
                    </w:rPr>
                    <w:t>30.49</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87"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248.72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8" w:line="21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7"/>
                      <w:kern w:val="0"/>
                      <w:sz w:val="21"/>
                      <w:szCs w:val="21"/>
                      <w:lang w:val="en-US" w:eastAsia="en-US" w:bidi="ar-SA"/>
                    </w:rPr>
                    <w:t>任隆镇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6" w:line="186"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3376.25</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6" w:line="186"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238.82</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6" w:line="186"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3137.43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8" w:line="21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三凤镇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1450.78</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220.61</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1230.17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9" w:line="217"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天福镇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316.65</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236.13</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80.52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9" w:line="217"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文井镇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1738.86</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1"/>
                      <w:kern w:val="0"/>
                      <w:sz w:val="21"/>
                      <w:szCs w:val="21"/>
                      <w:lang w:eastAsia="en-US"/>
                    </w:rPr>
                    <w:t>1274.10</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4" w:line="188"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464.76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9" w:hRule="atLeast"/>
              </w:trPr>
              <w:tc>
                <w:tcPr>
                  <w:tcW w:w="17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0" w:line="220"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新会镇</w:t>
                  </w:r>
                </w:p>
              </w:tc>
              <w:tc>
                <w:tcPr>
                  <w:tcW w:w="17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91"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kern w:val="0"/>
                      <w:sz w:val="21"/>
                      <w:szCs w:val="21"/>
                      <w:lang w:eastAsia="en-US"/>
                    </w:rPr>
                    <w:t>161.76</w:t>
                  </w:r>
                </w:p>
              </w:tc>
              <w:tc>
                <w:tcPr>
                  <w:tcW w:w="222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91"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kern w:val="0"/>
                      <w:sz w:val="21"/>
                      <w:szCs w:val="21"/>
                      <w:lang w:eastAsia="en-US"/>
                    </w:rPr>
                    <w:t>112.35</w:t>
                  </w:r>
                </w:p>
              </w:tc>
              <w:tc>
                <w:tcPr>
                  <w:tcW w:w="22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5" w:line="191" w:lineRule="auto"/>
                    <w:ind w:left="24" w:leftChars="10" w:right="57" w:firstLine="0" w:firstLineChars="0"/>
                    <w:jc w:val="center"/>
                    <w:textAlignment w:val="baseline"/>
                    <w:rPr>
                      <w:rFonts w:hint="default" w:ascii="Times New Roman" w:hAnsi="Times New Roman" w:eastAsia="Times New Roman" w:cs="Times New Roman"/>
                      <w:snapToGrid w:val="0"/>
                      <w:color w:val="auto"/>
                      <w:kern w:val="0"/>
                      <w:sz w:val="21"/>
                      <w:szCs w:val="21"/>
                      <w:lang w:eastAsia="en-US"/>
                    </w:rPr>
                  </w:pPr>
                  <w:r>
                    <w:rPr>
                      <w:rFonts w:hint="default" w:ascii="Times New Roman" w:hAnsi="Times New Roman" w:eastAsia="Times New Roman" w:cs="Times New Roman"/>
                      <w:snapToGrid w:val="0"/>
                      <w:color w:val="auto"/>
                      <w:spacing w:val="3"/>
                      <w:kern w:val="0"/>
                      <w:sz w:val="21"/>
                      <w:szCs w:val="21"/>
                      <w:lang w:eastAsia="en-US"/>
                    </w:rPr>
                    <w:t>49.41</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2" w:firstLineChars="200"/>
              <w:jc w:val="left"/>
              <w:textAlignment w:val="baseline"/>
              <w:outlineLvl w:val="3"/>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b/>
                <w:bCs/>
                <w:snapToGrid w:val="0"/>
                <w:color w:val="auto"/>
                <w:spacing w:val="-5"/>
                <w:kern w:val="0"/>
                <w:sz w:val="24"/>
                <w:szCs w:val="24"/>
                <w:lang w:eastAsia="en-US"/>
              </w:rPr>
              <w:t>（</w:t>
            </w:r>
            <w:r>
              <w:rPr>
                <w:rFonts w:hint="default" w:ascii="Times New Roman" w:hAnsi="Times New Roman" w:eastAsia="Times New Roman" w:cs="Times New Roman"/>
                <w:b/>
                <w:bCs/>
                <w:snapToGrid w:val="0"/>
                <w:color w:val="auto"/>
                <w:spacing w:val="-5"/>
                <w:kern w:val="0"/>
                <w:sz w:val="24"/>
                <w:szCs w:val="24"/>
                <w:lang w:eastAsia="en-US"/>
              </w:rPr>
              <w:t>2</w:t>
            </w:r>
            <w:r>
              <w:rPr>
                <w:rFonts w:hint="default" w:ascii="Times New Roman" w:hAnsi="Times New Roman" w:eastAsia="宋体" w:cs="Times New Roman"/>
                <w:b/>
                <w:bCs/>
                <w:snapToGrid w:val="0"/>
                <w:color w:val="auto"/>
                <w:spacing w:val="-5"/>
                <w:kern w:val="0"/>
                <w:sz w:val="24"/>
                <w:szCs w:val="24"/>
                <w:lang w:eastAsia="en-US"/>
              </w:rPr>
              <w:t>）实施对象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spacing w:val="-3"/>
                <w:kern w:val="0"/>
                <w:sz w:val="24"/>
                <w:szCs w:val="24"/>
                <w:lang w:eastAsia="en-US"/>
              </w:rPr>
              <w:t>实施林分对象主要为乔木林地，不适宜于原始林、特殊灌木林、国家</w:t>
            </w:r>
            <w:r>
              <w:rPr>
                <w:rFonts w:hint="default" w:ascii="Times New Roman" w:hAnsi="Times New Roman" w:eastAsia="宋体" w:cs="Times New Roman"/>
                <w:snapToGrid w:val="0"/>
                <w:color w:val="auto"/>
                <w:spacing w:val="-1"/>
                <w:kern w:val="0"/>
                <w:sz w:val="24"/>
                <w:szCs w:val="24"/>
                <w:lang w:eastAsia="en-US"/>
              </w:rPr>
              <w:t>公益林等林地，禁止对天然林实施。实施对象包括两大类：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spacing w:val="-2"/>
                <w:kern w:val="0"/>
                <w:sz w:val="24"/>
                <w:szCs w:val="24"/>
                <w:lang w:eastAsia="en-US"/>
              </w:rPr>
              <w:t>提质培优型：主要针对需改善林分结构和生</w:t>
            </w:r>
            <w:r>
              <w:rPr>
                <w:rFonts w:hint="default" w:ascii="Times New Roman" w:hAnsi="Times New Roman" w:eastAsia="宋体" w:cs="Times New Roman"/>
                <w:snapToGrid w:val="0"/>
                <w:color w:val="auto"/>
                <w:spacing w:val="-3"/>
                <w:kern w:val="0"/>
                <w:sz w:val="24"/>
                <w:szCs w:val="24"/>
                <w:lang w:eastAsia="en-US"/>
              </w:rPr>
              <w:t>长条件，进一步提高林分质量的人工商品林，郁闭度</w:t>
            </w:r>
            <w:r>
              <w:rPr>
                <w:rFonts w:hint="default" w:ascii="Times New Roman" w:hAnsi="Times New Roman" w:eastAsia="Times New Roman" w:cs="Times New Roman"/>
                <w:snapToGrid w:val="0"/>
                <w:color w:val="auto"/>
                <w:spacing w:val="-3"/>
                <w:kern w:val="0"/>
                <w:sz w:val="24"/>
                <w:szCs w:val="24"/>
                <w:lang w:eastAsia="en-US"/>
              </w:rPr>
              <w:t>0.7</w:t>
            </w:r>
            <w:r>
              <w:rPr>
                <w:rFonts w:hint="default" w:ascii="Times New Roman" w:hAnsi="Times New Roman" w:eastAsia="宋体" w:cs="Times New Roman"/>
                <w:snapToGrid w:val="0"/>
                <w:color w:val="auto"/>
                <w:spacing w:val="-3"/>
                <w:kern w:val="0"/>
                <w:sz w:val="24"/>
                <w:szCs w:val="24"/>
                <w:lang w:eastAsia="en-US"/>
              </w:rPr>
              <w:t>以上的中、近熟林进行。</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spacing w:val="-3"/>
                <w:kern w:val="0"/>
                <w:sz w:val="24"/>
                <w:szCs w:val="24"/>
                <w:lang w:eastAsia="en-US"/>
              </w:rPr>
              <w:t>改造培育型：主要针对立地质量较好，由于未适地适树、未及时经营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spacing w:val="-2"/>
                <w:kern w:val="0"/>
                <w:sz w:val="24"/>
                <w:szCs w:val="24"/>
                <w:lang w:eastAsia="en-US"/>
              </w:rPr>
              <w:t>或受病虫害及森林火灾影响，造成林木生长停止，或目</w:t>
            </w:r>
            <w:r>
              <w:rPr>
                <w:rFonts w:hint="default" w:ascii="Times New Roman" w:hAnsi="Times New Roman" w:eastAsia="宋体" w:cs="Times New Roman"/>
                <w:snapToGrid w:val="0"/>
                <w:color w:val="auto"/>
                <w:spacing w:val="-3"/>
                <w:kern w:val="0"/>
                <w:sz w:val="24"/>
                <w:szCs w:val="24"/>
                <w:lang w:eastAsia="en-US"/>
              </w:rPr>
              <w:t>的树种不明确，通</w:t>
            </w:r>
            <w:r>
              <w:rPr>
                <w:rFonts w:hint="default" w:ascii="Times New Roman" w:hAnsi="Times New Roman" w:eastAsia="宋体" w:cs="Times New Roman"/>
                <w:snapToGrid w:val="0"/>
                <w:color w:val="auto"/>
                <w:spacing w:val="-1"/>
                <w:kern w:val="0"/>
                <w:sz w:val="24"/>
                <w:szCs w:val="24"/>
                <w:lang w:eastAsia="en-US"/>
              </w:rPr>
              <w:t>过改培措施能够达到预期培育目标的林分进行。</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left"/>
              <w:textAlignment w:val="baseline"/>
              <w:outlineLvl w:val="3"/>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b/>
                <w:bCs/>
                <w:snapToGrid w:val="0"/>
                <w:color w:val="auto"/>
                <w:spacing w:val="-4"/>
                <w:kern w:val="0"/>
                <w:sz w:val="24"/>
                <w:szCs w:val="24"/>
                <w:lang w:eastAsia="en-US"/>
              </w:rPr>
              <w:t>（</w:t>
            </w:r>
            <w:r>
              <w:rPr>
                <w:rFonts w:hint="default" w:ascii="Times New Roman" w:hAnsi="Times New Roman" w:eastAsia="Times New Roman" w:cs="Times New Roman"/>
                <w:b/>
                <w:bCs/>
                <w:snapToGrid w:val="0"/>
                <w:color w:val="auto"/>
                <w:spacing w:val="-4"/>
                <w:kern w:val="0"/>
                <w:sz w:val="24"/>
                <w:szCs w:val="24"/>
                <w:lang w:eastAsia="en-US"/>
              </w:rPr>
              <w:t>3</w:t>
            </w:r>
            <w:r>
              <w:rPr>
                <w:rFonts w:hint="default" w:ascii="Times New Roman" w:hAnsi="Times New Roman" w:eastAsia="宋体" w:cs="Times New Roman"/>
                <w:b/>
                <w:bCs/>
                <w:snapToGrid w:val="0"/>
                <w:color w:val="auto"/>
                <w:spacing w:val="-4"/>
                <w:kern w:val="0"/>
                <w:sz w:val="24"/>
                <w:szCs w:val="24"/>
                <w:lang w:eastAsia="en-US"/>
              </w:rPr>
              <w:t>）主要技术要点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left"/>
              <w:textAlignment w:val="baseline"/>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Times New Roman" w:cs="Times New Roman"/>
                <w:snapToGrid w:val="0"/>
                <w:color w:val="auto"/>
                <w:spacing w:val="-10"/>
                <w:kern w:val="0"/>
                <w:sz w:val="24"/>
                <w:szCs w:val="24"/>
                <w:lang w:eastAsia="en-US"/>
              </w:rPr>
              <w:t>1</w:t>
            </w:r>
            <w:r>
              <w:rPr>
                <w:rFonts w:hint="default" w:ascii="Times New Roman" w:hAnsi="Times New Roman" w:eastAsia="宋体" w:cs="Times New Roman"/>
                <w:snapToGrid w:val="0"/>
                <w:color w:val="auto"/>
                <w:spacing w:val="-10"/>
                <w:kern w:val="0"/>
                <w:sz w:val="24"/>
                <w:szCs w:val="24"/>
                <w:lang w:eastAsia="en-US"/>
              </w:rPr>
              <w:t>）目标树选择与标记</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8"/>
                <w:szCs w:val="28"/>
                <w:lang w:eastAsia="en-US"/>
              </w:rPr>
            </w:pPr>
            <w:r>
              <w:rPr>
                <w:rFonts w:hint="default" w:ascii="Times New Roman" w:hAnsi="Times New Roman" w:eastAsia="宋体" w:cs="Times New Roman"/>
                <w:snapToGrid w:val="0"/>
                <w:color w:val="auto"/>
                <w:spacing w:val="-2"/>
                <w:kern w:val="0"/>
                <w:sz w:val="24"/>
                <w:szCs w:val="24"/>
                <w:lang w:eastAsia="en-US"/>
              </w:rPr>
              <w:t>选择数量：每亩选择</w:t>
            </w:r>
            <w:r>
              <w:rPr>
                <w:rFonts w:hint="default" w:ascii="Times New Roman" w:hAnsi="Times New Roman" w:eastAsia="Times New Roman" w:cs="Times New Roman"/>
                <w:snapToGrid w:val="0"/>
                <w:color w:val="auto"/>
                <w:spacing w:val="-2"/>
                <w:kern w:val="0"/>
                <w:sz w:val="24"/>
                <w:szCs w:val="24"/>
                <w:lang w:eastAsia="en-US"/>
              </w:rPr>
              <w:t>5-10</w:t>
            </w:r>
            <w:r>
              <w:rPr>
                <w:rFonts w:hint="default" w:ascii="Times New Roman" w:hAnsi="Times New Roman" w:eastAsia="宋体" w:cs="Times New Roman"/>
                <w:snapToGrid w:val="0"/>
                <w:color w:val="auto"/>
                <w:spacing w:val="-2"/>
                <w:kern w:val="0"/>
                <w:sz w:val="24"/>
                <w:szCs w:val="24"/>
                <w:lang w:eastAsia="en-US"/>
              </w:rPr>
              <w:t>株原生优势木作为</w:t>
            </w:r>
            <w:r>
              <w:rPr>
                <w:rFonts w:hint="default" w:ascii="Times New Roman" w:hAnsi="Times New Roman" w:eastAsia="宋体" w:cs="Times New Roman"/>
                <w:snapToGrid w:val="0"/>
                <w:color w:val="auto"/>
                <w:spacing w:val="-3"/>
                <w:kern w:val="0"/>
                <w:sz w:val="24"/>
                <w:szCs w:val="24"/>
                <w:lang w:eastAsia="en-US"/>
              </w:rPr>
              <w:t>目标树，进行标记保留。选择标准：目标树选择对象、选择目标树的一般标准等见</w:t>
            </w:r>
            <w:r>
              <w:rPr>
                <w:rFonts w:hint="default" w:ascii="Times New Roman" w:hAnsi="Times New Roman" w:cs="Times New Roman"/>
                <w:snapToGrid w:val="0"/>
                <w:color w:val="auto"/>
                <w:spacing w:val="-3"/>
                <w:kern w:val="0"/>
                <w:sz w:val="24"/>
                <w:szCs w:val="24"/>
                <w:lang w:eastAsia="zh-CN"/>
              </w:rPr>
              <w:t>表2</w:t>
            </w:r>
            <w:r>
              <w:rPr>
                <w:rFonts w:hint="default" w:ascii="Times New Roman" w:hAnsi="Times New Roman" w:eastAsia="Times New Roman" w:cs="Times New Roman"/>
                <w:snapToGrid w:val="0"/>
                <w:color w:val="auto"/>
                <w:spacing w:val="-3"/>
                <w:kern w:val="0"/>
                <w:sz w:val="24"/>
                <w:szCs w:val="24"/>
                <w:lang w:eastAsia="en-US"/>
              </w:rPr>
              <w:t>-</w:t>
            </w:r>
            <w:r>
              <w:rPr>
                <w:rFonts w:hint="eastAsia" w:cs="Times New Roman"/>
                <w:snapToGrid w:val="0"/>
                <w:color w:val="auto"/>
                <w:spacing w:val="-3"/>
                <w:kern w:val="0"/>
                <w:sz w:val="24"/>
                <w:szCs w:val="24"/>
                <w:lang w:val="en-US" w:eastAsia="zh-CN"/>
              </w:rPr>
              <w:t>10</w:t>
            </w:r>
            <w:r>
              <w:rPr>
                <w:rFonts w:hint="default" w:ascii="Times New Roman" w:hAnsi="Times New Roman" w:eastAsia="宋体" w:cs="Times New Roman"/>
                <w:snapToGrid w:val="0"/>
                <w:color w:val="auto"/>
                <w:spacing w:val="-3"/>
                <w:kern w:val="0"/>
                <w:sz w:val="24"/>
                <w:szCs w:val="24"/>
                <w:lang w:eastAsia="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en-US"/>
              </w:rPr>
            </w:pPr>
            <w:r>
              <w:rPr>
                <w:rFonts w:hint="default" w:ascii="Times New Roman" w:hAnsi="Times New Roman" w:eastAsia="宋体" w:cs="Times New Roman"/>
                <w:b/>
                <w:bCs/>
                <w:color w:val="auto"/>
                <w:sz w:val="21"/>
                <w:szCs w:val="21"/>
                <w:lang w:val="en-US" w:eastAsia="en-US"/>
              </w:rPr>
              <w:t>表</w:t>
            </w:r>
            <w:r>
              <w:rPr>
                <w:rFonts w:hint="default"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en-US"/>
              </w:rPr>
              <w:t>-</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lang w:val="en-US" w:eastAsia="en-US"/>
              </w:rPr>
              <w:t xml:space="preserve">  目标树选择标准表</w:t>
            </w:r>
          </w:p>
          <w:tbl>
            <w:tblPr>
              <w:tblStyle w:val="55"/>
              <w:tblW w:w="797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09"/>
              <w:gridCol w:w="54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2" w:hRule="atLeast"/>
              </w:trPr>
              <w:tc>
                <w:tcPr>
                  <w:tcW w:w="25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1" w:line="222"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6"/>
                      <w:kern w:val="0"/>
                      <w:sz w:val="21"/>
                      <w:szCs w:val="21"/>
                      <w:lang w:val="en-US" w:eastAsia="en-US" w:bidi="ar-SA"/>
                    </w:rPr>
                    <w:t>选择标准</w:t>
                  </w:r>
                </w:p>
              </w:tc>
              <w:tc>
                <w:tcPr>
                  <w:tcW w:w="54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1" w:line="222"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6"/>
                      <w:kern w:val="0"/>
                      <w:sz w:val="21"/>
                      <w:szCs w:val="21"/>
                      <w:lang w:val="en-US" w:eastAsia="en-US" w:bidi="ar-SA"/>
                    </w:rPr>
                    <w:t>标准内涵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7" w:hRule="atLeast"/>
              </w:trPr>
              <w:tc>
                <w:tcPr>
                  <w:tcW w:w="25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7" w:line="221"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3"/>
                      <w:kern w:val="0"/>
                      <w:sz w:val="21"/>
                      <w:szCs w:val="21"/>
                      <w:lang w:val="en-US" w:eastAsia="en-US" w:bidi="ar-SA"/>
                    </w:rPr>
                    <w:t>目标树属于目的树种</w:t>
                  </w:r>
                </w:p>
              </w:tc>
              <w:tc>
                <w:tcPr>
                  <w:tcW w:w="54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7" w:line="221"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必须是特优木或优势木，占据林分主林层。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25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2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1"/>
                      <w:kern w:val="0"/>
                      <w:sz w:val="21"/>
                      <w:szCs w:val="21"/>
                      <w:lang w:val="en-US" w:eastAsia="en-US" w:bidi="ar-SA"/>
                    </w:rPr>
                    <w:t>目标树</w:t>
                  </w:r>
                  <w:r>
                    <w:rPr>
                      <w:rFonts w:hint="eastAsia" w:cs="Times New Roman"/>
                      <w:b/>
                      <w:bCs/>
                      <w:snapToGrid w:val="0"/>
                      <w:color w:val="auto"/>
                      <w:spacing w:val="1"/>
                      <w:kern w:val="0"/>
                      <w:sz w:val="21"/>
                      <w:szCs w:val="21"/>
                      <w:lang w:val="en-US" w:eastAsia="zh-CN" w:bidi="ar-SA"/>
                    </w:rPr>
                    <w:t>生命力强</w:t>
                  </w:r>
                </w:p>
              </w:tc>
              <w:tc>
                <w:tcPr>
                  <w:tcW w:w="54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5" w:line="242"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通常有良好的生长趋势和完满的树冠和冠型，枝叶茂盛，树冠疏</w:t>
                  </w:r>
                  <w:r>
                    <w:rPr>
                      <w:rFonts w:hint="default" w:ascii="Times New Roman" w:hAnsi="Times New Roman" w:eastAsia="宋体" w:cs="Times New Roman"/>
                      <w:snapToGrid w:val="0"/>
                      <w:color w:val="auto"/>
                      <w:spacing w:val="5"/>
                      <w:kern w:val="0"/>
                      <w:sz w:val="21"/>
                      <w:szCs w:val="21"/>
                      <w:lang w:val="en-US" w:eastAsia="en-US" w:bidi="ar-SA"/>
                    </w:rPr>
                    <w:t>密而不透光等性状；冠型一般要求至少有</w:t>
                  </w:r>
                  <w:r>
                    <w:rPr>
                      <w:rFonts w:hint="default" w:ascii="Times New Roman" w:hAnsi="Times New Roman" w:eastAsia="Times New Roman" w:cs="Times New Roman"/>
                      <w:snapToGrid w:val="0"/>
                      <w:color w:val="auto"/>
                      <w:spacing w:val="5"/>
                      <w:kern w:val="0"/>
                      <w:sz w:val="21"/>
                      <w:szCs w:val="21"/>
                      <w:lang w:val="en-US" w:eastAsia="en-US" w:bidi="ar-SA"/>
                    </w:rPr>
                    <w:t>1/4</w:t>
                  </w:r>
                  <w:r>
                    <w:rPr>
                      <w:rFonts w:hint="default" w:ascii="Times New Roman" w:hAnsi="Times New Roman" w:eastAsia="宋体" w:cs="Times New Roman"/>
                      <w:snapToGrid w:val="0"/>
                      <w:color w:val="auto"/>
                      <w:spacing w:val="5"/>
                      <w:kern w:val="0"/>
                      <w:sz w:val="21"/>
                      <w:szCs w:val="21"/>
                      <w:lang w:val="en-US" w:eastAsia="en-US" w:bidi="ar-SA"/>
                    </w:rPr>
                    <w:t>全树高的冠长，如松</w:t>
                  </w:r>
                  <w:r>
                    <w:rPr>
                      <w:rFonts w:hint="default" w:ascii="Times New Roman" w:hAnsi="Times New Roman" w:eastAsia="宋体" w:cs="Times New Roman"/>
                      <w:snapToGrid w:val="0"/>
                      <w:color w:val="auto"/>
                      <w:spacing w:val="12"/>
                      <w:kern w:val="0"/>
                      <w:sz w:val="21"/>
                      <w:szCs w:val="21"/>
                      <w:lang w:val="en-US" w:eastAsia="en-US" w:bidi="ar-SA"/>
                    </w:rPr>
                    <w:t>树的冠型是锥形的，杉木、落叶松等的冠型是致密而不透光的，</w:t>
                  </w:r>
                  <w:r>
                    <w:rPr>
                      <w:rFonts w:hint="default" w:ascii="Times New Roman" w:hAnsi="Times New Roman" w:eastAsia="宋体" w:cs="Times New Roman"/>
                      <w:snapToGrid w:val="0"/>
                      <w:color w:val="auto"/>
                      <w:spacing w:val="8"/>
                      <w:kern w:val="0"/>
                      <w:sz w:val="21"/>
                      <w:szCs w:val="21"/>
                      <w:lang w:val="en-US" w:eastAsia="en-US" w:bidi="ar-SA"/>
                    </w:rPr>
                    <w:t>栎类的冠型是椭圆而巨大的等。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25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27"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2"/>
                      <w:kern w:val="0"/>
                      <w:sz w:val="21"/>
                      <w:szCs w:val="21"/>
                      <w:lang w:val="en-US" w:eastAsia="en-US" w:bidi="ar-SA"/>
                    </w:rPr>
                    <w:t>目标树干材质量好</w:t>
                  </w:r>
                </w:p>
              </w:tc>
              <w:tc>
                <w:tcPr>
                  <w:tcW w:w="54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4" w:line="242"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干型通直完满，至少有</w:t>
                  </w:r>
                  <w:r>
                    <w:rPr>
                      <w:rFonts w:hint="default" w:ascii="Times New Roman" w:hAnsi="Times New Roman" w:eastAsia="Times New Roman" w:cs="Times New Roman"/>
                      <w:snapToGrid w:val="0"/>
                      <w:color w:val="auto"/>
                      <w:spacing w:val="8"/>
                      <w:kern w:val="0"/>
                      <w:sz w:val="21"/>
                      <w:szCs w:val="21"/>
                      <w:lang w:val="en-US" w:eastAsia="en-US" w:bidi="ar-SA"/>
                    </w:rPr>
                    <w:t>6</w:t>
                  </w:r>
                  <w:r>
                    <w:rPr>
                      <w:rFonts w:hint="default" w:ascii="Times New Roman" w:hAnsi="Times New Roman" w:eastAsia="宋体" w:cs="Times New Roman"/>
                      <w:snapToGrid w:val="0"/>
                      <w:color w:val="auto"/>
                      <w:spacing w:val="8"/>
                      <w:kern w:val="0"/>
                      <w:sz w:val="21"/>
                      <w:szCs w:val="21"/>
                      <w:lang w:val="en-US" w:eastAsia="en-US" w:bidi="ar-SA"/>
                    </w:rPr>
                    <w:t>－</w:t>
                  </w:r>
                  <w:r>
                    <w:rPr>
                      <w:rFonts w:hint="default" w:ascii="Times New Roman" w:hAnsi="Times New Roman" w:eastAsia="Times New Roman" w:cs="Times New Roman"/>
                      <w:snapToGrid w:val="0"/>
                      <w:color w:val="auto"/>
                      <w:spacing w:val="8"/>
                      <w:kern w:val="0"/>
                      <w:sz w:val="21"/>
                      <w:szCs w:val="21"/>
                      <w:lang w:val="en-US" w:eastAsia="en-US" w:bidi="ar-SA"/>
                    </w:rPr>
                    <w:t>8m</w:t>
                  </w:r>
                  <w:r>
                    <w:rPr>
                      <w:rFonts w:hint="default" w:ascii="Times New Roman" w:hAnsi="Times New Roman" w:eastAsia="宋体" w:cs="Times New Roman"/>
                      <w:snapToGrid w:val="0"/>
                      <w:color w:val="auto"/>
                      <w:spacing w:val="8"/>
                      <w:kern w:val="0"/>
                      <w:sz w:val="21"/>
                      <w:szCs w:val="21"/>
                      <w:lang w:val="en-US" w:eastAsia="en-US" w:bidi="ar-SA"/>
                    </w:rPr>
                    <w:t>以上完好的干材；如果整体林分质</w:t>
                  </w:r>
                  <w:r>
                    <w:rPr>
                      <w:rFonts w:hint="default" w:ascii="Times New Roman" w:hAnsi="Times New Roman" w:eastAsia="宋体" w:cs="Times New Roman"/>
                      <w:snapToGrid w:val="0"/>
                      <w:color w:val="auto"/>
                      <w:spacing w:val="10"/>
                      <w:kern w:val="0"/>
                      <w:sz w:val="21"/>
                      <w:szCs w:val="21"/>
                      <w:lang w:val="en-US" w:eastAsia="en-US" w:bidi="ar-SA"/>
                    </w:rPr>
                    <w:t>量不高，目标树可以是轻度弯曲的，或者不影响造材的高位二分</w:t>
                  </w:r>
                  <w:r>
                    <w:rPr>
                      <w:rFonts w:hint="default" w:ascii="Times New Roman" w:hAnsi="Times New Roman" w:eastAsia="宋体" w:cs="Times New Roman"/>
                      <w:snapToGrid w:val="0"/>
                      <w:color w:val="auto"/>
                      <w:spacing w:val="9"/>
                      <w:kern w:val="0"/>
                      <w:sz w:val="21"/>
                      <w:szCs w:val="21"/>
                      <w:lang w:val="en-US" w:eastAsia="en-US" w:bidi="ar-SA"/>
                    </w:rPr>
                    <w:t>枝（二分枝在</w:t>
                  </w:r>
                  <w:r>
                    <w:rPr>
                      <w:rFonts w:hint="default" w:ascii="Times New Roman" w:hAnsi="Times New Roman" w:eastAsia="Times New Roman" w:cs="Times New Roman"/>
                      <w:snapToGrid w:val="0"/>
                      <w:color w:val="auto"/>
                      <w:spacing w:val="9"/>
                      <w:kern w:val="0"/>
                      <w:sz w:val="21"/>
                      <w:szCs w:val="21"/>
                      <w:lang w:val="en-US" w:eastAsia="en-US" w:bidi="ar-SA"/>
                    </w:rPr>
                    <w:t>4m</w:t>
                  </w:r>
                  <w:r>
                    <w:rPr>
                      <w:rFonts w:hint="default" w:ascii="Times New Roman" w:hAnsi="Times New Roman" w:eastAsia="宋体" w:cs="Times New Roman"/>
                      <w:snapToGrid w:val="0"/>
                      <w:color w:val="auto"/>
                      <w:spacing w:val="9"/>
                      <w:kern w:val="0"/>
                      <w:sz w:val="21"/>
                      <w:szCs w:val="21"/>
                      <w:lang w:val="en-US" w:eastAsia="en-US" w:bidi="ar-SA"/>
                    </w:rPr>
                    <w:t>以上，且分枝下部林木干型通直完满），即分枝部位不在干材部分而是树冠的组成部分了。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25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1"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65" w:line="239"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11"/>
                      <w:kern w:val="0"/>
                      <w:sz w:val="21"/>
                      <w:szCs w:val="21"/>
                      <w:lang w:val="en-US" w:eastAsia="en-US" w:bidi="ar-SA"/>
                    </w:rPr>
                    <w:t>目标树没有（或至少根部没</w:t>
                  </w:r>
                  <w:r>
                    <w:rPr>
                      <w:rFonts w:hint="default" w:ascii="Times New Roman" w:hAnsi="Times New Roman" w:eastAsia="宋体" w:cs="Times New Roman"/>
                      <w:b/>
                      <w:bCs/>
                      <w:snapToGrid w:val="0"/>
                      <w:color w:val="auto"/>
                      <w:spacing w:val="6"/>
                      <w:kern w:val="0"/>
                      <w:sz w:val="21"/>
                      <w:szCs w:val="21"/>
                      <w:lang w:val="en-US" w:eastAsia="en-US" w:bidi="ar-SA"/>
                    </w:rPr>
                    <w:t>有）损伤</w:t>
                  </w:r>
                </w:p>
              </w:tc>
              <w:tc>
                <w:tcPr>
                  <w:tcW w:w="54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5" w:line="242"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没有明显的损伤和病虫害痕迹，特别是在树干的基部不能出现各</w:t>
                  </w:r>
                  <w:r>
                    <w:rPr>
                      <w:rFonts w:hint="default" w:ascii="Times New Roman" w:hAnsi="Times New Roman" w:eastAsia="宋体" w:cs="Times New Roman"/>
                      <w:snapToGrid w:val="0"/>
                      <w:color w:val="auto"/>
                      <w:spacing w:val="7"/>
                      <w:kern w:val="0"/>
                      <w:sz w:val="21"/>
                      <w:szCs w:val="21"/>
                      <w:lang w:val="en-US" w:eastAsia="en-US" w:bidi="ar-SA"/>
                    </w:rPr>
                    <w:t>种因素导致的损伤情况，保持选择的个体能在未来</w:t>
                  </w:r>
                  <w:r>
                    <w:rPr>
                      <w:rFonts w:hint="default" w:ascii="Times New Roman" w:hAnsi="Times New Roman" w:eastAsia="Times New Roman" w:cs="Times New Roman"/>
                      <w:snapToGrid w:val="0"/>
                      <w:color w:val="auto"/>
                      <w:spacing w:val="7"/>
                      <w:kern w:val="0"/>
                      <w:sz w:val="21"/>
                      <w:szCs w:val="21"/>
                      <w:lang w:val="en-US" w:eastAsia="en-US" w:bidi="ar-SA"/>
                    </w:rPr>
                    <w:t>10</w:t>
                  </w:r>
                  <w:r>
                    <w:rPr>
                      <w:rFonts w:hint="default" w:ascii="Times New Roman" w:hAnsi="Times New Roman" w:eastAsia="宋体" w:cs="Times New Roman"/>
                      <w:snapToGrid w:val="0"/>
                      <w:color w:val="auto"/>
                      <w:spacing w:val="7"/>
                      <w:kern w:val="0"/>
                      <w:sz w:val="21"/>
                      <w:szCs w:val="21"/>
                      <w:lang w:val="en-US" w:eastAsia="en-US" w:bidi="ar-SA"/>
                    </w:rPr>
                    <w:t>－</w:t>
                  </w:r>
                  <w:r>
                    <w:rPr>
                      <w:rFonts w:hint="default" w:ascii="Times New Roman" w:hAnsi="Times New Roman" w:eastAsia="Times New Roman" w:cs="Times New Roman"/>
                      <w:snapToGrid w:val="0"/>
                      <w:color w:val="auto"/>
                      <w:spacing w:val="7"/>
                      <w:kern w:val="0"/>
                      <w:sz w:val="21"/>
                      <w:szCs w:val="21"/>
                      <w:lang w:val="en-US" w:eastAsia="en-US" w:bidi="ar-SA"/>
                    </w:rPr>
                    <w:t>50</w:t>
                  </w:r>
                  <w:r>
                    <w:rPr>
                      <w:rFonts w:hint="default" w:ascii="Times New Roman" w:hAnsi="Times New Roman" w:eastAsia="宋体" w:cs="Times New Roman"/>
                      <w:snapToGrid w:val="0"/>
                      <w:color w:val="auto"/>
                      <w:spacing w:val="7"/>
                      <w:kern w:val="0"/>
                      <w:sz w:val="21"/>
                      <w:szCs w:val="21"/>
                      <w:lang w:val="en-US" w:eastAsia="en-US" w:bidi="ar-SA"/>
                    </w:rPr>
                    <w:t>年期间</w:t>
                  </w:r>
                  <w:r>
                    <w:rPr>
                      <w:rFonts w:hint="default" w:ascii="Times New Roman" w:hAnsi="Times New Roman" w:eastAsia="宋体" w:cs="Times New Roman"/>
                      <w:snapToGrid w:val="0"/>
                      <w:color w:val="auto"/>
                      <w:spacing w:val="12"/>
                      <w:kern w:val="0"/>
                      <w:sz w:val="21"/>
                      <w:szCs w:val="21"/>
                      <w:lang w:val="en-US" w:eastAsia="en-US" w:bidi="ar-SA"/>
                    </w:rPr>
                    <w:t>内顺利生长，达到目标直径的要求；如果整体林分质量不高，可</w:t>
                  </w:r>
                  <w:r>
                    <w:rPr>
                      <w:rFonts w:hint="default" w:ascii="Times New Roman" w:hAnsi="Times New Roman" w:eastAsia="宋体" w:cs="Times New Roman"/>
                      <w:snapToGrid w:val="0"/>
                      <w:color w:val="auto"/>
                      <w:spacing w:val="8"/>
                      <w:kern w:val="0"/>
                      <w:sz w:val="21"/>
                      <w:szCs w:val="21"/>
                      <w:lang w:val="en-US" w:eastAsia="en-US" w:bidi="ar-SA"/>
                    </w:rPr>
                    <w:t>以选择轻度损伤的林木作为目标树。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6" w:hRule="atLeast"/>
              </w:trPr>
              <w:tc>
                <w:tcPr>
                  <w:tcW w:w="25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71" w:line="239"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11"/>
                      <w:kern w:val="0"/>
                      <w:sz w:val="21"/>
                      <w:szCs w:val="21"/>
                      <w:lang w:val="en-US" w:eastAsia="en-US" w:bidi="ar-SA"/>
                    </w:rPr>
                    <w:t>目标树优先选择实生起源的</w:t>
                  </w:r>
                  <w:r>
                    <w:rPr>
                      <w:rFonts w:hint="default" w:ascii="Times New Roman" w:hAnsi="Times New Roman" w:eastAsia="宋体" w:cs="Times New Roman"/>
                      <w:b/>
                      <w:bCs/>
                      <w:snapToGrid w:val="0"/>
                      <w:color w:val="auto"/>
                      <w:spacing w:val="3"/>
                      <w:kern w:val="0"/>
                      <w:sz w:val="21"/>
                      <w:szCs w:val="21"/>
                      <w:lang w:val="en-US" w:eastAsia="en-US" w:bidi="ar-SA"/>
                    </w:rPr>
                    <w:t>林木</w:t>
                  </w:r>
                </w:p>
              </w:tc>
              <w:tc>
                <w:tcPr>
                  <w:tcW w:w="546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5" w:line="240"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2"/>
                      <w:kern w:val="0"/>
                      <w:sz w:val="21"/>
                      <w:szCs w:val="21"/>
                      <w:lang w:val="en-US" w:eastAsia="en-US" w:bidi="ar-SA"/>
                    </w:rPr>
                    <w:t>实生林木个体，在天然林或阔叶林的情况下，特别要注意目标树</w:t>
                  </w:r>
                  <w:r>
                    <w:rPr>
                      <w:rFonts w:hint="default" w:ascii="Times New Roman" w:hAnsi="Times New Roman" w:eastAsia="宋体" w:cs="Times New Roman"/>
                      <w:snapToGrid w:val="0"/>
                      <w:color w:val="auto"/>
                      <w:spacing w:val="11"/>
                      <w:kern w:val="0"/>
                      <w:sz w:val="21"/>
                      <w:szCs w:val="21"/>
                      <w:lang w:val="en-US" w:eastAsia="en-US" w:bidi="ar-SA"/>
                    </w:rPr>
                    <w:t>必须是实生林木，以保证林分质量进步在长期尺</w:t>
                  </w:r>
                  <w:r>
                    <w:rPr>
                      <w:rFonts w:hint="default" w:ascii="Times New Roman" w:hAnsi="Times New Roman" w:eastAsia="宋体" w:cs="Times New Roman"/>
                      <w:snapToGrid w:val="0"/>
                      <w:color w:val="auto"/>
                      <w:spacing w:val="10"/>
                      <w:kern w:val="0"/>
                      <w:sz w:val="21"/>
                      <w:szCs w:val="21"/>
                      <w:lang w:val="en-US" w:eastAsia="en-US" w:bidi="ar-SA"/>
                    </w:rPr>
                    <w:t>度和遗传基础上</w:t>
                  </w:r>
                  <w:r>
                    <w:rPr>
                      <w:rFonts w:hint="default" w:ascii="Times New Roman" w:hAnsi="Times New Roman" w:eastAsia="宋体" w:cs="Times New Roman"/>
                      <w:snapToGrid w:val="0"/>
                      <w:color w:val="auto"/>
                      <w:spacing w:val="4"/>
                      <w:kern w:val="0"/>
                      <w:sz w:val="21"/>
                      <w:szCs w:val="21"/>
                      <w:lang w:val="en-US" w:eastAsia="en-US" w:bidi="ar-SA"/>
                    </w:rPr>
                    <w:t>能实现。</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lang w:eastAsia="en-US"/>
              </w:rPr>
            </w:pPr>
            <w:r>
              <w:rPr>
                <w:rFonts w:hint="default" w:ascii="Times New Roman" w:hAnsi="Times New Roman" w:eastAsia="宋体" w:cs="Times New Roman"/>
                <w:snapToGrid w:val="0"/>
                <w:color w:val="auto"/>
                <w:spacing w:val="-1"/>
                <w:kern w:val="0"/>
                <w:sz w:val="24"/>
                <w:szCs w:val="24"/>
                <w:lang w:eastAsia="en-US"/>
              </w:rPr>
              <w:t>控制指标：目标树的数量控制指标应同时兼顾两个指标，一是目标树控制距离：针叶树为当前胸径的20倍，阔叶树为当前胸径的25倍左右；二是目标树总数。</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lang w:eastAsia="en-US"/>
              </w:rPr>
            </w:pPr>
            <w:r>
              <w:rPr>
                <w:rFonts w:hint="default" w:ascii="Times New Roman" w:hAnsi="Times New Roman" w:eastAsia="宋体" w:cs="Times New Roman"/>
                <w:snapToGrid w:val="0"/>
                <w:color w:val="auto"/>
                <w:spacing w:val="-1"/>
                <w:kern w:val="0"/>
                <w:sz w:val="24"/>
                <w:szCs w:val="24"/>
                <w:lang w:eastAsia="en-US"/>
              </w:rPr>
              <w:t>选树流程：目标树选树标号流程和工艺见</w:t>
            </w:r>
            <w:r>
              <w:rPr>
                <w:rFonts w:hint="default" w:ascii="Times New Roman" w:hAnsi="Times New Roman" w:cs="Times New Roman"/>
                <w:snapToGrid w:val="0"/>
                <w:color w:val="auto"/>
                <w:spacing w:val="-1"/>
                <w:kern w:val="0"/>
                <w:sz w:val="24"/>
                <w:szCs w:val="24"/>
                <w:lang w:eastAsia="zh-CN"/>
              </w:rPr>
              <w:t>表2</w:t>
            </w:r>
            <w:r>
              <w:rPr>
                <w:rFonts w:hint="default" w:ascii="Times New Roman" w:hAnsi="Times New Roman" w:eastAsia="宋体" w:cs="Times New Roman"/>
                <w:snapToGrid w:val="0"/>
                <w:color w:val="auto"/>
                <w:spacing w:val="-1"/>
                <w:kern w:val="0"/>
                <w:sz w:val="24"/>
                <w:szCs w:val="24"/>
                <w:lang w:eastAsia="en-US"/>
              </w:rPr>
              <w:t>-</w:t>
            </w:r>
            <w:r>
              <w:rPr>
                <w:rFonts w:hint="eastAsia" w:cs="Times New Roman"/>
                <w:snapToGrid w:val="0"/>
                <w:color w:val="auto"/>
                <w:spacing w:val="-1"/>
                <w:kern w:val="0"/>
                <w:sz w:val="24"/>
                <w:szCs w:val="24"/>
                <w:lang w:val="en-US" w:eastAsia="zh-CN"/>
              </w:rPr>
              <w:t>11</w:t>
            </w:r>
            <w:r>
              <w:rPr>
                <w:rFonts w:hint="default" w:ascii="Times New Roman" w:hAnsi="Times New Roman" w:eastAsia="宋体" w:cs="Times New Roman"/>
                <w:snapToGrid w:val="0"/>
                <w:color w:val="auto"/>
                <w:spacing w:val="-1"/>
                <w:kern w:val="0"/>
                <w:sz w:val="24"/>
                <w:szCs w:val="24"/>
                <w:lang w:eastAsia="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en-US"/>
              </w:rPr>
            </w:pPr>
            <w:r>
              <w:rPr>
                <w:rFonts w:hint="default" w:ascii="Times New Roman" w:hAnsi="Times New Roman" w:cs="Times New Roman"/>
                <w:b/>
                <w:bCs/>
                <w:color w:val="auto"/>
                <w:sz w:val="21"/>
                <w:szCs w:val="21"/>
                <w:lang w:val="en-US" w:eastAsia="zh-CN"/>
              </w:rPr>
              <w:t>表2</w:t>
            </w:r>
            <w:r>
              <w:rPr>
                <w:rFonts w:hint="default" w:ascii="Times New Roman" w:hAnsi="Times New Roman" w:eastAsia="宋体" w:cs="Times New Roman"/>
                <w:b/>
                <w:bCs/>
                <w:color w:val="auto"/>
                <w:sz w:val="21"/>
                <w:szCs w:val="21"/>
                <w:lang w:val="en-US" w:eastAsia="en-US"/>
              </w:rPr>
              <w:t>-</w:t>
            </w:r>
            <w:r>
              <w:rPr>
                <w:rFonts w:hint="eastAsia" w:cs="Times New Roman"/>
                <w:b/>
                <w:bCs/>
                <w:color w:val="auto"/>
                <w:sz w:val="21"/>
                <w:szCs w:val="21"/>
                <w:lang w:val="en-US" w:eastAsia="zh-CN"/>
              </w:rPr>
              <w:t>11</w:t>
            </w:r>
            <w:r>
              <w:rPr>
                <w:rFonts w:hint="default" w:ascii="Times New Roman" w:hAnsi="Times New Roman" w:eastAsia="宋体" w:cs="Times New Roman"/>
                <w:b/>
                <w:bCs/>
                <w:color w:val="auto"/>
                <w:sz w:val="21"/>
                <w:szCs w:val="21"/>
                <w:lang w:val="en-US" w:eastAsia="en-US"/>
              </w:rPr>
              <w:t xml:space="preserve">  目标树选树标号流程</w:t>
            </w:r>
          </w:p>
          <w:p>
            <w:pPr>
              <w:widowControl/>
              <w:kinsoku w:val="0"/>
              <w:autoSpaceDE w:val="0"/>
              <w:autoSpaceDN w:val="0"/>
              <w:adjustRightInd w:val="0"/>
              <w:snapToGrid w:val="0"/>
              <w:spacing w:line="91" w:lineRule="auto"/>
              <w:ind w:firstLine="0" w:firstLineChars="0"/>
              <w:jc w:val="left"/>
              <w:textAlignment w:val="baseline"/>
              <w:rPr>
                <w:rFonts w:hint="default" w:ascii="Times New Roman" w:hAnsi="Times New Roman" w:eastAsia="Arial" w:cs="Times New Roman"/>
                <w:snapToGrid w:val="0"/>
                <w:color w:val="auto"/>
                <w:kern w:val="0"/>
                <w:sz w:val="2"/>
                <w:szCs w:val="21"/>
                <w:lang w:eastAsia="en-US"/>
              </w:rPr>
            </w:pPr>
          </w:p>
          <w:tbl>
            <w:tblPr>
              <w:tblStyle w:val="55"/>
              <w:tblW w:w="797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531"/>
              <w:gridCol w:w="69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8" w:hRule="atLeast"/>
              </w:trPr>
              <w:tc>
                <w:tcPr>
                  <w:tcW w:w="1065"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before="133" w:line="22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3"/>
                      <w:kern w:val="0"/>
                      <w:sz w:val="21"/>
                      <w:szCs w:val="21"/>
                      <w:lang w:val="en-US" w:eastAsia="en-US" w:bidi="ar-SA"/>
                    </w:rPr>
                    <w:t>流程</w:t>
                  </w:r>
                </w:p>
              </w:tc>
              <w:tc>
                <w:tcPr>
                  <w:tcW w:w="69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3" w:line="22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6"/>
                      <w:kern w:val="0"/>
                      <w:sz w:val="21"/>
                      <w:szCs w:val="21"/>
                      <w:lang w:val="en-US" w:eastAsia="en-US" w:bidi="ar-SA"/>
                    </w:rPr>
                    <w:t>作业工艺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2" w:hRule="atLeast"/>
              </w:trPr>
              <w:tc>
                <w:tcPr>
                  <w:tcW w:w="1065"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59"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59"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60"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65" w:line="239"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林木</w:t>
                  </w:r>
                  <w:r>
                    <w:rPr>
                      <w:rFonts w:hint="default" w:ascii="Times New Roman" w:hAnsi="Times New Roman" w:eastAsia="宋体" w:cs="Times New Roman"/>
                      <w:snapToGrid w:val="0"/>
                      <w:color w:val="auto"/>
                      <w:spacing w:val="3"/>
                      <w:kern w:val="0"/>
                      <w:sz w:val="21"/>
                      <w:szCs w:val="21"/>
                      <w:lang w:val="en-US" w:eastAsia="en-US" w:bidi="ar-SA"/>
                    </w:rPr>
                    <w:t>分类</w:t>
                  </w:r>
                </w:p>
              </w:tc>
              <w:tc>
                <w:tcPr>
                  <w:tcW w:w="69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1" w:line="239"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根据技术要求，结合调查实际情况，采伐前先进行林木分级</w:t>
                  </w:r>
                  <w:r>
                    <w:rPr>
                      <w:rFonts w:hint="default" w:ascii="Times New Roman" w:hAnsi="Times New Roman" w:eastAsia="宋体" w:cs="Times New Roman"/>
                      <w:snapToGrid w:val="0"/>
                      <w:color w:val="auto"/>
                      <w:spacing w:val="5"/>
                      <w:kern w:val="0"/>
                      <w:sz w:val="21"/>
                      <w:szCs w:val="21"/>
                      <w:lang w:val="en-US" w:eastAsia="en-US" w:bidi="ar-SA"/>
                    </w:rPr>
                    <w:t>。林木分类标准执行《森林抚育技术规程》（</w:t>
                  </w:r>
                  <w:r>
                    <w:rPr>
                      <w:rFonts w:hint="default" w:ascii="Times New Roman" w:hAnsi="Times New Roman" w:eastAsia="Times New Roman" w:cs="Times New Roman"/>
                      <w:snapToGrid w:val="0"/>
                      <w:color w:val="auto"/>
                      <w:kern w:val="0"/>
                      <w:sz w:val="21"/>
                      <w:szCs w:val="21"/>
                      <w:lang w:val="en-US" w:eastAsia="en-US" w:bidi="ar-SA"/>
                    </w:rPr>
                    <w:t>GB</w:t>
                  </w:r>
                  <w:r>
                    <w:rPr>
                      <w:rFonts w:hint="default" w:ascii="Times New Roman" w:hAnsi="Times New Roman" w:eastAsia="Times New Roman" w:cs="Times New Roman"/>
                      <w:snapToGrid w:val="0"/>
                      <w:color w:val="auto"/>
                      <w:spacing w:val="5"/>
                      <w:kern w:val="0"/>
                      <w:sz w:val="21"/>
                      <w:szCs w:val="21"/>
                      <w:lang w:val="en-US" w:eastAsia="en-US" w:bidi="ar-SA"/>
                    </w:rPr>
                    <w:t>/T15781-2015</w:t>
                  </w:r>
                  <w:r>
                    <w:rPr>
                      <w:rFonts w:hint="default" w:ascii="Times New Roman" w:hAnsi="Times New Roman" w:eastAsia="宋体" w:cs="Times New Roman"/>
                      <w:snapToGrid w:val="0"/>
                      <w:color w:val="auto"/>
                      <w:spacing w:val="21"/>
                      <w:kern w:val="0"/>
                      <w:sz w:val="21"/>
                      <w:szCs w:val="21"/>
                      <w:lang w:val="en-US" w:eastAsia="en-US" w:bidi="ar-SA"/>
                    </w:rPr>
                    <w:t>），</w:t>
                  </w:r>
                  <w:r>
                    <w:rPr>
                      <w:rFonts w:hint="default" w:ascii="Times New Roman" w:hAnsi="Times New Roman" w:eastAsia="宋体" w:cs="Times New Roman"/>
                      <w:snapToGrid w:val="0"/>
                      <w:color w:val="auto"/>
                      <w:spacing w:val="5"/>
                      <w:kern w:val="0"/>
                      <w:sz w:val="21"/>
                      <w:szCs w:val="21"/>
                      <w:lang w:val="en-US" w:eastAsia="en-US" w:bidi="ar-SA"/>
                    </w:rPr>
                    <w:t>如下：</w:t>
                  </w:r>
                </w:p>
                <w:p>
                  <w:pPr>
                    <w:keepNext w:val="0"/>
                    <w:keepLines w:val="0"/>
                    <w:pageBreakBefore w:val="0"/>
                    <w:widowControl/>
                    <w:kinsoku w:val="0"/>
                    <w:wordWrap/>
                    <w:overflowPunct/>
                    <w:topLinePunct w:val="0"/>
                    <w:autoSpaceDE w:val="0"/>
                    <w:autoSpaceDN w:val="0"/>
                    <w:bidi w:val="0"/>
                    <w:adjustRightInd w:val="0"/>
                    <w:snapToGrid w:val="0"/>
                    <w:spacing w:before="24" w:line="227"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1"/>
                      <w:kern w:val="0"/>
                      <w:sz w:val="21"/>
                      <w:szCs w:val="21"/>
                      <w:lang w:val="en-US" w:eastAsia="en-US" w:bidi="ar-SA"/>
                    </w:rPr>
                    <w:t>1</w:t>
                  </w:r>
                  <w:r>
                    <w:rPr>
                      <w:rFonts w:hint="default" w:ascii="Times New Roman" w:hAnsi="Times New Roman" w:eastAsia="宋体" w:cs="Times New Roman"/>
                      <w:snapToGrid w:val="0"/>
                      <w:color w:val="auto"/>
                      <w:spacing w:val="1"/>
                      <w:kern w:val="0"/>
                      <w:sz w:val="21"/>
                      <w:szCs w:val="21"/>
                      <w:lang w:val="en-US" w:eastAsia="en-US" w:bidi="ar-SA"/>
                    </w:rPr>
                    <w:t>）目标树：属于目的树种，</w:t>
                  </w:r>
                  <w:r>
                    <w:rPr>
                      <w:rFonts w:hint="eastAsia" w:cs="Times New Roman"/>
                      <w:snapToGrid w:val="0"/>
                      <w:color w:val="auto"/>
                      <w:spacing w:val="1"/>
                      <w:kern w:val="0"/>
                      <w:sz w:val="21"/>
                      <w:szCs w:val="21"/>
                      <w:lang w:val="en-US" w:eastAsia="zh-CN" w:bidi="ar-SA"/>
                    </w:rPr>
                    <w:t>生命</w:t>
                  </w:r>
                  <w:r>
                    <w:rPr>
                      <w:rFonts w:hint="default" w:ascii="Times New Roman" w:hAnsi="Times New Roman" w:eastAsia="宋体" w:cs="Times New Roman"/>
                      <w:snapToGrid w:val="0"/>
                      <w:color w:val="auto"/>
                      <w:spacing w:val="1"/>
                      <w:kern w:val="0"/>
                      <w:sz w:val="21"/>
                      <w:szCs w:val="21"/>
                      <w:lang w:val="en-US" w:eastAsia="en-US" w:bidi="ar-SA"/>
                    </w:rPr>
                    <w:t>力强，干材质量好，没有损失，优先选择实生起源。</w:t>
                  </w:r>
                </w:p>
                <w:p>
                  <w:pPr>
                    <w:keepNext w:val="0"/>
                    <w:keepLines w:val="0"/>
                    <w:pageBreakBefore w:val="0"/>
                    <w:widowControl/>
                    <w:kinsoku w:val="0"/>
                    <w:wordWrap/>
                    <w:overflowPunct/>
                    <w:topLinePunct w:val="0"/>
                    <w:autoSpaceDE w:val="0"/>
                    <w:autoSpaceDN w:val="0"/>
                    <w:bidi w:val="0"/>
                    <w:adjustRightInd w:val="0"/>
                    <w:snapToGrid w:val="0"/>
                    <w:spacing w:before="27" w:line="240"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8"/>
                      <w:kern w:val="0"/>
                      <w:sz w:val="21"/>
                      <w:szCs w:val="21"/>
                      <w:lang w:val="en-US" w:eastAsia="en-US" w:bidi="ar-SA"/>
                    </w:rPr>
                    <w:t>2</w:t>
                  </w:r>
                  <w:r>
                    <w:rPr>
                      <w:rFonts w:hint="default" w:ascii="Times New Roman" w:hAnsi="Times New Roman" w:eastAsia="宋体" w:cs="Times New Roman"/>
                      <w:snapToGrid w:val="0"/>
                      <w:color w:val="auto"/>
                      <w:spacing w:val="8"/>
                      <w:kern w:val="0"/>
                      <w:sz w:val="21"/>
                      <w:szCs w:val="21"/>
                      <w:lang w:val="en-US" w:eastAsia="en-US" w:bidi="ar-SA"/>
                    </w:rPr>
                    <w:t>）辅助树：有利于提高森林生物多样性。保护物种、改善森林空间结构、保护和改</w:t>
                  </w:r>
                  <w:r>
                    <w:rPr>
                      <w:rFonts w:hint="default" w:ascii="Times New Roman" w:hAnsi="Times New Roman" w:eastAsia="宋体" w:cs="Times New Roman"/>
                      <w:snapToGrid w:val="0"/>
                      <w:color w:val="auto"/>
                      <w:spacing w:val="4"/>
                      <w:kern w:val="0"/>
                      <w:sz w:val="21"/>
                      <w:szCs w:val="21"/>
                      <w:lang w:val="en-US" w:eastAsia="en-US" w:bidi="ar-SA"/>
                    </w:rPr>
                    <w:t>良土壤等功能的林木。</w:t>
                  </w:r>
                </w:p>
                <w:p>
                  <w:pPr>
                    <w:keepNext w:val="0"/>
                    <w:keepLines w:val="0"/>
                    <w:pageBreakBefore w:val="0"/>
                    <w:widowControl/>
                    <w:kinsoku w:val="0"/>
                    <w:wordWrap/>
                    <w:overflowPunct/>
                    <w:topLinePunct w:val="0"/>
                    <w:autoSpaceDE w:val="0"/>
                    <w:autoSpaceDN w:val="0"/>
                    <w:bidi w:val="0"/>
                    <w:adjustRightInd w:val="0"/>
                    <w:snapToGrid w:val="0"/>
                    <w:spacing w:before="24" w:line="240"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8"/>
                      <w:kern w:val="0"/>
                      <w:sz w:val="21"/>
                      <w:szCs w:val="21"/>
                      <w:lang w:val="en-US" w:eastAsia="en-US" w:bidi="ar-SA"/>
                    </w:rPr>
                    <w:t>3</w:t>
                  </w:r>
                  <w:r>
                    <w:rPr>
                      <w:rFonts w:hint="default" w:ascii="Times New Roman" w:hAnsi="Times New Roman" w:eastAsia="宋体" w:cs="Times New Roman"/>
                      <w:snapToGrid w:val="0"/>
                      <w:color w:val="auto"/>
                      <w:spacing w:val="8"/>
                      <w:kern w:val="0"/>
                      <w:sz w:val="21"/>
                      <w:szCs w:val="21"/>
                      <w:lang w:val="en-US" w:eastAsia="en-US" w:bidi="ar-SA"/>
                    </w:rPr>
                    <w:t>）干扰树：对目标树生长直接产生不利影响</w:t>
                  </w:r>
                  <w:r>
                    <w:rPr>
                      <w:rFonts w:hint="eastAsia" w:cs="Times New Roman"/>
                      <w:snapToGrid w:val="0"/>
                      <w:color w:val="auto"/>
                      <w:spacing w:val="8"/>
                      <w:kern w:val="0"/>
                      <w:sz w:val="21"/>
                      <w:szCs w:val="21"/>
                      <w:lang w:val="en-US" w:eastAsia="zh-CN" w:bidi="ar-SA"/>
                    </w:rPr>
                    <w:t>或</w:t>
                  </w:r>
                  <w:r>
                    <w:rPr>
                      <w:rFonts w:hint="default" w:ascii="Times New Roman" w:hAnsi="Times New Roman" w:eastAsia="宋体" w:cs="Times New Roman"/>
                      <w:snapToGrid w:val="0"/>
                      <w:color w:val="auto"/>
                      <w:spacing w:val="8"/>
                      <w:kern w:val="0"/>
                      <w:sz w:val="21"/>
                      <w:szCs w:val="21"/>
                      <w:lang w:val="en-US" w:eastAsia="en-US" w:bidi="ar-SA"/>
                    </w:rPr>
                    <w:t>显著影响林分卫生条件、需要近期</w:t>
                  </w:r>
                  <w:r>
                    <w:rPr>
                      <w:rFonts w:hint="default" w:ascii="Times New Roman" w:hAnsi="Times New Roman" w:eastAsia="宋体" w:cs="Times New Roman"/>
                      <w:snapToGrid w:val="0"/>
                      <w:color w:val="auto"/>
                      <w:spacing w:val="6"/>
                      <w:kern w:val="0"/>
                      <w:sz w:val="21"/>
                      <w:szCs w:val="21"/>
                      <w:lang w:val="en-US" w:eastAsia="en-US" w:bidi="ar-SA"/>
                    </w:rPr>
                    <w:t>采伐的林木。</w:t>
                  </w:r>
                </w:p>
                <w:p>
                  <w:pPr>
                    <w:keepNext w:val="0"/>
                    <w:keepLines w:val="0"/>
                    <w:pageBreakBefore w:val="0"/>
                    <w:widowControl/>
                    <w:kinsoku w:val="0"/>
                    <w:wordWrap/>
                    <w:overflowPunct/>
                    <w:topLinePunct w:val="0"/>
                    <w:autoSpaceDE w:val="0"/>
                    <w:autoSpaceDN w:val="0"/>
                    <w:bidi w:val="0"/>
                    <w:adjustRightInd w:val="0"/>
                    <w:snapToGrid w:val="0"/>
                    <w:spacing w:before="26" w:line="216"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10"/>
                      <w:kern w:val="0"/>
                      <w:sz w:val="21"/>
                      <w:szCs w:val="21"/>
                      <w:lang w:val="en-US" w:eastAsia="en-US" w:bidi="ar-SA"/>
                    </w:rPr>
                    <w:t>4</w:t>
                  </w:r>
                  <w:r>
                    <w:rPr>
                      <w:rFonts w:hint="default" w:ascii="Times New Roman" w:hAnsi="Times New Roman" w:eastAsia="宋体" w:cs="Times New Roman"/>
                      <w:snapToGrid w:val="0"/>
                      <w:color w:val="auto"/>
                      <w:spacing w:val="10"/>
                      <w:kern w:val="0"/>
                      <w:sz w:val="21"/>
                      <w:szCs w:val="21"/>
                      <w:lang w:val="en-US" w:eastAsia="en-US" w:bidi="ar-SA"/>
                    </w:rPr>
                    <w:t>）其他树：林分中除目标树、辅助树、干扰树以外</w:t>
                  </w:r>
                  <w:r>
                    <w:rPr>
                      <w:rFonts w:hint="default" w:ascii="Times New Roman" w:hAnsi="Times New Roman" w:eastAsia="宋体" w:cs="Times New Roman"/>
                      <w:snapToGrid w:val="0"/>
                      <w:color w:val="auto"/>
                      <w:spacing w:val="9"/>
                      <w:kern w:val="0"/>
                      <w:sz w:val="21"/>
                      <w:szCs w:val="21"/>
                      <w:lang w:val="en-US" w:eastAsia="en-US" w:bidi="ar-SA"/>
                    </w:rPr>
                    <w:t>的林木。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53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8"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49"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49"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49"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49"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49"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49"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65" w:line="240"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选树</w:t>
                  </w:r>
                  <w:r>
                    <w:rPr>
                      <w:rFonts w:hint="default" w:ascii="Times New Roman" w:hAnsi="Times New Roman" w:eastAsia="宋体" w:cs="Times New Roman"/>
                      <w:snapToGrid w:val="0"/>
                      <w:color w:val="auto"/>
                      <w:spacing w:val="4"/>
                      <w:kern w:val="0"/>
                      <w:sz w:val="21"/>
                      <w:szCs w:val="21"/>
                      <w:lang w:val="en-US" w:eastAsia="en-US" w:bidi="ar-SA"/>
                    </w:rPr>
                    <w:t>标号</w:t>
                  </w:r>
                </w:p>
              </w:tc>
              <w:tc>
                <w:tcPr>
                  <w:tcW w:w="5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68" w:line="22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保留</w:t>
                  </w:r>
                </w:p>
                <w:p>
                  <w:pPr>
                    <w:keepNext w:val="0"/>
                    <w:keepLines w:val="0"/>
                    <w:pageBreakBefore w:val="0"/>
                    <w:widowControl/>
                    <w:kinsoku w:val="0"/>
                    <w:wordWrap/>
                    <w:overflowPunct/>
                    <w:topLinePunct w:val="0"/>
                    <w:autoSpaceDE w:val="0"/>
                    <w:autoSpaceDN w:val="0"/>
                    <w:bidi w:val="0"/>
                    <w:adjustRightInd w:val="0"/>
                    <w:snapToGrid w:val="0"/>
                    <w:spacing w:before="24" w:line="22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木选</w:t>
                  </w:r>
                </w:p>
                <w:p>
                  <w:pPr>
                    <w:keepNext w:val="0"/>
                    <w:keepLines w:val="0"/>
                    <w:pageBreakBefore w:val="0"/>
                    <w:widowControl/>
                    <w:kinsoku w:val="0"/>
                    <w:wordWrap/>
                    <w:overflowPunct/>
                    <w:topLinePunct w:val="0"/>
                    <w:autoSpaceDE w:val="0"/>
                    <w:autoSpaceDN w:val="0"/>
                    <w:bidi w:val="0"/>
                    <w:adjustRightInd w:val="0"/>
                    <w:snapToGrid w:val="0"/>
                    <w:spacing w:before="23" w:line="229"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kern w:val="0"/>
                      <w:sz w:val="21"/>
                      <w:szCs w:val="21"/>
                      <w:lang w:val="en-US" w:eastAsia="en-US" w:bidi="ar-SA"/>
                    </w:rPr>
                    <w:t>择</w:t>
                  </w:r>
                </w:p>
              </w:tc>
              <w:tc>
                <w:tcPr>
                  <w:tcW w:w="69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0" w:line="22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6"/>
                      <w:kern w:val="0"/>
                      <w:sz w:val="21"/>
                      <w:szCs w:val="21"/>
                      <w:lang w:val="en-US" w:eastAsia="en-US" w:bidi="ar-SA"/>
                    </w:rPr>
                    <w:t>1</w:t>
                  </w:r>
                  <w:r>
                    <w:rPr>
                      <w:rFonts w:hint="default" w:ascii="Times New Roman" w:hAnsi="Times New Roman" w:eastAsia="宋体" w:cs="Times New Roman"/>
                      <w:snapToGrid w:val="0"/>
                      <w:color w:val="auto"/>
                      <w:spacing w:val="6"/>
                      <w:kern w:val="0"/>
                      <w:sz w:val="21"/>
                      <w:szCs w:val="21"/>
                      <w:lang w:val="en-US" w:eastAsia="en-US" w:bidi="ar-SA"/>
                    </w:rPr>
                    <w:t>）保留木对象为目标树、辅助树、其他树。</w:t>
                  </w:r>
                </w:p>
                <w:p>
                  <w:pPr>
                    <w:keepNext w:val="0"/>
                    <w:keepLines w:val="0"/>
                    <w:pageBreakBefore w:val="0"/>
                    <w:widowControl/>
                    <w:kinsoku w:val="0"/>
                    <w:wordWrap/>
                    <w:overflowPunct/>
                    <w:topLinePunct w:val="0"/>
                    <w:autoSpaceDE w:val="0"/>
                    <w:autoSpaceDN w:val="0"/>
                    <w:bidi w:val="0"/>
                    <w:adjustRightInd w:val="0"/>
                    <w:snapToGrid w:val="0"/>
                    <w:spacing w:before="26" w:line="239"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11"/>
                      <w:kern w:val="0"/>
                      <w:sz w:val="21"/>
                      <w:szCs w:val="21"/>
                      <w:lang w:val="en-US" w:eastAsia="en-US" w:bidi="ar-SA"/>
                    </w:rPr>
                    <w:t>2</w:t>
                  </w:r>
                  <w:r>
                    <w:rPr>
                      <w:rFonts w:hint="default" w:ascii="Times New Roman" w:hAnsi="Times New Roman" w:eastAsia="宋体" w:cs="Times New Roman"/>
                      <w:snapToGrid w:val="0"/>
                      <w:color w:val="auto"/>
                      <w:spacing w:val="11"/>
                      <w:kern w:val="0"/>
                      <w:sz w:val="21"/>
                      <w:szCs w:val="21"/>
                      <w:lang w:val="en-US" w:eastAsia="en-US" w:bidi="ar-SA"/>
                    </w:rPr>
                    <w:t>）保留木的控制同时兼顾数量和距离</w:t>
                  </w:r>
                  <w:r>
                    <w:rPr>
                      <w:rFonts w:hint="default" w:ascii="Times New Roman" w:hAnsi="Times New Roman" w:eastAsia="Times New Roman" w:cs="Times New Roman"/>
                      <w:snapToGrid w:val="0"/>
                      <w:color w:val="auto"/>
                      <w:spacing w:val="11"/>
                      <w:kern w:val="0"/>
                      <w:sz w:val="21"/>
                      <w:szCs w:val="21"/>
                      <w:lang w:val="en-US" w:eastAsia="en-US" w:bidi="ar-SA"/>
                    </w:rPr>
                    <w:t>2</w:t>
                  </w:r>
                  <w:r>
                    <w:rPr>
                      <w:rFonts w:hint="default" w:ascii="Times New Roman" w:hAnsi="Times New Roman" w:eastAsia="宋体" w:cs="Times New Roman"/>
                      <w:snapToGrid w:val="0"/>
                      <w:color w:val="auto"/>
                      <w:spacing w:val="11"/>
                      <w:kern w:val="0"/>
                      <w:sz w:val="21"/>
                      <w:szCs w:val="21"/>
                      <w:lang w:val="en-US" w:eastAsia="en-US" w:bidi="ar-SA"/>
                    </w:rPr>
                    <w:t>个指标。控制距离</w:t>
                  </w:r>
                  <w:r>
                    <w:rPr>
                      <w:rFonts w:hint="default" w:ascii="Times New Roman" w:hAnsi="Times New Roman" w:eastAsia="宋体" w:cs="Times New Roman"/>
                      <w:snapToGrid w:val="0"/>
                      <w:color w:val="auto"/>
                      <w:spacing w:val="10"/>
                      <w:kern w:val="0"/>
                      <w:sz w:val="21"/>
                      <w:szCs w:val="21"/>
                      <w:lang w:val="en-US" w:eastAsia="en-US" w:bidi="ar-SA"/>
                    </w:rPr>
                    <w:t>为当前胸径的</w:t>
                  </w:r>
                  <w:r>
                    <w:rPr>
                      <w:rFonts w:hint="default" w:ascii="Times New Roman" w:hAnsi="Times New Roman" w:eastAsia="Times New Roman" w:cs="Times New Roman"/>
                      <w:snapToGrid w:val="0"/>
                      <w:color w:val="auto"/>
                      <w:spacing w:val="10"/>
                      <w:kern w:val="0"/>
                      <w:sz w:val="21"/>
                      <w:szCs w:val="21"/>
                      <w:lang w:val="en-US" w:eastAsia="en-US" w:bidi="ar-SA"/>
                    </w:rPr>
                    <w:t>20</w:t>
                  </w:r>
                  <w:r>
                    <w:rPr>
                      <w:rFonts w:hint="default" w:ascii="Times New Roman" w:hAnsi="Times New Roman" w:eastAsia="宋体" w:cs="Times New Roman"/>
                      <w:snapToGrid w:val="0"/>
                      <w:color w:val="auto"/>
                      <w:spacing w:val="10"/>
                      <w:kern w:val="0"/>
                      <w:sz w:val="21"/>
                      <w:szCs w:val="21"/>
                      <w:lang w:val="en-US" w:eastAsia="en-US" w:bidi="ar-SA"/>
                    </w:rPr>
                    <w:t>倍</w:t>
                  </w:r>
                  <w:r>
                    <w:rPr>
                      <w:rFonts w:hint="default" w:ascii="Times New Roman" w:hAnsi="Times New Roman" w:eastAsia="宋体" w:cs="Times New Roman"/>
                      <w:snapToGrid w:val="0"/>
                      <w:color w:val="auto"/>
                      <w:spacing w:val="4"/>
                      <w:kern w:val="0"/>
                      <w:sz w:val="21"/>
                      <w:szCs w:val="21"/>
                      <w:lang w:val="en-US" w:eastAsia="en-US" w:bidi="ar-SA"/>
                    </w:rPr>
                    <w:t>。</w:t>
                  </w:r>
                </w:p>
                <w:p>
                  <w:pPr>
                    <w:keepNext w:val="0"/>
                    <w:keepLines w:val="0"/>
                    <w:pageBreakBefore w:val="0"/>
                    <w:widowControl/>
                    <w:kinsoku w:val="0"/>
                    <w:wordWrap/>
                    <w:overflowPunct/>
                    <w:topLinePunct w:val="0"/>
                    <w:autoSpaceDE w:val="0"/>
                    <w:autoSpaceDN w:val="0"/>
                    <w:bidi w:val="0"/>
                    <w:adjustRightInd w:val="0"/>
                    <w:snapToGrid w:val="0"/>
                    <w:spacing w:before="28" w:line="215"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7"/>
                      <w:kern w:val="0"/>
                      <w:sz w:val="21"/>
                      <w:szCs w:val="21"/>
                      <w:lang w:val="en-US" w:eastAsia="en-US" w:bidi="ar-SA"/>
                    </w:rPr>
                    <w:t>3</w:t>
                  </w:r>
                  <w:r>
                    <w:rPr>
                      <w:rFonts w:hint="default" w:ascii="Times New Roman" w:hAnsi="Times New Roman" w:eastAsia="宋体" w:cs="Times New Roman"/>
                      <w:snapToGrid w:val="0"/>
                      <w:color w:val="auto"/>
                      <w:spacing w:val="7"/>
                      <w:kern w:val="0"/>
                      <w:sz w:val="21"/>
                      <w:szCs w:val="21"/>
                      <w:lang w:val="en-US" w:eastAsia="en-US" w:bidi="ar-SA"/>
                    </w:rPr>
                    <w:t>）确定的保留木用红色油漆标注。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53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tc>
              <w:tc>
                <w:tcPr>
                  <w:tcW w:w="5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4" w:line="239"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采伐对象选择</w:t>
                  </w:r>
                </w:p>
              </w:tc>
              <w:tc>
                <w:tcPr>
                  <w:tcW w:w="69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4" w:line="227"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6"/>
                      <w:kern w:val="0"/>
                      <w:sz w:val="21"/>
                      <w:szCs w:val="21"/>
                      <w:lang w:val="en-US" w:eastAsia="en-US" w:bidi="ar-SA"/>
                    </w:rPr>
                    <w:t>1</w:t>
                  </w:r>
                  <w:r>
                    <w:rPr>
                      <w:rFonts w:hint="default" w:ascii="Times New Roman" w:hAnsi="Times New Roman" w:eastAsia="宋体" w:cs="Times New Roman"/>
                      <w:snapToGrid w:val="0"/>
                      <w:color w:val="auto"/>
                      <w:spacing w:val="6"/>
                      <w:kern w:val="0"/>
                      <w:sz w:val="21"/>
                      <w:szCs w:val="21"/>
                      <w:lang w:val="en-US" w:eastAsia="en-US" w:bidi="ar-SA"/>
                    </w:rPr>
                    <w:t>）采伐对象为干扰树。</w:t>
                  </w:r>
                </w:p>
                <w:p>
                  <w:pPr>
                    <w:keepNext w:val="0"/>
                    <w:keepLines w:val="0"/>
                    <w:pageBreakBefore w:val="0"/>
                    <w:widowControl/>
                    <w:kinsoku w:val="0"/>
                    <w:wordWrap/>
                    <w:overflowPunct/>
                    <w:topLinePunct w:val="0"/>
                    <w:autoSpaceDE w:val="0"/>
                    <w:autoSpaceDN w:val="0"/>
                    <w:bidi w:val="0"/>
                    <w:adjustRightInd w:val="0"/>
                    <w:snapToGrid w:val="0"/>
                    <w:spacing w:before="25" w:line="227"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9"/>
                      <w:kern w:val="0"/>
                      <w:sz w:val="21"/>
                      <w:szCs w:val="21"/>
                      <w:lang w:val="en-US" w:eastAsia="en-US" w:bidi="ar-SA"/>
                    </w:rPr>
                    <w:t>2</w:t>
                  </w:r>
                  <w:r>
                    <w:rPr>
                      <w:rFonts w:hint="default" w:ascii="Times New Roman" w:hAnsi="Times New Roman" w:eastAsia="宋体" w:cs="Times New Roman"/>
                      <w:snapToGrid w:val="0"/>
                      <w:color w:val="auto"/>
                      <w:spacing w:val="9"/>
                      <w:kern w:val="0"/>
                      <w:sz w:val="21"/>
                      <w:szCs w:val="21"/>
                      <w:lang w:val="en-US" w:eastAsia="en-US" w:bidi="ar-SA"/>
                    </w:rPr>
                    <w:t>）幼树幼苗应注意保留，阔叶类树种不论大小都不得采伐。</w:t>
                  </w:r>
                </w:p>
                <w:p>
                  <w:pPr>
                    <w:keepNext w:val="0"/>
                    <w:keepLines w:val="0"/>
                    <w:pageBreakBefore w:val="0"/>
                    <w:widowControl/>
                    <w:kinsoku w:val="0"/>
                    <w:wordWrap/>
                    <w:overflowPunct/>
                    <w:topLinePunct w:val="0"/>
                    <w:autoSpaceDE w:val="0"/>
                    <w:autoSpaceDN w:val="0"/>
                    <w:bidi w:val="0"/>
                    <w:adjustRightInd w:val="0"/>
                    <w:snapToGrid w:val="0"/>
                    <w:spacing w:before="25" w:line="216"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8"/>
                      <w:kern w:val="0"/>
                      <w:sz w:val="21"/>
                      <w:szCs w:val="21"/>
                      <w:lang w:val="en-US" w:eastAsia="en-US" w:bidi="ar-SA"/>
                    </w:rPr>
                    <w:t>3</w:t>
                  </w:r>
                  <w:r>
                    <w:rPr>
                      <w:rFonts w:hint="default" w:ascii="Times New Roman" w:hAnsi="Times New Roman" w:eastAsia="宋体" w:cs="Times New Roman"/>
                      <w:snapToGrid w:val="0"/>
                      <w:color w:val="auto"/>
                      <w:spacing w:val="8"/>
                      <w:kern w:val="0"/>
                      <w:sz w:val="21"/>
                      <w:szCs w:val="21"/>
                      <w:lang w:val="en-US" w:eastAsia="en-US" w:bidi="ar-SA"/>
                    </w:rPr>
                    <w:t>）确定的采伐木用白色油漆标注。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8" w:hRule="atLeast"/>
              </w:trPr>
              <w:tc>
                <w:tcPr>
                  <w:tcW w:w="53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tc>
              <w:tc>
                <w:tcPr>
                  <w:tcW w:w="531" w:type="dxa"/>
                  <w:vAlign w:val="center"/>
                </w:tcPr>
                <w:p>
                  <w:pPr>
                    <w:keepNext w:val="0"/>
                    <w:keepLines w:val="0"/>
                    <w:pageBreakBefore w:val="0"/>
                    <w:widowControl/>
                    <w:kinsoku w:val="0"/>
                    <w:wordWrap/>
                    <w:overflowPunct/>
                    <w:topLinePunct w:val="0"/>
                    <w:autoSpaceDE w:val="0"/>
                    <w:autoSpaceDN w:val="0"/>
                    <w:bidi w:val="0"/>
                    <w:adjustRightInd w:val="0"/>
                    <w:snapToGrid w:val="0"/>
                    <w:spacing w:line="255"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56"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65" w:line="239"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选树</w:t>
                  </w:r>
                  <w:r>
                    <w:rPr>
                      <w:rFonts w:hint="default" w:ascii="Times New Roman" w:hAnsi="Times New Roman" w:eastAsia="宋体" w:cs="Times New Roman"/>
                      <w:snapToGrid w:val="0"/>
                      <w:color w:val="auto"/>
                      <w:spacing w:val="4"/>
                      <w:kern w:val="0"/>
                      <w:sz w:val="21"/>
                      <w:szCs w:val="21"/>
                      <w:lang w:val="en-US" w:eastAsia="en-US" w:bidi="ar-SA"/>
                    </w:rPr>
                    <w:t>标记</w:t>
                  </w:r>
                </w:p>
              </w:tc>
              <w:tc>
                <w:tcPr>
                  <w:tcW w:w="69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5" w:line="239"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9"/>
                      <w:kern w:val="0"/>
                      <w:sz w:val="21"/>
                      <w:szCs w:val="21"/>
                      <w:lang w:val="en-US" w:eastAsia="en-US" w:bidi="ar-SA"/>
                    </w:rPr>
                    <w:t>1</w:t>
                  </w:r>
                  <w:r>
                    <w:rPr>
                      <w:rFonts w:hint="default" w:ascii="Times New Roman" w:hAnsi="Times New Roman" w:eastAsia="宋体" w:cs="Times New Roman"/>
                      <w:snapToGrid w:val="0"/>
                      <w:color w:val="auto"/>
                      <w:spacing w:val="9"/>
                      <w:kern w:val="0"/>
                      <w:sz w:val="21"/>
                      <w:szCs w:val="21"/>
                      <w:lang w:val="en-US" w:eastAsia="en-US" w:bidi="ar-SA"/>
                    </w:rPr>
                    <w:t>）</w:t>
                  </w:r>
                  <w:r>
                    <w:rPr>
                      <w:rFonts w:hint="default" w:ascii="Times New Roman" w:hAnsi="Times New Roman" w:eastAsia="Times New Roman" w:cs="Times New Roman"/>
                      <w:snapToGrid w:val="0"/>
                      <w:color w:val="auto"/>
                      <w:spacing w:val="9"/>
                      <w:kern w:val="0"/>
                      <w:sz w:val="21"/>
                      <w:szCs w:val="21"/>
                      <w:lang w:val="en-US" w:eastAsia="en-US" w:bidi="ar-SA"/>
                    </w:rPr>
                    <w:t>2-3</w:t>
                  </w:r>
                  <w:r>
                    <w:rPr>
                      <w:rFonts w:hint="default" w:ascii="Times New Roman" w:hAnsi="Times New Roman" w:eastAsia="宋体" w:cs="Times New Roman"/>
                      <w:snapToGrid w:val="0"/>
                      <w:color w:val="auto"/>
                      <w:spacing w:val="9"/>
                      <w:kern w:val="0"/>
                      <w:sz w:val="21"/>
                      <w:szCs w:val="21"/>
                      <w:lang w:val="en-US" w:eastAsia="en-US" w:bidi="ar-SA"/>
                    </w:rPr>
                    <w:t>人一组，一个人负责选择保留木、采伐木并测量胸径，第二个人负责记录并估测树高，第三人负责油漆标记并砍除障碍物。</w:t>
                  </w:r>
                </w:p>
                <w:p>
                  <w:pPr>
                    <w:keepNext w:val="0"/>
                    <w:keepLines w:val="0"/>
                    <w:pageBreakBefore w:val="0"/>
                    <w:widowControl/>
                    <w:kinsoku w:val="0"/>
                    <w:wordWrap/>
                    <w:overflowPunct/>
                    <w:topLinePunct w:val="0"/>
                    <w:autoSpaceDE w:val="0"/>
                    <w:autoSpaceDN w:val="0"/>
                    <w:bidi w:val="0"/>
                    <w:adjustRightInd w:val="0"/>
                    <w:snapToGrid w:val="0"/>
                    <w:spacing w:before="26" w:line="240"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8"/>
                      <w:kern w:val="0"/>
                      <w:sz w:val="21"/>
                      <w:szCs w:val="21"/>
                      <w:lang w:val="en-US" w:eastAsia="en-US" w:bidi="ar-SA"/>
                    </w:rPr>
                    <w:t>2</w:t>
                  </w:r>
                  <w:r>
                    <w:rPr>
                      <w:rFonts w:hint="default" w:ascii="Times New Roman" w:hAnsi="Times New Roman" w:eastAsia="宋体" w:cs="Times New Roman"/>
                      <w:snapToGrid w:val="0"/>
                      <w:color w:val="auto"/>
                      <w:spacing w:val="8"/>
                      <w:kern w:val="0"/>
                      <w:sz w:val="21"/>
                      <w:szCs w:val="21"/>
                      <w:lang w:val="en-US" w:eastAsia="en-US" w:bidi="ar-SA"/>
                    </w:rPr>
                    <w:t>）保留木用红色油漆在</w:t>
                  </w:r>
                  <w:r>
                    <w:rPr>
                      <w:rFonts w:hint="default" w:ascii="Times New Roman" w:hAnsi="Times New Roman" w:eastAsia="Times New Roman" w:cs="Times New Roman"/>
                      <w:snapToGrid w:val="0"/>
                      <w:color w:val="auto"/>
                      <w:spacing w:val="8"/>
                      <w:kern w:val="0"/>
                      <w:sz w:val="21"/>
                      <w:szCs w:val="21"/>
                      <w:lang w:val="en-US" w:eastAsia="en-US" w:bidi="ar-SA"/>
                    </w:rPr>
                    <w:t>1.3</w:t>
                  </w:r>
                  <w:r>
                    <w:rPr>
                      <w:rFonts w:hint="default" w:ascii="Times New Roman" w:hAnsi="Times New Roman" w:eastAsia="宋体" w:cs="Times New Roman"/>
                      <w:snapToGrid w:val="0"/>
                      <w:color w:val="auto"/>
                      <w:spacing w:val="8"/>
                      <w:kern w:val="0"/>
                      <w:sz w:val="21"/>
                      <w:szCs w:val="21"/>
                      <w:lang w:val="en-US" w:eastAsia="en-US" w:bidi="ar-SA"/>
                    </w:rPr>
                    <w:t>米处标记一圈；采伐</w:t>
                  </w:r>
                  <w:r>
                    <w:rPr>
                      <w:rFonts w:hint="default" w:ascii="Times New Roman" w:hAnsi="Times New Roman" w:eastAsia="宋体" w:cs="Times New Roman"/>
                      <w:snapToGrid w:val="0"/>
                      <w:color w:val="auto"/>
                      <w:spacing w:val="7"/>
                      <w:kern w:val="0"/>
                      <w:sz w:val="21"/>
                      <w:szCs w:val="21"/>
                      <w:lang w:val="en-US" w:eastAsia="en-US" w:bidi="ar-SA"/>
                    </w:rPr>
                    <w:t>木用白色油漆标记一斜线。红线、</w:t>
                  </w:r>
                  <w:r>
                    <w:rPr>
                      <w:rFonts w:hint="default" w:ascii="Times New Roman" w:hAnsi="Times New Roman" w:eastAsia="宋体" w:cs="Times New Roman"/>
                      <w:snapToGrid w:val="0"/>
                      <w:color w:val="auto"/>
                      <w:spacing w:val="5"/>
                      <w:kern w:val="0"/>
                      <w:sz w:val="21"/>
                      <w:szCs w:val="21"/>
                      <w:lang w:val="en-US" w:eastAsia="en-US" w:bidi="ar-SA"/>
                    </w:rPr>
                    <w:t>白线均朝向同一方向。</w:t>
                  </w:r>
                </w:p>
                <w:p>
                  <w:pPr>
                    <w:keepNext w:val="0"/>
                    <w:keepLines w:val="0"/>
                    <w:pageBreakBefore w:val="0"/>
                    <w:widowControl/>
                    <w:kinsoku w:val="0"/>
                    <w:wordWrap/>
                    <w:overflowPunct/>
                    <w:topLinePunct w:val="0"/>
                    <w:autoSpaceDE w:val="0"/>
                    <w:autoSpaceDN w:val="0"/>
                    <w:bidi w:val="0"/>
                    <w:adjustRightInd w:val="0"/>
                    <w:snapToGrid w:val="0"/>
                    <w:spacing w:before="24" w:line="228"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8"/>
                      <w:kern w:val="0"/>
                      <w:sz w:val="21"/>
                      <w:szCs w:val="21"/>
                      <w:lang w:val="en-US" w:eastAsia="en-US" w:bidi="ar-SA"/>
                    </w:rPr>
                    <w:t>3</w:t>
                  </w:r>
                  <w:r>
                    <w:rPr>
                      <w:rFonts w:hint="default" w:ascii="Times New Roman" w:hAnsi="Times New Roman" w:eastAsia="宋体" w:cs="Times New Roman"/>
                      <w:snapToGrid w:val="0"/>
                      <w:color w:val="auto"/>
                      <w:spacing w:val="8"/>
                      <w:kern w:val="0"/>
                      <w:sz w:val="21"/>
                      <w:szCs w:val="21"/>
                      <w:lang w:val="en-US" w:eastAsia="en-US" w:bidi="ar-SA"/>
                    </w:rPr>
                    <w:t>）沿等高线从小班一端到另外一端进行标记。</w:t>
                  </w:r>
                </w:p>
                <w:p>
                  <w:pPr>
                    <w:keepNext w:val="0"/>
                    <w:keepLines w:val="0"/>
                    <w:pageBreakBefore w:val="0"/>
                    <w:widowControl/>
                    <w:kinsoku w:val="0"/>
                    <w:wordWrap/>
                    <w:overflowPunct/>
                    <w:topLinePunct w:val="0"/>
                    <w:autoSpaceDE w:val="0"/>
                    <w:autoSpaceDN w:val="0"/>
                    <w:bidi w:val="0"/>
                    <w:adjustRightInd w:val="0"/>
                    <w:snapToGrid w:val="0"/>
                    <w:spacing w:before="24" w:line="215"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Times New Roman" w:cs="Times New Roman"/>
                      <w:snapToGrid w:val="0"/>
                      <w:color w:val="auto"/>
                      <w:spacing w:val="7"/>
                      <w:kern w:val="0"/>
                      <w:sz w:val="21"/>
                      <w:szCs w:val="21"/>
                      <w:lang w:val="en-US" w:eastAsia="en-US" w:bidi="ar-SA"/>
                    </w:rPr>
                    <w:t>4</w:t>
                  </w:r>
                  <w:r>
                    <w:rPr>
                      <w:rFonts w:hint="default" w:ascii="Times New Roman" w:hAnsi="Times New Roman" w:eastAsia="宋体" w:cs="Times New Roman"/>
                      <w:snapToGrid w:val="0"/>
                      <w:color w:val="auto"/>
                      <w:spacing w:val="7"/>
                      <w:kern w:val="0"/>
                      <w:sz w:val="21"/>
                      <w:szCs w:val="21"/>
                      <w:lang w:val="en-US" w:eastAsia="en-US" w:bidi="ar-SA"/>
                    </w:rPr>
                    <w:t>）选树标号率应在</w:t>
                  </w:r>
                  <w:r>
                    <w:rPr>
                      <w:rFonts w:hint="default" w:ascii="Times New Roman" w:hAnsi="Times New Roman" w:eastAsia="Times New Roman" w:cs="Times New Roman"/>
                      <w:snapToGrid w:val="0"/>
                      <w:color w:val="auto"/>
                      <w:spacing w:val="7"/>
                      <w:kern w:val="0"/>
                      <w:sz w:val="21"/>
                      <w:szCs w:val="21"/>
                      <w:lang w:val="en-US" w:eastAsia="en-US" w:bidi="ar-SA"/>
                    </w:rPr>
                    <w:t>95%</w:t>
                  </w:r>
                  <w:r>
                    <w:rPr>
                      <w:rFonts w:hint="default" w:ascii="Times New Roman" w:hAnsi="Times New Roman" w:eastAsia="宋体" w:cs="Times New Roman"/>
                      <w:snapToGrid w:val="0"/>
                      <w:color w:val="auto"/>
                      <w:spacing w:val="7"/>
                      <w:kern w:val="0"/>
                      <w:sz w:val="21"/>
                      <w:szCs w:val="21"/>
                      <w:lang w:val="en-US" w:eastAsia="en-US" w:bidi="ar-SA"/>
                    </w:rPr>
                    <w:t>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4" w:hRule="atLeast"/>
              </w:trPr>
              <w:tc>
                <w:tcPr>
                  <w:tcW w:w="53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hint="default" w:ascii="Times New Roman" w:hAnsi="Times New Roman" w:eastAsia="Arial" w:cs="Times New Roman"/>
                      <w:snapToGrid w:val="0"/>
                      <w:color w:val="auto"/>
                      <w:kern w:val="0"/>
                      <w:sz w:val="21"/>
                      <w:szCs w:val="21"/>
                      <w:lang w:eastAsia="en-US"/>
                    </w:rPr>
                  </w:pPr>
                </w:p>
              </w:tc>
              <w:tc>
                <w:tcPr>
                  <w:tcW w:w="53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4" w:line="235"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5"/>
                      <w:kern w:val="0"/>
                      <w:sz w:val="21"/>
                      <w:szCs w:val="21"/>
                      <w:lang w:val="en-US" w:eastAsia="en-US" w:bidi="ar-SA"/>
                    </w:rPr>
                    <w:t>采伐</w:t>
                  </w:r>
                  <w:r>
                    <w:rPr>
                      <w:rFonts w:hint="default" w:ascii="Times New Roman" w:hAnsi="Times New Roman" w:eastAsia="宋体" w:cs="Times New Roman"/>
                      <w:snapToGrid w:val="0"/>
                      <w:color w:val="auto"/>
                      <w:spacing w:val="4"/>
                      <w:kern w:val="0"/>
                      <w:sz w:val="21"/>
                      <w:szCs w:val="21"/>
                      <w:lang w:val="en-US" w:eastAsia="en-US" w:bidi="ar-SA"/>
                    </w:rPr>
                    <w:t>顺序</w:t>
                  </w:r>
                </w:p>
              </w:tc>
              <w:tc>
                <w:tcPr>
                  <w:tcW w:w="690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72" w:line="227" w:lineRule="auto"/>
                    <w:ind w:left="24" w:leftChars="10" w:right="57"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9"/>
                      <w:kern w:val="0"/>
                      <w:sz w:val="21"/>
                      <w:szCs w:val="21"/>
                      <w:lang w:val="en-US" w:eastAsia="en-US" w:bidi="ar-SA"/>
                    </w:rPr>
                    <w:t>采伐干扰树，依次保留目标树、辅助树、其他树，保留天然混生的阔叶类。</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Times New Roman" w:cs="Times New Roman"/>
                <w:snapToGrid w:val="0"/>
                <w:color w:val="auto"/>
                <w:spacing w:val="-1"/>
                <w:kern w:val="0"/>
                <w:sz w:val="24"/>
                <w:szCs w:val="24"/>
                <w:lang w:eastAsia="en-US"/>
              </w:rPr>
              <w:t>2</w:t>
            </w:r>
            <w:r>
              <w:rPr>
                <w:rFonts w:hint="default" w:ascii="Times New Roman" w:hAnsi="Times New Roman" w:eastAsia="宋体" w:cs="Times New Roman"/>
                <w:snapToGrid w:val="0"/>
                <w:color w:val="auto"/>
                <w:spacing w:val="-1"/>
                <w:kern w:val="0"/>
                <w:sz w:val="24"/>
                <w:szCs w:val="24"/>
                <w:lang w:eastAsia="en-US"/>
              </w:rPr>
              <w:t>）采伐设计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spacing w:val="-4"/>
                <w:kern w:val="0"/>
                <w:sz w:val="24"/>
                <w:szCs w:val="24"/>
                <w:lang w:eastAsia="en-US"/>
              </w:rPr>
              <w:t>采伐对象：按照技术模型，对影响优势木（</w:t>
            </w:r>
            <w:r>
              <w:rPr>
                <w:rFonts w:hint="default" w:ascii="Times New Roman" w:hAnsi="Times New Roman" w:eastAsia="宋体" w:cs="Times New Roman"/>
                <w:snapToGrid w:val="0"/>
                <w:color w:val="auto"/>
                <w:spacing w:val="-5"/>
                <w:kern w:val="0"/>
                <w:sz w:val="24"/>
                <w:szCs w:val="24"/>
                <w:lang w:eastAsia="en-US"/>
              </w:rPr>
              <w:t>目标树）的干扰木进行采</w:t>
            </w:r>
            <w:r>
              <w:rPr>
                <w:rFonts w:hint="default" w:ascii="Times New Roman" w:hAnsi="Times New Roman" w:eastAsia="宋体" w:cs="Times New Roman"/>
                <w:snapToGrid w:val="0"/>
                <w:color w:val="auto"/>
                <w:spacing w:val="-1"/>
                <w:kern w:val="0"/>
                <w:sz w:val="24"/>
                <w:szCs w:val="24"/>
                <w:lang w:eastAsia="en-US"/>
              </w:rPr>
              <w:t>伐，同时伐除没有保留前途的劣质木和枯死木。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spacing w:val="-1"/>
                <w:kern w:val="0"/>
                <w:sz w:val="24"/>
                <w:szCs w:val="24"/>
                <w:lang w:eastAsia="en-US"/>
              </w:rPr>
              <w:t>采伐类型：全部为生长伐。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spacing w:val="-1"/>
                <w:kern w:val="0"/>
                <w:sz w:val="24"/>
                <w:szCs w:val="24"/>
                <w:lang w:eastAsia="en-US"/>
              </w:rPr>
              <w:t>采伐方式：全部为择伐。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spacing w:val="-2"/>
                <w:kern w:val="0"/>
                <w:sz w:val="24"/>
                <w:szCs w:val="24"/>
                <w:lang w:eastAsia="en-US"/>
              </w:rPr>
              <w:t>采伐原则：采劣留优、采弱留壮、采密留稀、强</w:t>
            </w:r>
            <w:r>
              <w:rPr>
                <w:rFonts w:hint="default" w:ascii="Times New Roman" w:hAnsi="Times New Roman" w:eastAsia="宋体" w:cs="Times New Roman"/>
                <w:snapToGrid w:val="0"/>
                <w:color w:val="auto"/>
                <w:spacing w:val="-3"/>
                <w:kern w:val="0"/>
                <w:sz w:val="24"/>
                <w:szCs w:val="24"/>
                <w:lang w:eastAsia="en-US"/>
              </w:rPr>
              <w:t>度合理、保护幼苗幼</w:t>
            </w:r>
            <w:r>
              <w:rPr>
                <w:rFonts w:hint="default" w:ascii="Times New Roman" w:hAnsi="Times New Roman" w:eastAsia="宋体" w:cs="Times New Roman"/>
                <w:snapToGrid w:val="0"/>
                <w:color w:val="auto"/>
                <w:spacing w:val="-1"/>
                <w:kern w:val="0"/>
                <w:sz w:val="24"/>
                <w:szCs w:val="24"/>
                <w:lang w:eastAsia="en-US"/>
              </w:rPr>
              <w:t>树及兼顾林木分布均匀。注意对平均胸径以上树木的保护。</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jc w:val="left"/>
              <w:textAlignment w:val="baseline"/>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spacing w:val="-6"/>
                <w:kern w:val="0"/>
                <w:sz w:val="24"/>
                <w:szCs w:val="24"/>
                <w:lang w:eastAsia="en-US"/>
              </w:rPr>
              <w:t>采伐强度：根据经营目的、立地条件、林分状况等综合</w:t>
            </w:r>
            <w:r>
              <w:rPr>
                <w:rFonts w:hint="default" w:ascii="Times New Roman" w:hAnsi="Times New Roman" w:eastAsia="宋体" w:cs="Times New Roman"/>
                <w:snapToGrid w:val="0"/>
                <w:color w:val="auto"/>
                <w:spacing w:val="-7"/>
                <w:kern w:val="0"/>
                <w:sz w:val="24"/>
                <w:szCs w:val="24"/>
                <w:lang w:eastAsia="en-US"/>
              </w:rPr>
              <w:t>因素，遵循</w:t>
            </w:r>
            <w:r>
              <w:rPr>
                <w:rFonts w:hint="default" w:ascii="Times New Roman" w:hAnsi="Times New Roman" w:eastAsia="Times New Roman" w:cs="Times New Roman"/>
                <w:snapToGrid w:val="0"/>
                <w:color w:val="auto"/>
                <w:spacing w:val="-7"/>
                <w:kern w:val="0"/>
                <w:sz w:val="24"/>
                <w:szCs w:val="24"/>
                <w:lang w:eastAsia="en-US"/>
              </w:rPr>
              <w:t>“</w:t>
            </w:r>
            <w:r>
              <w:rPr>
                <w:rFonts w:hint="default" w:ascii="Times New Roman" w:hAnsi="Times New Roman" w:eastAsia="宋体" w:cs="Times New Roman"/>
                <w:snapToGrid w:val="0"/>
                <w:color w:val="auto"/>
                <w:spacing w:val="-7"/>
                <w:kern w:val="0"/>
                <w:sz w:val="24"/>
                <w:szCs w:val="24"/>
                <w:lang w:eastAsia="en-US"/>
              </w:rPr>
              <w:t>陡</w:t>
            </w:r>
            <w:r>
              <w:rPr>
                <w:rFonts w:hint="default" w:ascii="Times New Roman" w:hAnsi="Times New Roman" w:eastAsia="宋体" w:cs="Times New Roman"/>
                <w:snapToGrid w:val="0"/>
                <w:color w:val="auto"/>
                <w:spacing w:val="3"/>
                <w:kern w:val="0"/>
                <w:sz w:val="24"/>
                <w:szCs w:val="24"/>
                <w:lang w:eastAsia="en-US"/>
              </w:rPr>
              <w:t>坡小于缓坡、山地小于平地、阴坡小于阳坡</w:t>
            </w:r>
            <w:r>
              <w:rPr>
                <w:rFonts w:hint="default" w:ascii="Times New Roman" w:hAnsi="Times New Roman" w:eastAsia="Times New Roman" w:cs="Times New Roman"/>
                <w:snapToGrid w:val="0"/>
                <w:color w:val="auto"/>
                <w:spacing w:val="3"/>
                <w:kern w:val="0"/>
                <w:sz w:val="24"/>
                <w:szCs w:val="24"/>
                <w:lang w:eastAsia="en-US"/>
              </w:rPr>
              <w:t>”</w:t>
            </w:r>
            <w:r>
              <w:rPr>
                <w:rFonts w:hint="default" w:ascii="Times New Roman" w:hAnsi="Times New Roman" w:eastAsia="宋体" w:cs="Times New Roman"/>
                <w:snapToGrid w:val="0"/>
                <w:color w:val="auto"/>
                <w:spacing w:val="3"/>
                <w:kern w:val="0"/>
                <w:sz w:val="24"/>
                <w:szCs w:val="24"/>
                <w:lang w:eastAsia="en-US"/>
              </w:rPr>
              <w:t>的原则考虑采伐</w:t>
            </w:r>
            <w:r>
              <w:rPr>
                <w:rFonts w:hint="default" w:ascii="Times New Roman" w:hAnsi="Times New Roman" w:eastAsia="宋体" w:cs="Times New Roman"/>
                <w:snapToGrid w:val="0"/>
                <w:color w:val="auto"/>
                <w:spacing w:val="2"/>
                <w:kern w:val="0"/>
                <w:sz w:val="24"/>
                <w:szCs w:val="24"/>
                <w:lang w:eastAsia="en-US"/>
              </w:rPr>
              <w:t>强度。不同</w:t>
            </w:r>
            <w:r>
              <w:rPr>
                <w:rFonts w:hint="default" w:ascii="Times New Roman" w:hAnsi="Times New Roman" w:eastAsia="宋体" w:cs="Times New Roman"/>
                <w:snapToGrid w:val="0"/>
                <w:color w:val="auto"/>
                <w:spacing w:val="-2"/>
                <w:kern w:val="0"/>
                <w:sz w:val="24"/>
                <w:szCs w:val="24"/>
                <w:lang w:eastAsia="en-US"/>
              </w:rPr>
              <w:t>择伐小班，根据不同的株数密度设计不同的采伐强度。提质培优型（涉及模型编号</w:t>
            </w:r>
            <w:r>
              <w:rPr>
                <w:rFonts w:hint="default" w:ascii="Times New Roman" w:hAnsi="Times New Roman" w:eastAsia="Times New Roman" w:cs="Times New Roman"/>
                <w:snapToGrid w:val="0"/>
                <w:color w:val="auto"/>
                <w:spacing w:val="-2"/>
                <w:kern w:val="0"/>
                <w:sz w:val="24"/>
                <w:szCs w:val="24"/>
                <w:lang w:eastAsia="en-US"/>
              </w:rPr>
              <w:t>GP01-</w:t>
            </w:r>
            <w:r>
              <w:rPr>
                <w:rFonts w:hint="default" w:ascii="Times New Roman" w:hAnsi="Times New Roman" w:eastAsia="宋体" w:cs="Times New Roman"/>
                <w:snapToGrid w:val="0"/>
                <w:color w:val="auto"/>
                <w:spacing w:val="-2"/>
                <w:kern w:val="0"/>
                <w:sz w:val="24"/>
                <w:szCs w:val="24"/>
                <w:lang w:eastAsia="en-US"/>
              </w:rPr>
              <w:t>新</w:t>
            </w:r>
            <w:r>
              <w:rPr>
                <w:rFonts w:hint="default" w:ascii="Times New Roman" w:hAnsi="Times New Roman" w:eastAsia="Times New Roman" w:cs="Times New Roman"/>
                <w:snapToGrid w:val="0"/>
                <w:color w:val="auto"/>
                <w:spacing w:val="-2"/>
                <w:kern w:val="0"/>
                <w:sz w:val="24"/>
                <w:szCs w:val="24"/>
                <w:lang w:eastAsia="en-US"/>
              </w:rPr>
              <w:t>-1</w:t>
            </w:r>
            <w:r>
              <w:rPr>
                <w:rFonts w:hint="default" w:ascii="Times New Roman" w:hAnsi="Times New Roman" w:eastAsia="宋体" w:cs="Times New Roman"/>
                <w:snapToGrid w:val="0"/>
                <w:color w:val="auto"/>
                <w:spacing w:val="-2"/>
                <w:kern w:val="0"/>
                <w:sz w:val="24"/>
                <w:szCs w:val="24"/>
                <w:lang w:eastAsia="en-US"/>
              </w:rPr>
              <w:t>至</w:t>
            </w:r>
            <w:r>
              <w:rPr>
                <w:rFonts w:hint="default" w:ascii="Times New Roman" w:hAnsi="Times New Roman" w:eastAsia="Times New Roman" w:cs="Times New Roman"/>
                <w:snapToGrid w:val="0"/>
                <w:color w:val="auto"/>
                <w:spacing w:val="-2"/>
                <w:kern w:val="0"/>
                <w:sz w:val="24"/>
                <w:szCs w:val="24"/>
                <w:lang w:eastAsia="en-US"/>
              </w:rPr>
              <w:t>GP01-</w:t>
            </w:r>
            <w:r>
              <w:rPr>
                <w:rFonts w:hint="default" w:ascii="Times New Roman" w:hAnsi="Times New Roman" w:eastAsia="宋体" w:cs="Times New Roman"/>
                <w:snapToGrid w:val="0"/>
                <w:color w:val="auto"/>
                <w:spacing w:val="-2"/>
                <w:kern w:val="0"/>
                <w:sz w:val="24"/>
                <w:szCs w:val="24"/>
                <w:lang w:eastAsia="en-US"/>
              </w:rPr>
              <w:t>新</w:t>
            </w:r>
            <w:r>
              <w:rPr>
                <w:rFonts w:hint="default" w:ascii="Times New Roman" w:hAnsi="Times New Roman" w:eastAsia="Times New Roman" w:cs="Times New Roman"/>
                <w:snapToGrid w:val="0"/>
                <w:color w:val="auto"/>
                <w:spacing w:val="-2"/>
                <w:kern w:val="0"/>
                <w:sz w:val="24"/>
                <w:szCs w:val="24"/>
                <w:lang w:eastAsia="en-US"/>
              </w:rPr>
              <w:t>-3</w:t>
            </w:r>
            <w:r>
              <w:rPr>
                <w:rFonts w:hint="default" w:ascii="Times New Roman" w:hAnsi="Times New Roman" w:eastAsia="宋体" w:cs="Times New Roman"/>
                <w:snapToGrid w:val="0"/>
                <w:color w:val="auto"/>
                <w:spacing w:val="-2"/>
                <w:kern w:val="0"/>
                <w:sz w:val="24"/>
                <w:szCs w:val="24"/>
                <w:lang w:eastAsia="en-US"/>
              </w:rPr>
              <w:t>）改培方式采伐株数强度</w:t>
            </w:r>
            <w:r>
              <w:rPr>
                <w:rFonts w:hint="default" w:ascii="Times New Roman" w:hAnsi="Times New Roman" w:eastAsia="Times New Roman" w:cs="Times New Roman"/>
                <w:snapToGrid w:val="0"/>
                <w:color w:val="auto"/>
                <w:spacing w:val="-2"/>
                <w:kern w:val="0"/>
                <w:sz w:val="24"/>
                <w:szCs w:val="24"/>
                <w:lang w:eastAsia="en-US"/>
              </w:rPr>
              <w:t>25%-4</w:t>
            </w:r>
            <w:r>
              <w:rPr>
                <w:rFonts w:hint="default" w:ascii="Times New Roman" w:hAnsi="Times New Roman" w:eastAsia="Times New Roman" w:cs="Times New Roman"/>
                <w:snapToGrid w:val="0"/>
                <w:color w:val="auto"/>
                <w:spacing w:val="-3"/>
                <w:kern w:val="0"/>
                <w:sz w:val="24"/>
                <w:szCs w:val="24"/>
                <w:lang w:eastAsia="en-US"/>
              </w:rPr>
              <w:t>7%</w:t>
            </w:r>
            <w:r>
              <w:rPr>
                <w:rFonts w:hint="default" w:ascii="Times New Roman" w:hAnsi="Times New Roman" w:eastAsia="宋体" w:cs="Times New Roman"/>
                <w:snapToGrid w:val="0"/>
                <w:color w:val="auto"/>
                <w:spacing w:val="-3"/>
                <w:kern w:val="0"/>
                <w:sz w:val="24"/>
                <w:szCs w:val="24"/>
                <w:lang w:eastAsia="en-US"/>
              </w:rPr>
              <w:t>，采</w:t>
            </w:r>
            <w:r>
              <w:rPr>
                <w:rFonts w:hint="default" w:ascii="Times New Roman" w:hAnsi="Times New Roman" w:eastAsia="宋体" w:cs="Times New Roman"/>
                <w:snapToGrid w:val="0"/>
                <w:color w:val="auto"/>
                <w:spacing w:val="-6"/>
                <w:kern w:val="0"/>
                <w:sz w:val="24"/>
                <w:szCs w:val="24"/>
                <w:lang w:eastAsia="en-US"/>
              </w:rPr>
              <w:t>伐蓄积强度</w:t>
            </w:r>
            <w:r>
              <w:rPr>
                <w:rFonts w:hint="default" w:ascii="Times New Roman" w:hAnsi="Times New Roman" w:eastAsia="Times New Roman" w:cs="Times New Roman"/>
                <w:snapToGrid w:val="0"/>
                <w:color w:val="auto"/>
                <w:spacing w:val="-6"/>
                <w:kern w:val="0"/>
                <w:sz w:val="24"/>
                <w:szCs w:val="24"/>
                <w:lang w:eastAsia="en-US"/>
              </w:rPr>
              <w:t>12.7%-25.6%</w:t>
            </w:r>
            <w:r>
              <w:rPr>
                <w:rFonts w:hint="default" w:ascii="Times New Roman" w:hAnsi="Times New Roman" w:eastAsia="宋体" w:cs="Times New Roman"/>
                <w:snapToGrid w:val="0"/>
                <w:color w:val="auto"/>
                <w:spacing w:val="-6"/>
                <w:kern w:val="0"/>
                <w:sz w:val="24"/>
                <w:szCs w:val="24"/>
                <w:lang w:eastAsia="en-US"/>
              </w:rPr>
              <w:t>。改造培育型（涉及模型编号</w:t>
            </w:r>
            <w:r>
              <w:rPr>
                <w:rFonts w:hint="default" w:ascii="Times New Roman" w:hAnsi="Times New Roman" w:eastAsia="Times New Roman" w:cs="Times New Roman"/>
                <w:snapToGrid w:val="0"/>
                <w:color w:val="auto"/>
                <w:spacing w:val="-6"/>
                <w:kern w:val="0"/>
                <w:sz w:val="24"/>
                <w:szCs w:val="24"/>
                <w:lang w:eastAsia="en-US"/>
              </w:rPr>
              <w:t>GP02-</w:t>
            </w:r>
            <w:r>
              <w:rPr>
                <w:rFonts w:hint="default" w:ascii="Times New Roman" w:hAnsi="Times New Roman" w:eastAsia="宋体" w:cs="Times New Roman"/>
                <w:snapToGrid w:val="0"/>
                <w:color w:val="auto"/>
                <w:spacing w:val="-6"/>
                <w:kern w:val="0"/>
                <w:sz w:val="24"/>
                <w:szCs w:val="24"/>
                <w:lang w:eastAsia="en-US"/>
              </w:rPr>
              <w:t>新</w:t>
            </w:r>
            <w:r>
              <w:rPr>
                <w:rFonts w:hint="default" w:ascii="Times New Roman" w:hAnsi="Times New Roman" w:eastAsia="Times New Roman" w:cs="Times New Roman"/>
                <w:snapToGrid w:val="0"/>
                <w:color w:val="auto"/>
                <w:spacing w:val="-6"/>
                <w:kern w:val="0"/>
                <w:sz w:val="24"/>
                <w:szCs w:val="24"/>
                <w:lang w:eastAsia="en-US"/>
              </w:rPr>
              <w:t>-1</w:t>
            </w:r>
            <w:r>
              <w:rPr>
                <w:rFonts w:hint="default" w:ascii="Times New Roman" w:hAnsi="Times New Roman" w:eastAsia="宋体" w:cs="Times New Roman"/>
                <w:snapToGrid w:val="0"/>
                <w:color w:val="auto"/>
                <w:spacing w:val="-7"/>
                <w:kern w:val="0"/>
                <w:sz w:val="24"/>
                <w:szCs w:val="24"/>
                <w:lang w:eastAsia="en-US"/>
              </w:rPr>
              <w:t>至</w:t>
            </w:r>
            <w:r>
              <w:rPr>
                <w:rFonts w:hint="default" w:ascii="Times New Roman" w:hAnsi="Times New Roman" w:eastAsia="Times New Roman" w:cs="Times New Roman"/>
                <w:snapToGrid w:val="0"/>
                <w:color w:val="auto"/>
                <w:spacing w:val="-7"/>
                <w:kern w:val="0"/>
                <w:sz w:val="24"/>
                <w:szCs w:val="24"/>
                <w:lang w:eastAsia="en-US"/>
              </w:rPr>
              <w:t>GP02-</w:t>
            </w:r>
            <w:r>
              <w:rPr>
                <w:rFonts w:hint="default" w:ascii="Times New Roman" w:hAnsi="Times New Roman" w:eastAsia="宋体" w:cs="Times New Roman"/>
                <w:snapToGrid w:val="0"/>
                <w:color w:val="auto"/>
                <w:spacing w:val="-10"/>
                <w:kern w:val="0"/>
                <w:sz w:val="24"/>
                <w:szCs w:val="24"/>
                <w:lang w:eastAsia="en-US"/>
              </w:rPr>
              <w:t>新</w:t>
            </w:r>
            <w:r>
              <w:rPr>
                <w:rFonts w:hint="default" w:ascii="Times New Roman" w:hAnsi="Times New Roman" w:eastAsia="Times New Roman" w:cs="Times New Roman"/>
                <w:snapToGrid w:val="0"/>
                <w:color w:val="auto"/>
                <w:spacing w:val="-10"/>
                <w:kern w:val="0"/>
                <w:sz w:val="24"/>
                <w:szCs w:val="24"/>
                <w:lang w:eastAsia="en-US"/>
              </w:rPr>
              <w:t>-5</w:t>
            </w:r>
            <w:r>
              <w:rPr>
                <w:rFonts w:hint="default" w:ascii="Times New Roman" w:hAnsi="Times New Roman" w:eastAsia="宋体" w:cs="Times New Roman"/>
                <w:snapToGrid w:val="0"/>
                <w:color w:val="auto"/>
                <w:spacing w:val="-10"/>
                <w:kern w:val="0"/>
                <w:sz w:val="24"/>
                <w:szCs w:val="24"/>
                <w:lang w:eastAsia="en-US"/>
              </w:rPr>
              <w:t>）采伐株数强度</w:t>
            </w:r>
            <w:r>
              <w:rPr>
                <w:rFonts w:hint="default" w:ascii="Times New Roman" w:hAnsi="Times New Roman" w:eastAsia="Times New Roman" w:cs="Times New Roman"/>
                <w:snapToGrid w:val="0"/>
                <w:color w:val="auto"/>
                <w:spacing w:val="-10"/>
                <w:kern w:val="0"/>
                <w:sz w:val="24"/>
                <w:szCs w:val="24"/>
                <w:lang w:eastAsia="en-US"/>
              </w:rPr>
              <w:t>18%-42%</w:t>
            </w:r>
            <w:r>
              <w:rPr>
                <w:rFonts w:hint="default" w:ascii="Times New Roman" w:hAnsi="Times New Roman" w:eastAsia="宋体" w:cs="Times New Roman"/>
                <w:snapToGrid w:val="0"/>
                <w:color w:val="auto"/>
                <w:spacing w:val="-10"/>
                <w:kern w:val="0"/>
                <w:sz w:val="24"/>
                <w:szCs w:val="24"/>
                <w:lang w:eastAsia="en-US"/>
              </w:rPr>
              <w:t>，采伐蓄积强度</w:t>
            </w:r>
            <w:r>
              <w:rPr>
                <w:rFonts w:hint="default" w:ascii="Times New Roman" w:hAnsi="Times New Roman" w:eastAsia="Times New Roman" w:cs="Times New Roman"/>
                <w:snapToGrid w:val="0"/>
                <w:color w:val="auto"/>
                <w:spacing w:val="-10"/>
                <w:kern w:val="0"/>
                <w:sz w:val="24"/>
                <w:szCs w:val="24"/>
                <w:lang w:eastAsia="en-US"/>
              </w:rPr>
              <w:t>3.9%-23.3%</w:t>
            </w:r>
            <w:r>
              <w:rPr>
                <w:rFonts w:hint="default" w:ascii="Times New Roman" w:hAnsi="Times New Roman" w:eastAsia="宋体" w:cs="Times New Roman"/>
                <w:snapToGrid w:val="0"/>
                <w:color w:val="auto"/>
                <w:spacing w:val="-10"/>
                <w:kern w:val="0"/>
                <w:sz w:val="24"/>
                <w:szCs w:val="24"/>
                <w:lang w:eastAsia="en-US"/>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left"/>
              <w:textAlignment w:val="baseline"/>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spacing w:val="-5"/>
                <w:kern w:val="0"/>
                <w:sz w:val="24"/>
                <w:szCs w:val="24"/>
                <w:lang w:eastAsia="en-US"/>
              </w:rPr>
              <w:t>采伐时间：一般在初冬至早春、夏季期间进行，作业时可根据优势树</w:t>
            </w:r>
            <w:r>
              <w:rPr>
                <w:rFonts w:hint="default" w:ascii="Times New Roman" w:hAnsi="Times New Roman" w:eastAsia="宋体" w:cs="Times New Roman"/>
                <w:snapToGrid w:val="0"/>
                <w:color w:val="auto"/>
                <w:spacing w:val="-2"/>
                <w:kern w:val="0"/>
                <w:sz w:val="24"/>
                <w:szCs w:val="24"/>
                <w:lang w:eastAsia="en-US"/>
              </w:rPr>
              <w:t>种确定具体时间。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hint="default" w:ascii="Times New Roman" w:hAnsi="Times New Roman" w:eastAsia="宋体" w:cs="Times New Roman"/>
                <w:snapToGrid w:val="0"/>
                <w:color w:val="auto"/>
                <w:spacing w:val="-2"/>
                <w:kern w:val="0"/>
                <w:sz w:val="24"/>
                <w:szCs w:val="24"/>
                <w:lang w:eastAsia="en-US"/>
              </w:rPr>
              <w:t>工艺流程：采伐施工流程见</w:t>
            </w:r>
            <w:r>
              <w:rPr>
                <w:rFonts w:hint="default" w:ascii="Times New Roman" w:hAnsi="Times New Roman" w:cs="Times New Roman"/>
                <w:snapToGrid w:val="0"/>
                <w:color w:val="auto"/>
                <w:spacing w:val="-2"/>
                <w:kern w:val="0"/>
                <w:sz w:val="24"/>
                <w:szCs w:val="24"/>
                <w:lang w:eastAsia="zh-CN"/>
              </w:rPr>
              <w:t>表2</w:t>
            </w:r>
            <w:r>
              <w:rPr>
                <w:rFonts w:hint="default" w:ascii="Times New Roman" w:hAnsi="Times New Roman" w:eastAsia="Times New Roman" w:cs="Times New Roman"/>
                <w:snapToGrid w:val="0"/>
                <w:color w:val="auto"/>
                <w:spacing w:val="-2"/>
                <w:kern w:val="0"/>
                <w:sz w:val="24"/>
                <w:szCs w:val="24"/>
                <w:lang w:eastAsia="en-US"/>
              </w:rPr>
              <w:t>-1</w:t>
            </w:r>
            <w:r>
              <w:rPr>
                <w:rFonts w:hint="eastAsia" w:cs="Times New Roman"/>
                <w:snapToGrid w:val="0"/>
                <w:color w:val="auto"/>
                <w:spacing w:val="-2"/>
                <w:kern w:val="0"/>
                <w:sz w:val="24"/>
                <w:szCs w:val="24"/>
                <w:lang w:val="en-US" w:eastAsia="zh-CN"/>
              </w:rPr>
              <w:t>2</w:t>
            </w:r>
            <w:r>
              <w:rPr>
                <w:rFonts w:hint="default" w:ascii="Times New Roman" w:hAnsi="Times New Roman" w:eastAsia="宋体" w:cs="Times New Roman"/>
                <w:snapToGrid w:val="0"/>
                <w:color w:val="auto"/>
                <w:spacing w:val="-2"/>
                <w:kern w:val="0"/>
                <w:sz w:val="24"/>
                <w:szCs w:val="24"/>
                <w:lang w:eastAsia="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en-US"/>
              </w:rPr>
            </w:pPr>
            <w:r>
              <w:rPr>
                <w:rFonts w:hint="eastAsia" w:cs="Times New Roman"/>
                <w:b/>
                <w:bCs/>
                <w:color w:val="auto"/>
                <w:sz w:val="21"/>
                <w:szCs w:val="21"/>
                <w:lang w:val="en-US" w:eastAsia="zh-CN"/>
              </w:rPr>
              <w:t>表2</w:t>
            </w:r>
            <w:r>
              <w:rPr>
                <w:rFonts w:hint="eastAsia" w:ascii="Times New Roman" w:hAnsi="Times New Roman" w:eastAsia="宋体" w:cs="Times New Roman"/>
                <w:b/>
                <w:bCs/>
                <w:color w:val="auto"/>
                <w:sz w:val="21"/>
                <w:szCs w:val="21"/>
                <w:lang w:val="en-US" w:eastAsia="en-US"/>
              </w:rPr>
              <w:t>-1</w:t>
            </w:r>
            <w:r>
              <w:rPr>
                <w:rFonts w:hint="eastAsia"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en-US"/>
              </w:rPr>
              <w:t xml:space="preserve">  采伐施工流程表</w:t>
            </w:r>
          </w:p>
          <w:tbl>
            <w:tblPr>
              <w:tblStyle w:val="55"/>
              <w:tblW w:w="797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531"/>
              <w:gridCol w:w="69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9" w:hRule="atLeast"/>
              </w:trPr>
              <w:tc>
                <w:tcPr>
                  <w:tcW w:w="106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70" w:line="228"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工艺流程</w:t>
                  </w:r>
                </w:p>
              </w:tc>
              <w:tc>
                <w:tcPr>
                  <w:tcW w:w="6905" w:type="dxa"/>
                  <w:vAlign w:val="top"/>
                </w:tcPr>
                <w:p>
                  <w:pPr>
                    <w:keepNext w:val="0"/>
                    <w:keepLines w:val="0"/>
                    <w:pageBreakBefore w:val="0"/>
                    <w:widowControl/>
                    <w:kinsoku w:val="0"/>
                    <w:wordWrap/>
                    <w:overflowPunct/>
                    <w:topLinePunct w:val="0"/>
                    <w:autoSpaceDE w:val="0"/>
                    <w:autoSpaceDN w:val="0"/>
                    <w:bidi w:val="0"/>
                    <w:adjustRightInd w:val="0"/>
                    <w:snapToGrid w:val="0"/>
                    <w:spacing w:before="69" w:line="228"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7"/>
                      <w:kern w:val="0"/>
                      <w:sz w:val="21"/>
                      <w:szCs w:val="21"/>
                      <w:lang w:val="en-US" w:eastAsia="en-US" w:bidi="ar-SA"/>
                    </w:rPr>
                    <w:t>技术指南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106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372"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65" w:line="228"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8"/>
                      <w:kern w:val="0"/>
                      <w:sz w:val="21"/>
                      <w:szCs w:val="21"/>
                      <w:lang w:val="en-US" w:eastAsia="en-US" w:bidi="ar-SA"/>
                    </w:rPr>
                    <w:t>伐前公示</w:t>
                  </w:r>
                </w:p>
              </w:tc>
              <w:tc>
                <w:tcPr>
                  <w:tcW w:w="6905" w:type="dxa"/>
                  <w:vAlign w:val="top"/>
                </w:tcPr>
                <w:p>
                  <w:pPr>
                    <w:keepNext w:val="0"/>
                    <w:keepLines w:val="0"/>
                    <w:pageBreakBefore w:val="0"/>
                    <w:widowControl/>
                    <w:kinsoku w:val="0"/>
                    <w:wordWrap/>
                    <w:overflowPunct/>
                    <w:topLinePunct w:val="0"/>
                    <w:autoSpaceDE w:val="0"/>
                    <w:autoSpaceDN w:val="0"/>
                    <w:bidi w:val="0"/>
                    <w:adjustRightInd w:val="0"/>
                    <w:snapToGrid w:val="0"/>
                    <w:spacing w:before="31" w:line="243" w:lineRule="auto"/>
                    <w:ind w:left="24" w:leftChars="10" w:right="57" w:firstLine="0" w:firstLineChars="0"/>
                    <w:jc w:val="both"/>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3"/>
                      <w:kern w:val="0"/>
                      <w:sz w:val="21"/>
                      <w:szCs w:val="21"/>
                      <w:lang w:val="en-US" w:eastAsia="en-US" w:bidi="ar-SA"/>
                    </w:rPr>
                    <w:t>在获得林木采伐许可证之后、正式采伐之前，应在伐区及附近的交通要道设立公示牌，</w:t>
                  </w:r>
                  <w:r>
                    <w:rPr>
                      <w:rFonts w:ascii="宋体" w:hAnsi="宋体" w:eastAsia="宋体" w:cs="宋体"/>
                      <w:snapToGrid w:val="0"/>
                      <w:color w:val="auto"/>
                      <w:spacing w:val="7"/>
                      <w:kern w:val="0"/>
                      <w:sz w:val="21"/>
                      <w:szCs w:val="21"/>
                      <w:lang w:val="en-US" w:eastAsia="en-US" w:bidi="ar-SA"/>
                    </w:rPr>
                    <w:t>对抚育间伐作业进行公示。公示的内容应包括抚育间伐地点、四至界线、面积，抚育间伐种类、方法，间伐林木蓄积量、出材量，林木采伐许可证号，间伐负责人，举报</w:t>
                  </w:r>
                  <w:r>
                    <w:rPr>
                      <w:rFonts w:ascii="宋体" w:hAnsi="宋体" w:eastAsia="宋体" w:cs="宋体"/>
                      <w:snapToGrid w:val="0"/>
                      <w:color w:val="auto"/>
                      <w:spacing w:val="6"/>
                      <w:kern w:val="0"/>
                      <w:sz w:val="21"/>
                      <w:szCs w:val="21"/>
                      <w:lang w:val="en-US" w:eastAsia="en-US" w:bidi="ar-SA"/>
                    </w:rPr>
                    <w:t>电话等。公示时间不应少于</w:t>
                  </w:r>
                  <w:r>
                    <w:rPr>
                      <w:rFonts w:ascii="Times New Roman" w:hAnsi="Times New Roman" w:eastAsia="Times New Roman" w:cs="Times New Roman"/>
                      <w:snapToGrid w:val="0"/>
                      <w:color w:val="auto"/>
                      <w:spacing w:val="6"/>
                      <w:kern w:val="0"/>
                      <w:sz w:val="21"/>
                      <w:szCs w:val="21"/>
                      <w:lang w:val="en-US" w:eastAsia="en-US" w:bidi="ar-SA"/>
                    </w:rPr>
                    <w:t>7</w:t>
                  </w:r>
                  <w:r>
                    <w:rPr>
                      <w:rFonts w:ascii="宋体" w:hAnsi="宋体" w:eastAsia="宋体" w:cs="宋体"/>
                      <w:snapToGrid w:val="0"/>
                      <w:color w:val="auto"/>
                      <w:spacing w:val="6"/>
                      <w:kern w:val="0"/>
                      <w:sz w:val="21"/>
                      <w:szCs w:val="21"/>
                      <w:lang w:val="en-US" w:eastAsia="en-US" w:bidi="ar-SA"/>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53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66"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66"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66"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66"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66"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65" w:line="239"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5"/>
                      <w:kern w:val="0"/>
                      <w:sz w:val="21"/>
                      <w:szCs w:val="21"/>
                      <w:lang w:val="en-US" w:eastAsia="en-US" w:bidi="ar-SA"/>
                    </w:rPr>
                    <w:t>选树</w:t>
                  </w:r>
                  <w:r>
                    <w:rPr>
                      <w:rFonts w:ascii="宋体" w:hAnsi="宋体" w:eastAsia="宋体" w:cs="宋体"/>
                      <w:snapToGrid w:val="0"/>
                      <w:color w:val="auto"/>
                      <w:spacing w:val="4"/>
                      <w:kern w:val="0"/>
                      <w:sz w:val="21"/>
                      <w:szCs w:val="21"/>
                      <w:lang w:val="en-US" w:eastAsia="en-US" w:bidi="ar-SA"/>
                    </w:rPr>
                    <w:t>标号</w:t>
                  </w:r>
                </w:p>
              </w:tc>
              <w:tc>
                <w:tcPr>
                  <w:tcW w:w="531" w:type="dxa"/>
                  <w:vAlign w:val="top"/>
                </w:tcPr>
                <w:p>
                  <w:pPr>
                    <w:keepNext w:val="0"/>
                    <w:keepLines w:val="0"/>
                    <w:pageBreakBefore w:val="0"/>
                    <w:widowControl/>
                    <w:kinsoku w:val="0"/>
                    <w:wordWrap/>
                    <w:overflowPunct/>
                    <w:topLinePunct w:val="0"/>
                    <w:autoSpaceDE w:val="0"/>
                    <w:autoSpaceDN w:val="0"/>
                    <w:bidi w:val="0"/>
                    <w:adjustRightInd w:val="0"/>
                    <w:snapToGrid w:val="0"/>
                    <w:spacing w:before="33" w:line="228"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4"/>
                      <w:kern w:val="0"/>
                      <w:sz w:val="21"/>
                      <w:szCs w:val="21"/>
                      <w:lang w:val="en-US" w:eastAsia="en-US" w:bidi="ar-SA"/>
                    </w:rPr>
                    <w:t>保留</w:t>
                  </w:r>
                </w:p>
                <w:p>
                  <w:pPr>
                    <w:keepNext w:val="0"/>
                    <w:keepLines w:val="0"/>
                    <w:pageBreakBefore w:val="0"/>
                    <w:widowControl/>
                    <w:kinsoku w:val="0"/>
                    <w:wordWrap/>
                    <w:overflowPunct/>
                    <w:topLinePunct w:val="0"/>
                    <w:autoSpaceDE w:val="0"/>
                    <w:autoSpaceDN w:val="0"/>
                    <w:bidi w:val="0"/>
                    <w:adjustRightInd w:val="0"/>
                    <w:snapToGrid w:val="0"/>
                    <w:spacing w:before="24" w:line="228"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4"/>
                      <w:kern w:val="0"/>
                      <w:sz w:val="21"/>
                      <w:szCs w:val="21"/>
                      <w:lang w:val="en-US" w:eastAsia="en-US" w:bidi="ar-SA"/>
                    </w:rPr>
                    <w:t>木选</w:t>
                  </w:r>
                </w:p>
                <w:p>
                  <w:pPr>
                    <w:keepNext w:val="0"/>
                    <w:keepLines w:val="0"/>
                    <w:pageBreakBefore w:val="0"/>
                    <w:widowControl/>
                    <w:kinsoku w:val="0"/>
                    <w:wordWrap/>
                    <w:overflowPunct/>
                    <w:topLinePunct w:val="0"/>
                    <w:autoSpaceDE w:val="0"/>
                    <w:autoSpaceDN w:val="0"/>
                    <w:bidi w:val="0"/>
                    <w:adjustRightInd w:val="0"/>
                    <w:snapToGrid w:val="0"/>
                    <w:spacing w:before="23" w:line="218"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kern w:val="0"/>
                      <w:sz w:val="21"/>
                      <w:szCs w:val="21"/>
                      <w:lang w:val="en-US" w:eastAsia="en-US" w:bidi="ar-SA"/>
                    </w:rPr>
                    <w:t>择</w:t>
                  </w:r>
                </w:p>
              </w:tc>
              <w:tc>
                <w:tcPr>
                  <w:tcW w:w="6905" w:type="dxa"/>
                  <w:vAlign w:val="top"/>
                </w:tcPr>
                <w:p>
                  <w:pPr>
                    <w:keepNext w:val="0"/>
                    <w:keepLines w:val="0"/>
                    <w:pageBreakBefore w:val="0"/>
                    <w:widowControl/>
                    <w:kinsoku w:val="0"/>
                    <w:wordWrap/>
                    <w:overflowPunct/>
                    <w:topLinePunct w:val="0"/>
                    <w:autoSpaceDE w:val="0"/>
                    <w:autoSpaceDN w:val="0"/>
                    <w:bidi w:val="0"/>
                    <w:adjustRightInd w:val="0"/>
                    <w:snapToGrid w:val="0"/>
                    <w:spacing w:before="32" w:line="228"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7"/>
                      <w:kern w:val="0"/>
                      <w:sz w:val="21"/>
                      <w:szCs w:val="21"/>
                      <w:lang w:val="en-US" w:eastAsia="en-US" w:bidi="ar-SA"/>
                    </w:rPr>
                    <w:t>1</w:t>
                  </w:r>
                  <w:r>
                    <w:rPr>
                      <w:rFonts w:ascii="宋体" w:hAnsi="宋体" w:eastAsia="宋体" w:cs="宋体"/>
                      <w:snapToGrid w:val="0"/>
                      <w:color w:val="auto"/>
                      <w:spacing w:val="7"/>
                      <w:kern w:val="0"/>
                      <w:sz w:val="21"/>
                      <w:szCs w:val="21"/>
                      <w:lang w:val="en-US" w:eastAsia="en-US" w:bidi="ar-SA"/>
                    </w:rPr>
                    <w:t>）保留木对象为目标树、辅助树。</w:t>
                  </w:r>
                </w:p>
                <w:p>
                  <w:pPr>
                    <w:keepNext w:val="0"/>
                    <w:keepLines w:val="0"/>
                    <w:pageBreakBefore w:val="0"/>
                    <w:widowControl/>
                    <w:kinsoku w:val="0"/>
                    <w:wordWrap/>
                    <w:overflowPunct/>
                    <w:topLinePunct w:val="0"/>
                    <w:autoSpaceDE w:val="0"/>
                    <w:autoSpaceDN w:val="0"/>
                    <w:bidi w:val="0"/>
                    <w:adjustRightInd w:val="0"/>
                    <w:snapToGrid w:val="0"/>
                    <w:spacing w:before="24" w:line="234"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9"/>
                      <w:kern w:val="0"/>
                      <w:sz w:val="21"/>
                      <w:szCs w:val="21"/>
                      <w:lang w:val="en-US" w:eastAsia="en-US" w:bidi="ar-SA"/>
                    </w:rPr>
                    <w:t>2</w:t>
                  </w:r>
                  <w:r>
                    <w:rPr>
                      <w:rFonts w:ascii="宋体" w:hAnsi="宋体" w:eastAsia="宋体" w:cs="宋体"/>
                      <w:snapToGrid w:val="0"/>
                      <w:color w:val="auto"/>
                      <w:spacing w:val="9"/>
                      <w:kern w:val="0"/>
                      <w:sz w:val="21"/>
                      <w:szCs w:val="21"/>
                      <w:lang w:val="en-US" w:eastAsia="en-US" w:bidi="ar-SA"/>
                    </w:rPr>
                    <w:t>）保留木的控制同时兼顾数量和距离</w:t>
                  </w:r>
                  <w:r>
                    <w:rPr>
                      <w:rFonts w:ascii="Times New Roman" w:hAnsi="Times New Roman" w:eastAsia="Times New Roman" w:cs="Times New Roman"/>
                      <w:snapToGrid w:val="0"/>
                      <w:color w:val="auto"/>
                      <w:spacing w:val="9"/>
                      <w:kern w:val="0"/>
                      <w:sz w:val="21"/>
                      <w:szCs w:val="21"/>
                      <w:lang w:val="en-US" w:eastAsia="en-US" w:bidi="ar-SA"/>
                    </w:rPr>
                    <w:t>2</w:t>
                  </w:r>
                  <w:r>
                    <w:rPr>
                      <w:rFonts w:ascii="宋体" w:hAnsi="宋体" w:eastAsia="宋体" w:cs="宋体"/>
                      <w:snapToGrid w:val="0"/>
                      <w:color w:val="auto"/>
                      <w:spacing w:val="9"/>
                      <w:kern w:val="0"/>
                      <w:sz w:val="21"/>
                      <w:szCs w:val="21"/>
                      <w:lang w:val="en-US" w:eastAsia="en-US" w:bidi="ar-SA"/>
                    </w:rPr>
                    <w:t>个指标。控制距离为当前胸径的</w:t>
                  </w:r>
                  <w:r>
                    <w:rPr>
                      <w:rFonts w:ascii="Times New Roman" w:hAnsi="Times New Roman" w:eastAsia="Times New Roman" w:cs="Times New Roman"/>
                      <w:snapToGrid w:val="0"/>
                      <w:color w:val="auto"/>
                      <w:spacing w:val="9"/>
                      <w:kern w:val="0"/>
                      <w:sz w:val="21"/>
                      <w:szCs w:val="21"/>
                      <w:lang w:val="en-US" w:eastAsia="en-US" w:bidi="ar-SA"/>
                    </w:rPr>
                    <w:t>20</w:t>
                  </w:r>
                  <w:r>
                    <w:rPr>
                      <w:rFonts w:ascii="宋体" w:hAnsi="宋体" w:eastAsia="宋体" w:cs="宋体"/>
                      <w:snapToGrid w:val="0"/>
                      <w:color w:val="auto"/>
                      <w:spacing w:val="9"/>
                      <w:kern w:val="0"/>
                      <w:sz w:val="21"/>
                      <w:szCs w:val="21"/>
                      <w:lang w:val="en-US" w:eastAsia="en-US" w:bidi="ar-SA"/>
                    </w:rPr>
                    <w:t>倍。</w:t>
                  </w:r>
                  <w:r>
                    <w:rPr>
                      <w:rFonts w:ascii="宋体" w:hAnsi="宋体" w:eastAsia="宋体" w:cs="宋体"/>
                      <w:snapToGrid w:val="0"/>
                      <w:color w:val="auto"/>
                      <w:spacing w:val="8"/>
                      <w:kern w:val="0"/>
                      <w:sz w:val="21"/>
                      <w:szCs w:val="21"/>
                      <w:lang w:val="en-US" w:eastAsia="en-US" w:bidi="ar-SA"/>
                    </w:rPr>
                    <w:t>确定的保留木用红色油漆标注。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53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tc>
              <w:tc>
                <w:tcPr>
                  <w:tcW w:w="531" w:type="dxa"/>
                  <w:vAlign w:val="top"/>
                </w:tcPr>
                <w:p>
                  <w:pPr>
                    <w:keepNext w:val="0"/>
                    <w:keepLines w:val="0"/>
                    <w:pageBreakBefore w:val="0"/>
                    <w:widowControl/>
                    <w:kinsoku w:val="0"/>
                    <w:wordWrap/>
                    <w:overflowPunct/>
                    <w:topLinePunct w:val="0"/>
                    <w:autoSpaceDE w:val="0"/>
                    <w:autoSpaceDN w:val="0"/>
                    <w:bidi w:val="0"/>
                    <w:adjustRightInd w:val="0"/>
                    <w:snapToGrid w:val="0"/>
                    <w:spacing w:before="169" w:line="239"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5"/>
                      <w:kern w:val="0"/>
                      <w:sz w:val="21"/>
                      <w:szCs w:val="21"/>
                      <w:lang w:val="en-US" w:eastAsia="en-US" w:bidi="ar-SA"/>
                    </w:rPr>
                    <w:t>采伐对象</w:t>
                  </w:r>
                </w:p>
              </w:tc>
              <w:tc>
                <w:tcPr>
                  <w:tcW w:w="6905" w:type="dxa"/>
                  <w:vAlign w:val="top"/>
                </w:tcPr>
                <w:p>
                  <w:pPr>
                    <w:keepNext w:val="0"/>
                    <w:keepLines w:val="0"/>
                    <w:pageBreakBefore w:val="0"/>
                    <w:widowControl/>
                    <w:kinsoku w:val="0"/>
                    <w:wordWrap/>
                    <w:overflowPunct/>
                    <w:topLinePunct w:val="0"/>
                    <w:autoSpaceDE w:val="0"/>
                    <w:autoSpaceDN w:val="0"/>
                    <w:bidi w:val="0"/>
                    <w:adjustRightInd w:val="0"/>
                    <w:snapToGrid w:val="0"/>
                    <w:spacing w:before="32" w:line="227"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7"/>
                      <w:kern w:val="0"/>
                      <w:sz w:val="21"/>
                      <w:szCs w:val="21"/>
                      <w:lang w:val="en-US" w:eastAsia="en-US" w:bidi="ar-SA"/>
                    </w:rPr>
                    <w:t>1</w:t>
                  </w:r>
                  <w:r>
                    <w:rPr>
                      <w:rFonts w:ascii="宋体" w:hAnsi="宋体" w:eastAsia="宋体" w:cs="宋体"/>
                      <w:snapToGrid w:val="0"/>
                      <w:color w:val="auto"/>
                      <w:spacing w:val="7"/>
                      <w:kern w:val="0"/>
                      <w:sz w:val="21"/>
                      <w:szCs w:val="21"/>
                      <w:lang w:val="en-US" w:eastAsia="en-US" w:bidi="ar-SA"/>
                    </w:rPr>
                    <w:t>）采伐对象为干扰树、其他树。</w:t>
                  </w:r>
                </w:p>
                <w:p>
                  <w:pPr>
                    <w:keepNext w:val="0"/>
                    <w:keepLines w:val="0"/>
                    <w:pageBreakBefore w:val="0"/>
                    <w:widowControl/>
                    <w:kinsoku w:val="0"/>
                    <w:wordWrap/>
                    <w:overflowPunct/>
                    <w:topLinePunct w:val="0"/>
                    <w:autoSpaceDE w:val="0"/>
                    <w:autoSpaceDN w:val="0"/>
                    <w:bidi w:val="0"/>
                    <w:adjustRightInd w:val="0"/>
                    <w:snapToGrid w:val="0"/>
                    <w:spacing w:before="27" w:line="227"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9"/>
                      <w:kern w:val="0"/>
                      <w:sz w:val="21"/>
                      <w:szCs w:val="21"/>
                      <w:lang w:val="en-US" w:eastAsia="en-US" w:bidi="ar-SA"/>
                    </w:rPr>
                    <w:t>2</w:t>
                  </w:r>
                  <w:r>
                    <w:rPr>
                      <w:rFonts w:ascii="宋体" w:hAnsi="宋体" w:eastAsia="宋体" w:cs="宋体"/>
                      <w:snapToGrid w:val="0"/>
                      <w:color w:val="auto"/>
                      <w:spacing w:val="9"/>
                      <w:kern w:val="0"/>
                      <w:sz w:val="21"/>
                      <w:szCs w:val="21"/>
                      <w:lang w:val="en-US" w:eastAsia="en-US" w:bidi="ar-SA"/>
                    </w:rPr>
                    <w:t>）幼树幼苗应注意保留，阔叶类树种不论大小都不得采伐。</w:t>
                  </w:r>
                </w:p>
                <w:p>
                  <w:pPr>
                    <w:keepNext w:val="0"/>
                    <w:keepLines w:val="0"/>
                    <w:pageBreakBefore w:val="0"/>
                    <w:widowControl/>
                    <w:kinsoku w:val="0"/>
                    <w:wordWrap/>
                    <w:overflowPunct/>
                    <w:topLinePunct w:val="0"/>
                    <w:autoSpaceDE w:val="0"/>
                    <w:autoSpaceDN w:val="0"/>
                    <w:bidi w:val="0"/>
                    <w:adjustRightInd w:val="0"/>
                    <w:snapToGrid w:val="0"/>
                    <w:spacing w:before="25" w:line="216"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8"/>
                      <w:kern w:val="0"/>
                      <w:sz w:val="21"/>
                      <w:szCs w:val="21"/>
                      <w:lang w:val="en-US" w:eastAsia="en-US" w:bidi="ar-SA"/>
                    </w:rPr>
                    <w:t>3</w:t>
                  </w:r>
                  <w:r>
                    <w:rPr>
                      <w:rFonts w:ascii="宋体" w:hAnsi="宋体" w:eastAsia="宋体" w:cs="宋体"/>
                      <w:snapToGrid w:val="0"/>
                      <w:color w:val="auto"/>
                      <w:spacing w:val="8"/>
                      <w:kern w:val="0"/>
                      <w:sz w:val="21"/>
                      <w:szCs w:val="21"/>
                      <w:lang w:val="en-US" w:eastAsia="en-US" w:bidi="ar-SA"/>
                    </w:rPr>
                    <w:t>）确定的采伐木用白色油漆标注。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8" w:hRule="atLeast"/>
              </w:trPr>
              <w:tc>
                <w:tcPr>
                  <w:tcW w:w="53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tc>
              <w:tc>
                <w:tcPr>
                  <w:tcW w:w="531" w:type="dxa"/>
                  <w:vAlign w:val="top"/>
                </w:tcPr>
                <w:p>
                  <w:pPr>
                    <w:keepNext w:val="0"/>
                    <w:keepLines w:val="0"/>
                    <w:pageBreakBefore w:val="0"/>
                    <w:widowControl/>
                    <w:kinsoku w:val="0"/>
                    <w:wordWrap/>
                    <w:overflowPunct/>
                    <w:topLinePunct w:val="0"/>
                    <w:autoSpaceDE w:val="0"/>
                    <w:autoSpaceDN w:val="0"/>
                    <w:bidi w:val="0"/>
                    <w:adjustRightInd w:val="0"/>
                    <w:snapToGrid w:val="0"/>
                    <w:spacing w:before="65" w:line="239"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5"/>
                      <w:kern w:val="0"/>
                      <w:sz w:val="21"/>
                      <w:szCs w:val="21"/>
                      <w:lang w:val="en-US" w:eastAsia="en-US" w:bidi="ar-SA"/>
                    </w:rPr>
                    <w:t>选树</w:t>
                  </w:r>
                  <w:r>
                    <w:rPr>
                      <w:rFonts w:ascii="宋体" w:hAnsi="宋体" w:eastAsia="宋体" w:cs="宋体"/>
                      <w:snapToGrid w:val="0"/>
                      <w:color w:val="auto"/>
                      <w:spacing w:val="4"/>
                      <w:kern w:val="0"/>
                      <w:sz w:val="21"/>
                      <w:szCs w:val="21"/>
                      <w:lang w:val="en-US" w:eastAsia="en-US" w:bidi="ar-SA"/>
                    </w:rPr>
                    <w:t>标记</w:t>
                  </w:r>
                </w:p>
              </w:tc>
              <w:tc>
                <w:tcPr>
                  <w:tcW w:w="6905" w:type="dxa"/>
                  <w:vAlign w:val="top"/>
                </w:tcPr>
                <w:p>
                  <w:pPr>
                    <w:keepNext w:val="0"/>
                    <w:keepLines w:val="0"/>
                    <w:pageBreakBefore w:val="0"/>
                    <w:widowControl/>
                    <w:kinsoku w:val="0"/>
                    <w:wordWrap/>
                    <w:overflowPunct/>
                    <w:topLinePunct w:val="0"/>
                    <w:autoSpaceDE w:val="0"/>
                    <w:autoSpaceDN w:val="0"/>
                    <w:bidi w:val="0"/>
                    <w:adjustRightInd w:val="0"/>
                    <w:snapToGrid w:val="0"/>
                    <w:spacing w:before="34" w:line="239"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7"/>
                      <w:kern w:val="0"/>
                      <w:sz w:val="21"/>
                      <w:szCs w:val="21"/>
                      <w:lang w:val="en-US" w:eastAsia="en-US" w:bidi="ar-SA"/>
                    </w:rPr>
                    <w:t>1</w:t>
                  </w:r>
                  <w:r>
                    <w:rPr>
                      <w:rFonts w:ascii="宋体" w:hAnsi="宋体" w:eastAsia="宋体" w:cs="宋体"/>
                      <w:snapToGrid w:val="0"/>
                      <w:color w:val="auto"/>
                      <w:spacing w:val="7"/>
                      <w:kern w:val="0"/>
                      <w:sz w:val="21"/>
                      <w:szCs w:val="21"/>
                      <w:lang w:val="en-US" w:eastAsia="en-US" w:bidi="ar-SA"/>
                    </w:rPr>
                    <w:t>）</w:t>
                  </w:r>
                  <w:r>
                    <w:rPr>
                      <w:rFonts w:ascii="Times New Roman" w:hAnsi="Times New Roman" w:eastAsia="Times New Roman" w:cs="Times New Roman"/>
                      <w:snapToGrid w:val="0"/>
                      <w:color w:val="auto"/>
                      <w:spacing w:val="7"/>
                      <w:kern w:val="0"/>
                      <w:sz w:val="21"/>
                      <w:szCs w:val="21"/>
                      <w:lang w:val="en-US" w:eastAsia="en-US" w:bidi="ar-SA"/>
                    </w:rPr>
                    <w:t>2-3</w:t>
                  </w:r>
                  <w:r>
                    <w:rPr>
                      <w:rFonts w:ascii="宋体" w:hAnsi="宋体" w:eastAsia="宋体" w:cs="宋体"/>
                      <w:snapToGrid w:val="0"/>
                      <w:color w:val="auto"/>
                      <w:spacing w:val="7"/>
                      <w:kern w:val="0"/>
                      <w:sz w:val="21"/>
                      <w:szCs w:val="21"/>
                      <w:lang w:val="en-US" w:eastAsia="en-US" w:bidi="ar-SA"/>
                    </w:rPr>
                    <w:t>人一组，一个人负责选择保留木、采</w:t>
                  </w:r>
                  <w:r>
                    <w:rPr>
                      <w:rFonts w:ascii="宋体" w:hAnsi="宋体" w:eastAsia="宋体" w:cs="宋体"/>
                      <w:snapToGrid w:val="0"/>
                      <w:color w:val="auto"/>
                      <w:spacing w:val="6"/>
                      <w:kern w:val="0"/>
                      <w:sz w:val="21"/>
                      <w:szCs w:val="21"/>
                      <w:lang w:val="en-US" w:eastAsia="en-US" w:bidi="ar-SA"/>
                    </w:rPr>
                    <w:t>伐木并测量胸径，第二个人负责记录并估</w:t>
                  </w:r>
                  <w:r>
                    <w:rPr>
                      <w:rFonts w:ascii="宋体" w:hAnsi="宋体" w:eastAsia="宋体" w:cs="宋体"/>
                      <w:snapToGrid w:val="0"/>
                      <w:color w:val="auto"/>
                      <w:spacing w:val="8"/>
                      <w:kern w:val="0"/>
                      <w:sz w:val="21"/>
                      <w:szCs w:val="21"/>
                      <w:lang w:val="en-US" w:eastAsia="en-US" w:bidi="ar-SA"/>
                    </w:rPr>
                    <w:t>测树高，第三人负责油漆标记并砍除障碍物。</w:t>
                  </w:r>
                </w:p>
                <w:p>
                  <w:pPr>
                    <w:keepNext w:val="0"/>
                    <w:keepLines w:val="0"/>
                    <w:pageBreakBefore w:val="0"/>
                    <w:widowControl/>
                    <w:kinsoku w:val="0"/>
                    <w:wordWrap/>
                    <w:overflowPunct/>
                    <w:topLinePunct w:val="0"/>
                    <w:autoSpaceDE w:val="0"/>
                    <w:autoSpaceDN w:val="0"/>
                    <w:bidi w:val="0"/>
                    <w:adjustRightInd w:val="0"/>
                    <w:snapToGrid w:val="0"/>
                    <w:spacing w:before="26" w:line="239"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10"/>
                      <w:kern w:val="0"/>
                      <w:sz w:val="21"/>
                      <w:szCs w:val="21"/>
                      <w:lang w:val="en-US" w:eastAsia="en-US" w:bidi="ar-SA"/>
                    </w:rPr>
                    <w:t>2</w:t>
                  </w:r>
                  <w:r>
                    <w:rPr>
                      <w:rFonts w:ascii="宋体" w:hAnsi="宋体" w:eastAsia="宋体" w:cs="宋体"/>
                      <w:snapToGrid w:val="0"/>
                      <w:color w:val="auto"/>
                      <w:spacing w:val="10"/>
                      <w:kern w:val="0"/>
                      <w:sz w:val="21"/>
                      <w:szCs w:val="21"/>
                      <w:lang w:val="en-US" w:eastAsia="en-US" w:bidi="ar-SA"/>
                    </w:rPr>
                    <w:t>）保留木用红色油漆在</w:t>
                  </w:r>
                  <w:r>
                    <w:rPr>
                      <w:rFonts w:ascii="Times New Roman" w:hAnsi="Times New Roman" w:eastAsia="Times New Roman" w:cs="Times New Roman"/>
                      <w:snapToGrid w:val="0"/>
                      <w:color w:val="auto"/>
                      <w:spacing w:val="10"/>
                      <w:kern w:val="0"/>
                      <w:sz w:val="21"/>
                      <w:szCs w:val="21"/>
                      <w:lang w:val="en-US" w:eastAsia="en-US" w:bidi="ar-SA"/>
                    </w:rPr>
                    <w:t>1.3</w:t>
                  </w:r>
                  <w:r>
                    <w:rPr>
                      <w:rFonts w:ascii="宋体" w:hAnsi="宋体" w:eastAsia="宋体" w:cs="宋体"/>
                      <w:snapToGrid w:val="0"/>
                      <w:color w:val="auto"/>
                      <w:spacing w:val="10"/>
                      <w:kern w:val="0"/>
                      <w:sz w:val="21"/>
                      <w:szCs w:val="21"/>
                      <w:lang w:val="en-US" w:eastAsia="en-US" w:bidi="ar-SA"/>
                    </w:rPr>
                    <w:t>米处标记一圈；采伐木用白色油漆标记一</w:t>
                  </w:r>
                  <w:r>
                    <w:rPr>
                      <w:rFonts w:ascii="宋体" w:hAnsi="宋体" w:eastAsia="宋体" w:cs="宋体"/>
                      <w:snapToGrid w:val="0"/>
                      <w:color w:val="auto"/>
                      <w:spacing w:val="9"/>
                      <w:kern w:val="0"/>
                      <w:sz w:val="21"/>
                      <w:szCs w:val="21"/>
                      <w:lang w:val="en-US" w:eastAsia="en-US" w:bidi="ar-SA"/>
                    </w:rPr>
                    <w:t>斜线。红线、</w:t>
                  </w:r>
                  <w:r>
                    <w:rPr>
                      <w:rFonts w:ascii="宋体" w:hAnsi="宋体" w:eastAsia="宋体" w:cs="宋体"/>
                      <w:snapToGrid w:val="0"/>
                      <w:color w:val="auto"/>
                      <w:spacing w:val="5"/>
                      <w:kern w:val="0"/>
                      <w:sz w:val="21"/>
                      <w:szCs w:val="21"/>
                      <w:lang w:val="en-US" w:eastAsia="en-US" w:bidi="ar-SA"/>
                    </w:rPr>
                    <w:t>白线均朝向同一方向。</w:t>
                  </w:r>
                </w:p>
                <w:p>
                  <w:pPr>
                    <w:keepNext w:val="0"/>
                    <w:keepLines w:val="0"/>
                    <w:pageBreakBefore w:val="0"/>
                    <w:widowControl/>
                    <w:kinsoku w:val="0"/>
                    <w:wordWrap/>
                    <w:overflowPunct/>
                    <w:topLinePunct w:val="0"/>
                    <w:autoSpaceDE w:val="0"/>
                    <w:autoSpaceDN w:val="0"/>
                    <w:bidi w:val="0"/>
                    <w:adjustRightInd w:val="0"/>
                    <w:snapToGrid w:val="0"/>
                    <w:spacing w:before="26" w:line="228"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8"/>
                      <w:kern w:val="0"/>
                      <w:sz w:val="21"/>
                      <w:szCs w:val="21"/>
                      <w:lang w:val="en-US" w:eastAsia="en-US" w:bidi="ar-SA"/>
                    </w:rPr>
                    <w:t>3</w:t>
                  </w:r>
                  <w:r>
                    <w:rPr>
                      <w:rFonts w:ascii="宋体" w:hAnsi="宋体" w:eastAsia="宋体" w:cs="宋体"/>
                      <w:snapToGrid w:val="0"/>
                      <w:color w:val="auto"/>
                      <w:spacing w:val="8"/>
                      <w:kern w:val="0"/>
                      <w:sz w:val="21"/>
                      <w:szCs w:val="21"/>
                      <w:lang w:val="en-US" w:eastAsia="en-US" w:bidi="ar-SA"/>
                    </w:rPr>
                    <w:t>）沿等高线从小班一端到另外一端进行标记。</w:t>
                  </w:r>
                </w:p>
                <w:p>
                  <w:pPr>
                    <w:keepNext w:val="0"/>
                    <w:keepLines w:val="0"/>
                    <w:pageBreakBefore w:val="0"/>
                    <w:widowControl/>
                    <w:kinsoku w:val="0"/>
                    <w:wordWrap/>
                    <w:overflowPunct/>
                    <w:topLinePunct w:val="0"/>
                    <w:autoSpaceDE w:val="0"/>
                    <w:autoSpaceDN w:val="0"/>
                    <w:bidi w:val="0"/>
                    <w:adjustRightInd w:val="0"/>
                    <w:snapToGrid w:val="0"/>
                    <w:spacing w:before="24" w:line="215"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7"/>
                      <w:kern w:val="0"/>
                      <w:sz w:val="21"/>
                      <w:szCs w:val="21"/>
                      <w:lang w:val="en-US" w:eastAsia="en-US" w:bidi="ar-SA"/>
                    </w:rPr>
                    <w:t>4</w:t>
                  </w:r>
                  <w:r>
                    <w:rPr>
                      <w:rFonts w:ascii="宋体" w:hAnsi="宋体" w:eastAsia="宋体" w:cs="宋体"/>
                      <w:snapToGrid w:val="0"/>
                      <w:color w:val="auto"/>
                      <w:spacing w:val="7"/>
                      <w:kern w:val="0"/>
                      <w:sz w:val="21"/>
                      <w:szCs w:val="21"/>
                      <w:lang w:val="en-US" w:eastAsia="en-US" w:bidi="ar-SA"/>
                    </w:rPr>
                    <w:t>）选树标号率应在</w:t>
                  </w:r>
                  <w:r>
                    <w:rPr>
                      <w:rFonts w:ascii="Times New Roman" w:hAnsi="Times New Roman" w:eastAsia="Times New Roman" w:cs="Times New Roman"/>
                      <w:snapToGrid w:val="0"/>
                      <w:color w:val="auto"/>
                      <w:spacing w:val="7"/>
                      <w:kern w:val="0"/>
                      <w:sz w:val="21"/>
                      <w:szCs w:val="21"/>
                      <w:lang w:val="en-US" w:eastAsia="en-US" w:bidi="ar-SA"/>
                    </w:rPr>
                    <w:t>95%</w:t>
                  </w:r>
                  <w:r>
                    <w:rPr>
                      <w:rFonts w:ascii="宋体" w:hAnsi="宋体" w:eastAsia="宋体" w:cs="宋体"/>
                      <w:snapToGrid w:val="0"/>
                      <w:color w:val="auto"/>
                      <w:spacing w:val="7"/>
                      <w:kern w:val="0"/>
                      <w:sz w:val="21"/>
                      <w:szCs w:val="21"/>
                      <w:lang w:val="en-US" w:eastAsia="en-US" w:bidi="ar-SA"/>
                    </w:rPr>
                    <w:t>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53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68"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68"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69"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69"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69"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65" w:line="240"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4"/>
                      <w:kern w:val="0"/>
                      <w:sz w:val="21"/>
                      <w:szCs w:val="21"/>
                      <w:lang w:val="en-US" w:eastAsia="en-US" w:bidi="ar-SA"/>
                    </w:rPr>
                    <w:t>间伐</w:t>
                  </w:r>
                  <w:r>
                    <w:rPr>
                      <w:rFonts w:ascii="宋体" w:hAnsi="宋体" w:eastAsia="宋体" w:cs="宋体"/>
                      <w:snapToGrid w:val="0"/>
                      <w:color w:val="auto"/>
                      <w:spacing w:val="4"/>
                      <w:kern w:val="0"/>
                      <w:sz w:val="21"/>
                      <w:szCs w:val="21"/>
                      <w:lang w:val="en-US" w:eastAsia="en-US" w:bidi="ar-SA"/>
                    </w:rPr>
                    <w:t>作业</w:t>
                  </w:r>
                </w:p>
              </w:tc>
              <w:tc>
                <w:tcPr>
                  <w:tcW w:w="531"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33"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伐木</w:t>
                  </w:r>
                  <w:r>
                    <w:rPr>
                      <w:rFonts w:ascii="宋体" w:hAnsi="宋体" w:eastAsia="宋体" w:cs="宋体"/>
                      <w:snapToGrid w:val="0"/>
                      <w:color w:val="auto"/>
                      <w:spacing w:val="4"/>
                      <w:kern w:val="0"/>
                      <w:sz w:val="21"/>
                      <w:szCs w:val="21"/>
                      <w:lang w:val="en-US" w:eastAsia="en-US" w:bidi="ar-SA"/>
                    </w:rPr>
                    <w:t>作业</w:t>
                  </w:r>
                </w:p>
              </w:tc>
              <w:tc>
                <w:tcPr>
                  <w:tcW w:w="6905"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28"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8"/>
                      <w:kern w:val="0"/>
                      <w:sz w:val="21"/>
                      <w:szCs w:val="21"/>
                      <w:lang w:val="en-US" w:eastAsia="en-US" w:bidi="ar-SA"/>
                    </w:rPr>
                    <w:t>1</w:t>
                  </w:r>
                  <w:r>
                    <w:rPr>
                      <w:rFonts w:ascii="宋体" w:hAnsi="宋体" w:eastAsia="宋体" w:cs="宋体"/>
                      <w:snapToGrid w:val="0"/>
                      <w:color w:val="auto"/>
                      <w:spacing w:val="8"/>
                      <w:kern w:val="0"/>
                      <w:sz w:val="21"/>
                      <w:szCs w:val="21"/>
                      <w:lang w:val="en-US" w:eastAsia="en-US" w:bidi="ar-SA"/>
                    </w:rPr>
                    <w:t>）按山下至山上顺序实施；</w:t>
                  </w:r>
                  <w:r>
                    <w:rPr>
                      <w:rFonts w:ascii="Times New Roman" w:hAnsi="Times New Roman" w:eastAsia="Times New Roman" w:cs="Times New Roman"/>
                      <w:snapToGrid w:val="0"/>
                      <w:color w:val="auto"/>
                      <w:spacing w:val="8"/>
                      <w:kern w:val="0"/>
                      <w:sz w:val="21"/>
                      <w:szCs w:val="21"/>
                      <w:lang w:val="en-US" w:eastAsia="en-US" w:bidi="ar-SA"/>
                    </w:rPr>
                    <w:t>2</w:t>
                  </w:r>
                  <w:r>
                    <w:rPr>
                      <w:rFonts w:ascii="宋体" w:hAnsi="宋体" w:eastAsia="宋体" w:cs="宋体"/>
                      <w:snapToGrid w:val="0"/>
                      <w:color w:val="auto"/>
                      <w:spacing w:val="8"/>
                      <w:kern w:val="0"/>
                      <w:sz w:val="21"/>
                      <w:szCs w:val="21"/>
                      <w:lang w:val="en-US" w:eastAsia="en-US" w:bidi="ar-SA"/>
                    </w:rPr>
                    <w:t>）严格按标号伐木，错伐株率</w:t>
                  </w:r>
                  <w:r>
                    <w:rPr>
                      <w:rFonts w:ascii="Times New Roman" w:hAnsi="Times New Roman" w:eastAsia="Times New Roman" w:cs="Times New Roman"/>
                      <w:snapToGrid w:val="0"/>
                      <w:color w:val="auto"/>
                      <w:spacing w:val="8"/>
                      <w:kern w:val="0"/>
                      <w:sz w:val="21"/>
                      <w:szCs w:val="21"/>
                      <w:lang w:val="en-US" w:eastAsia="en-US" w:bidi="ar-SA"/>
                    </w:rPr>
                    <w:t>&lt;5%</w:t>
                  </w:r>
                  <w:r>
                    <w:rPr>
                      <w:rFonts w:ascii="宋体" w:hAnsi="宋体" w:eastAsia="宋体" w:cs="宋体"/>
                      <w:snapToGrid w:val="0"/>
                      <w:color w:val="auto"/>
                      <w:spacing w:val="8"/>
                      <w:kern w:val="0"/>
                      <w:sz w:val="21"/>
                      <w:szCs w:val="21"/>
                      <w:lang w:val="en-US" w:eastAsia="en-US" w:bidi="ar-SA"/>
                    </w:rPr>
                    <w:t>；</w:t>
                  </w:r>
                </w:p>
                <w:p>
                  <w:pPr>
                    <w:keepNext w:val="0"/>
                    <w:keepLines w:val="0"/>
                    <w:pageBreakBefore w:val="0"/>
                    <w:widowControl/>
                    <w:kinsoku w:val="0"/>
                    <w:wordWrap/>
                    <w:overflowPunct/>
                    <w:topLinePunct w:val="0"/>
                    <w:autoSpaceDE w:val="0"/>
                    <w:autoSpaceDN w:val="0"/>
                    <w:bidi w:val="0"/>
                    <w:adjustRightInd w:val="0"/>
                    <w:snapToGrid w:val="0"/>
                    <w:spacing w:before="25" w:line="215"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9"/>
                      <w:kern w:val="0"/>
                      <w:sz w:val="21"/>
                      <w:szCs w:val="21"/>
                      <w:lang w:val="en-US" w:eastAsia="en-US" w:bidi="ar-SA"/>
                    </w:rPr>
                    <w:t>3</w:t>
                  </w:r>
                  <w:r>
                    <w:rPr>
                      <w:rFonts w:ascii="宋体" w:hAnsi="宋体" w:eastAsia="宋体" w:cs="宋体"/>
                      <w:snapToGrid w:val="0"/>
                      <w:color w:val="auto"/>
                      <w:spacing w:val="9"/>
                      <w:kern w:val="0"/>
                      <w:sz w:val="21"/>
                      <w:szCs w:val="21"/>
                      <w:lang w:val="en-US" w:eastAsia="en-US" w:bidi="ar-SA"/>
                    </w:rPr>
                    <w:t>）保持伐桩高度</w:t>
                  </w:r>
                  <w:r>
                    <w:rPr>
                      <w:rFonts w:ascii="Times New Roman" w:hAnsi="Times New Roman" w:eastAsia="Times New Roman" w:cs="Times New Roman"/>
                      <w:snapToGrid w:val="0"/>
                      <w:color w:val="auto"/>
                      <w:spacing w:val="9"/>
                      <w:kern w:val="0"/>
                      <w:sz w:val="21"/>
                      <w:szCs w:val="21"/>
                      <w:lang w:val="en-US" w:eastAsia="en-US" w:bidi="ar-SA"/>
                    </w:rPr>
                    <w:t>&lt;5</w:t>
                  </w:r>
                  <w:r>
                    <w:rPr>
                      <w:rFonts w:ascii="Times New Roman" w:hAnsi="Times New Roman" w:eastAsia="Times New Roman" w:cs="Times New Roman"/>
                      <w:snapToGrid w:val="0"/>
                      <w:color w:val="auto"/>
                      <w:kern w:val="0"/>
                      <w:sz w:val="21"/>
                      <w:szCs w:val="21"/>
                      <w:lang w:val="en-US" w:eastAsia="en-US" w:bidi="ar-SA"/>
                    </w:rPr>
                    <w:t>cm</w:t>
                  </w:r>
                  <w:r>
                    <w:rPr>
                      <w:rFonts w:ascii="宋体" w:hAnsi="宋体" w:eastAsia="宋体" w:cs="宋体"/>
                      <w:snapToGrid w:val="0"/>
                      <w:color w:val="auto"/>
                      <w:spacing w:val="9"/>
                      <w:kern w:val="0"/>
                      <w:sz w:val="21"/>
                      <w:szCs w:val="21"/>
                      <w:lang w:val="en-US" w:eastAsia="en-US" w:bidi="ar-SA"/>
                    </w:rPr>
                    <w:t>；</w:t>
                  </w:r>
                  <w:r>
                    <w:rPr>
                      <w:rFonts w:ascii="Times New Roman" w:hAnsi="Times New Roman" w:eastAsia="Times New Roman" w:cs="Times New Roman"/>
                      <w:snapToGrid w:val="0"/>
                      <w:color w:val="auto"/>
                      <w:spacing w:val="9"/>
                      <w:kern w:val="0"/>
                      <w:sz w:val="21"/>
                      <w:szCs w:val="21"/>
                      <w:lang w:val="en-US" w:eastAsia="en-US" w:bidi="ar-SA"/>
                    </w:rPr>
                    <w:t>4</w:t>
                  </w:r>
                  <w:r>
                    <w:rPr>
                      <w:rFonts w:ascii="宋体" w:hAnsi="宋体" w:eastAsia="宋体" w:cs="宋体"/>
                      <w:snapToGrid w:val="0"/>
                      <w:color w:val="auto"/>
                      <w:spacing w:val="9"/>
                      <w:kern w:val="0"/>
                      <w:sz w:val="21"/>
                      <w:szCs w:val="21"/>
                      <w:lang w:val="en-US" w:eastAsia="en-US" w:bidi="ar-SA"/>
                    </w:rPr>
                    <w:t>）严格控制树倒方向，尽量避免砸伤保留木。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53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tc>
              <w:tc>
                <w:tcPr>
                  <w:tcW w:w="531" w:type="dxa"/>
                  <w:vAlign w:val="top"/>
                </w:tcPr>
                <w:p>
                  <w:pPr>
                    <w:keepNext w:val="0"/>
                    <w:keepLines w:val="0"/>
                    <w:pageBreakBefore w:val="0"/>
                    <w:widowControl/>
                    <w:kinsoku w:val="0"/>
                    <w:wordWrap/>
                    <w:overflowPunct/>
                    <w:topLinePunct w:val="0"/>
                    <w:autoSpaceDE w:val="0"/>
                    <w:autoSpaceDN w:val="0"/>
                    <w:bidi w:val="0"/>
                    <w:adjustRightInd w:val="0"/>
                    <w:snapToGrid w:val="0"/>
                    <w:spacing w:before="34" w:line="233"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3"/>
                      <w:kern w:val="0"/>
                      <w:sz w:val="21"/>
                      <w:szCs w:val="21"/>
                      <w:lang w:val="en-US" w:eastAsia="en-US" w:bidi="ar-SA"/>
                    </w:rPr>
                    <w:t>打枝</w:t>
                  </w:r>
                  <w:r>
                    <w:rPr>
                      <w:rFonts w:ascii="宋体" w:hAnsi="宋体" w:eastAsia="宋体" w:cs="宋体"/>
                      <w:snapToGrid w:val="0"/>
                      <w:color w:val="auto"/>
                      <w:spacing w:val="4"/>
                      <w:kern w:val="0"/>
                      <w:sz w:val="21"/>
                      <w:szCs w:val="21"/>
                      <w:lang w:val="en-US" w:eastAsia="en-US" w:bidi="ar-SA"/>
                    </w:rPr>
                    <w:t>作业</w:t>
                  </w:r>
                </w:p>
              </w:tc>
              <w:tc>
                <w:tcPr>
                  <w:tcW w:w="6905" w:type="dxa"/>
                  <w:vAlign w:val="top"/>
                </w:tcPr>
                <w:p>
                  <w:pPr>
                    <w:keepNext w:val="0"/>
                    <w:keepLines w:val="0"/>
                    <w:pageBreakBefore w:val="0"/>
                    <w:widowControl/>
                    <w:kinsoku w:val="0"/>
                    <w:wordWrap/>
                    <w:overflowPunct/>
                    <w:topLinePunct w:val="0"/>
                    <w:autoSpaceDE w:val="0"/>
                    <w:autoSpaceDN w:val="0"/>
                    <w:bidi w:val="0"/>
                    <w:adjustRightInd w:val="0"/>
                    <w:snapToGrid w:val="0"/>
                    <w:spacing w:before="34" w:line="227"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9"/>
                      <w:kern w:val="0"/>
                      <w:sz w:val="21"/>
                      <w:szCs w:val="21"/>
                      <w:lang w:val="en-US" w:eastAsia="en-US" w:bidi="ar-SA"/>
                    </w:rPr>
                    <w:t>1</w:t>
                  </w:r>
                  <w:r>
                    <w:rPr>
                      <w:rFonts w:ascii="宋体" w:hAnsi="宋体" w:eastAsia="宋体" w:cs="宋体"/>
                      <w:snapToGrid w:val="0"/>
                      <w:color w:val="auto"/>
                      <w:spacing w:val="9"/>
                      <w:kern w:val="0"/>
                      <w:sz w:val="21"/>
                      <w:szCs w:val="21"/>
                      <w:lang w:val="en-US" w:eastAsia="en-US" w:bidi="ar-SA"/>
                    </w:rPr>
                    <w:t>）按根部至梢头的顺序实施；</w:t>
                  </w:r>
                  <w:r>
                    <w:rPr>
                      <w:rFonts w:ascii="Times New Roman" w:hAnsi="Times New Roman" w:eastAsia="Times New Roman" w:cs="Times New Roman"/>
                      <w:snapToGrid w:val="0"/>
                      <w:color w:val="auto"/>
                      <w:spacing w:val="9"/>
                      <w:kern w:val="0"/>
                      <w:sz w:val="21"/>
                      <w:szCs w:val="21"/>
                      <w:lang w:val="en-US" w:eastAsia="en-US" w:bidi="ar-SA"/>
                    </w:rPr>
                    <w:t>2</w:t>
                  </w:r>
                  <w:r>
                    <w:rPr>
                      <w:rFonts w:ascii="宋体" w:hAnsi="宋体" w:eastAsia="宋体" w:cs="宋体"/>
                      <w:snapToGrid w:val="0"/>
                      <w:color w:val="auto"/>
                      <w:spacing w:val="9"/>
                      <w:kern w:val="0"/>
                      <w:sz w:val="21"/>
                      <w:szCs w:val="21"/>
                      <w:lang w:val="en-US" w:eastAsia="en-US" w:bidi="ar-SA"/>
                    </w:rPr>
                    <w:t>）去除造材</w:t>
                  </w:r>
                  <w:r>
                    <w:rPr>
                      <w:rFonts w:ascii="宋体" w:hAnsi="宋体" w:eastAsia="宋体" w:cs="宋体"/>
                      <w:snapToGrid w:val="0"/>
                      <w:color w:val="auto"/>
                      <w:spacing w:val="8"/>
                      <w:kern w:val="0"/>
                      <w:sz w:val="21"/>
                      <w:szCs w:val="21"/>
                      <w:lang w:val="en-US" w:eastAsia="en-US" w:bidi="ar-SA"/>
                    </w:rPr>
                    <w:t>最小头直径以下的全部枝丫；</w:t>
                  </w:r>
                </w:p>
                <w:p>
                  <w:pPr>
                    <w:keepNext w:val="0"/>
                    <w:keepLines w:val="0"/>
                    <w:pageBreakBefore w:val="0"/>
                    <w:widowControl/>
                    <w:kinsoku w:val="0"/>
                    <w:wordWrap/>
                    <w:overflowPunct/>
                    <w:topLinePunct w:val="0"/>
                    <w:autoSpaceDE w:val="0"/>
                    <w:autoSpaceDN w:val="0"/>
                    <w:bidi w:val="0"/>
                    <w:adjustRightInd w:val="0"/>
                    <w:snapToGrid w:val="0"/>
                    <w:spacing w:before="27" w:line="213"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9"/>
                      <w:kern w:val="0"/>
                      <w:sz w:val="21"/>
                      <w:szCs w:val="21"/>
                      <w:lang w:val="en-US" w:eastAsia="en-US" w:bidi="ar-SA"/>
                    </w:rPr>
                    <w:t>3</w:t>
                  </w:r>
                  <w:r>
                    <w:rPr>
                      <w:rFonts w:ascii="宋体" w:hAnsi="宋体" w:eastAsia="宋体" w:cs="宋体"/>
                      <w:snapToGrid w:val="0"/>
                      <w:color w:val="auto"/>
                      <w:spacing w:val="9"/>
                      <w:kern w:val="0"/>
                      <w:sz w:val="21"/>
                      <w:szCs w:val="21"/>
                      <w:lang w:val="en-US" w:eastAsia="en-US" w:bidi="ar-SA"/>
                    </w:rPr>
                    <w:t>）紧贴树干表面去除枝丫，使其不留楂、不深陷、不劈裂。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53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tc>
              <w:tc>
                <w:tcPr>
                  <w:tcW w:w="531" w:type="dxa"/>
                  <w:vAlign w:val="top"/>
                </w:tcPr>
                <w:p>
                  <w:pPr>
                    <w:keepNext w:val="0"/>
                    <w:keepLines w:val="0"/>
                    <w:pageBreakBefore w:val="0"/>
                    <w:widowControl/>
                    <w:kinsoku w:val="0"/>
                    <w:wordWrap/>
                    <w:overflowPunct/>
                    <w:topLinePunct w:val="0"/>
                    <w:autoSpaceDE w:val="0"/>
                    <w:autoSpaceDN w:val="0"/>
                    <w:bidi w:val="0"/>
                    <w:adjustRightInd w:val="0"/>
                    <w:snapToGrid w:val="0"/>
                    <w:spacing w:before="65" w:line="239"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5"/>
                      <w:kern w:val="0"/>
                      <w:sz w:val="21"/>
                      <w:szCs w:val="21"/>
                      <w:lang w:val="en-US" w:eastAsia="en-US" w:bidi="ar-SA"/>
                    </w:rPr>
                    <w:t>造材</w:t>
                  </w:r>
                  <w:r>
                    <w:rPr>
                      <w:rFonts w:ascii="宋体" w:hAnsi="宋体" w:eastAsia="宋体" w:cs="宋体"/>
                      <w:snapToGrid w:val="0"/>
                      <w:color w:val="auto"/>
                      <w:spacing w:val="4"/>
                      <w:kern w:val="0"/>
                      <w:sz w:val="21"/>
                      <w:szCs w:val="21"/>
                      <w:lang w:val="en-US" w:eastAsia="en-US" w:bidi="ar-SA"/>
                    </w:rPr>
                    <w:t>作业</w:t>
                  </w:r>
                </w:p>
              </w:tc>
              <w:tc>
                <w:tcPr>
                  <w:tcW w:w="6905"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27"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8"/>
                      <w:kern w:val="0"/>
                      <w:sz w:val="21"/>
                      <w:szCs w:val="21"/>
                      <w:lang w:val="en-US" w:eastAsia="en-US" w:bidi="ar-SA"/>
                    </w:rPr>
                    <w:t>1</w:t>
                  </w:r>
                  <w:r>
                    <w:rPr>
                      <w:rFonts w:ascii="宋体" w:hAnsi="宋体" w:eastAsia="宋体" w:cs="宋体"/>
                      <w:snapToGrid w:val="0"/>
                      <w:color w:val="auto"/>
                      <w:spacing w:val="8"/>
                      <w:kern w:val="0"/>
                      <w:sz w:val="21"/>
                      <w:szCs w:val="21"/>
                      <w:lang w:val="en-US" w:eastAsia="en-US" w:bidi="ar-SA"/>
                    </w:rPr>
                    <w:t>）坚持</w:t>
                  </w:r>
                  <w:r>
                    <w:rPr>
                      <w:rFonts w:ascii="Times New Roman" w:hAnsi="Times New Roman" w:eastAsia="Times New Roman" w:cs="Times New Roman"/>
                      <w:snapToGrid w:val="0"/>
                      <w:color w:val="auto"/>
                      <w:spacing w:val="8"/>
                      <w:kern w:val="0"/>
                      <w:sz w:val="21"/>
                      <w:szCs w:val="21"/>
                      <w:lang w:val="en-US" w:eastAsia="en-US" w:bidi="ar-SA"/>
                    </w:rPr>
                    <w:t>“</w:t>
                  </w:r>
                  <w:r>
                    <w:rPr>
                      <w:rFonts w:ascii="宋体" w:hAnsi="宋体" w:eastAsia="宋体" w:cs="宋体"/>
                      <w:snapToGrid w:val="0"/>
                      <w:color w:val="auto"/>
                      <w:spacing w:val="8"/>
                      <w:kern w:val="0"/>
                      <w:sz w:val="21"/>
                      <w:szCs w:val="21"/>
                      <w:lang w:val="en-US" w:eastAsia="en-US" w:bidi="ar-SA"/>
                    </w:rPr>
                    <w:t>量尺造材，材尽其用，劣材优造</w:t>
                  </w:r>
                  <w:r>
                    <w:rPr>
                      <w:rFonts w:ascii="Times New Roman" w:hAnsi="Times New Roman" w:eastAsia="Times New Roman" w:cs="Times New Roman"/>
                      <w:snapToGrid w:val="0"/>
                      <w:color w:val="auto"/>
                      <w:spacing w:val="8"/>
                      <w:kern w:val="0"/>
                      <w:sz w:val="21"/>
                      <w:szCs w:val="21"/>
                      <w:lang w:val="en-US" w:eastAsia="en-US" w:bidi="ar-SA"/>
                    </w:rPr>
                    <w:t>”</w:t>
                  </w:r>
                  <w:r>
                    <w:rPr>
                      <w:rFonts w:ascii="宋体" w:hAnsi="宋体" w:eastAsia="宋体" w:cs="宋体"/>
                      <w:snapToGrid w:val="0"/>
                      <w:color w:val="auto"/>
                      <w:spacing w:val="8"/>
                      <w:kern w:val="0"/>
                      <w:sz w:val="21"/>
                      <w:szCs w:val="21"/>
                      <w:lang w:val="en-US" w:eastAsia="en-US" w:bidi="ar-SA"/>
                    </w:rPr>
                    <w:t>的原则，提高造材率和出材率；</w:t>
                  </w:r>
                </w:p>
                <w:p>
                  <w:pPr>
                    <w:keepNext w:val="0"/>
                    <w:keepLines w:val="0"/>
                    <w:pageBreakBefore w:val="0"/>
                    <w:widowControl/>
                    <w:kinsoku w:val="0"/>
                    <w:wordWrap/>
                    <w:overflowPunct/>
                    <w:topLinePunct w:val="0"/>
                    <w:autoSpaceDE w:val="0"/>
                    <w:autoSpaceDN w:val="0"/>
                    <w:bidi w:val="0"/>
                    <w:adjustRightInd w:val="0"/>
                    <w:snapToGrid w:val="0"/>
                    <w:spacing w:before="27" w:line="227"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8"/>
                      <w:kern w:val="0"/>
                      <w:sz w:val="21"/>
                      <w:szCs w:val="21"/>
                      <w:lang w:val="en-US" w:eastAsia="en-US" w:bidi="ar-SA"/>
                    </w:rPr>
                    <w:t>2</w:t>
                  </w:r>
                  <w:r>
                    <w:rPr>
                      <w:rFonts w:ascii="宋体" w:hAnsi="宋体" w:eastAsia="宋体" w:cs="宋体"/>
                      <w:snapToGrid w:val="0"/>
                      <w:color w:val="auto"/>
                      <w:spacing w:val="8"/>
                      <w:kern w:val="0"/>
                      <w:sz w:val="21"/>
                      <w:szCs w:val="21"/>
                      <w:lang w:val="en-US" w:eastAsia="en-US" w:bidi="ar-SA"/>
                    </w:rPr>
                    <w:t>）将原条放实后造材，防止出现劈材；</w:t>
                  </w:r>
                </w:p>
                <w:p>
                  <w:pPr>
                    <w:keepNext w:val="0"/>
                    <w:keepLines w:val="0"/>
                    <w:pageBreakBefore w:val="0"/>
                    <w:widowControl/>
                    <w:kinsoku w:val="0"/>
                    <w:wordWrap/>
                    <w:overflowPunct/>
                    <w:topLinePunct w:val="0"/>
                    <w:autoSpaceDE w:val="0"/>
                    <w:autoSpaceDN w:val="0"/>
                    <w:bidi w:val="0"/>
                    <w:adjustRightInd w:val="0"/>
                    <w:snapToGrid w:val="0"/>
                    <w:spacing w:before="25" w:line="227"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9"/>
                      <w:kern w:val="0"/>
                      <w:sz w:val="21"/>
                      <w:szCs w:val="21"/>
                      <w:lang w:val="en-US" w:eastAsia="en-US" w:bidi="ar-SA"/>
                    </w:rPr>
                    <w:t>3</w:t>
                  </w:r>
                  <w:r>
                    <w:rPr>
                      <w:rFonts w:ascii="宋体" w:hAnsi="宋体" w:eastAsia="宋体" w:cs="宋体"/>
                      <w:snapToGrid w:val="0"/>
                      <w:color w:val="auto"/>
                      <w:spacing w:val="9"/>
                      <w:kern w:val="0"/>
                      <w:sz w:val="21"/>
                      <w:szCs w:val="21"/>
                      <w:lang w:val="en-US" w:eastAsia="en-US" w:bidi="ar-SA"/>
                    </w:rPr>
                    <w:t>）严格按量材人员的划线标志下锯，不躲包</w:t>
                  </w:r>
                  <w:r>
                    <w:rPr>
                      <w:rFonts w:ascii="宋体" w:hAnsi="宋体" w:eastAsia="宋体" w:cs="宋体"/>
                      <w:snapToGrid w:val="0"/>
                      <w:color w:val="auto"/>
                      <w:spacing w:val="8"/>
                      <w:kern w:val="0"/>
                      <w:sz w:val="21"/>
                      <w:szCs w:val="21"/>
                      <w:lang w:val="en-US" w:eastAsia="en-US" w:bidi="ar-SA"/>
                    </w:rPr>
                    <w:t>让节；</w:t>
                  </w:r>
                </w:p>
                <w:p>
                  <w:pPr>
                    <w:keepNext w:val="0"/>
                    <w:keepLines w:val="0"/>
                    <w:pageBreakBefore w:val="0"/>
                    <w:widowControl/>
                    <w:kinsoku w:val="0"/>
                    <w:wordWrap/>
                    <w:overflowPunct/>
                    <w:topLinePunct w:val="0"/>
                    <w:autoSpaceDE w:val="0"/>
                    <w:autoSpaceDN w:val="0"/>
                    <w:bidi w:val="0"/>
                    <w:adjustRightInd w:val="0"/>
                    <w:snapToGrid w:val="0"/>
                    <w:spacing w:before="27" w:line="213"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Times New Roman" w:hAnsi="Times New Roman" w:eastAsia="Times New Roman" w:cs="Times New Roman"/>
                      <w:snapToGrid w:val="0"/>
                      <w:color w:val="auto"/>
                      <w:spacing w:val="9"/>
                      <w:kern w:val="0"/>
                      <w:sz w:val="21"/>
                      <w:szCs w:val="21"/>
                      <w:lang w:val="en-US" w:eastAsia="en-US" w:bidi="ar-SA"/>
                    </w:rPr>
                    <w:t>4</w:t>
                  </w:r>
                  <w:r>
                    <w:rPr>
                      <w:rFonts w:ascii="宋体" w:hAnsi="宋体" w:eastAsia="宋体" w:cs="宋体"/>
                      <w:snapToGrid w:val="0"/>
                      <w:color w:val="auto"/>
                      <w:spacing w:val="9"/>
                      <w:kern w:val="0"/>
                      <w:sz w:val="21"/>
                      <w:szCs w:val="21"/>
                      <w:lang w:val="en-US" w:eastAsia="en-US" w:bidi="ar-SA"/>
                    </w:rPr>
                    <w:t>）放正锯板，防止锯口偏斜；</w:t>
                  </w:r>
                  <w:r>
                    <w:rPr>
                      <w:rFonts w:ascii="Times New Roman" w:hAnsi="Times New Roman" w:eastAsia="Times New Roman" w:cs="Times New Roman"/>
                      <w:snapToGrid w:val="0"/>
                      <w:color w:val="auto"/>
                      <w:spacing w:val="9"/>
                      <w:kern w:val="0"/>
                      <w:sz w:val="21"/>
                      <w:szCs w:val="21"/>
                      <w:lang w:val="en-US" w:eastAsia="en-US" w:bidi="ar-SA"/>
                    </w:rPr>
                    <w:t>5</w:t>
                  </w:r>
                  <w:r>
                    <w:rPr>
                      <w:rFonts w:ascii="宋体" w:hAnsi="宋体" w:eastAsia="宋体" w:cs="宋体"/>
                      <w:snapToGrid w:val="0"/>
                      <w:color w:val="auto"/>
                      <w:spacing w:val="9"/>
                      <w:kern w:val="0"/>
                      <w:sz w:val="21"/>
                      <w:szCs w:val="21"/>
                      <w:lang w:val="en-US" w:eastAsia="en-US" w:bidi="ar-SA"/>
                    </w:rPr>
                    <w:t>）避免伤及相邻伐倒木和保留木。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53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tc>
              <w:tc>
                <w:tcPr>
                  <w:tcW w:w="531" w:type="dxa"/>
                  <w:vAlign w:val="top"/>
                </w:tcPr>
                <w:p>
                  <w:pPr>
                    <w:keepNext w:val="0"/>
                    <w:keepLines w:val="0"/>
                    <w:pageBreakBefore w:val="0"/>
                    <w:widowControl/>
                    <w:kinsoku w:val="0"/>
                    <w:wordWrap/>
                    <w:overflowPunct/>
                    <w:topLinePunct w:val="0"/>
                    <w:autoSpaceDE w:val="0"/>
                    <w:autoSpaceDN w:val="0"/>
                    <w:bidi w:val="0"/>
                    <w:adjustRightInd w:val="0"/>
                    <w:snapToGrid w:val="0"/>
                    <w:spacing w:before="36" w:line="232"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4"/>
                      <w:kern w:val="0"/>
                      <w:sz w:val="21"/>
                      <w:szCs w:val="21"/>
                      <w:lang w:val="en-US" w:eastAsia="en-US" w:bidi="ar-SA"/>
                    </w:rPr>
                    <w:t>集材作业</w:t>
                  </w:r>
                </w:p>
              </w:tc>
              <w:tc>
                <w:tcPr>
                  <w:tcW w:w="6905" w:type="dxa"/>
                  <w:vAlign w:val="top"/>
                </w:tcPr>
                <w:p>
                  <w:pPr>
                    <w:keepNext w:val="0"/>
                    <w:keepLines w:val="0"/>
                    <w:pageBreakBefore w:val="0"/>
                    <w:widowControl/>
                    <w:kinsoku w:val="0"/>
                    <w:wordWrap/>
                    <w:overflowPunct/>
                    <w:topLinePunct w:val="0"/>
                    <w:autoSpaceDE w:val="0"/>
                    <w:autoSpaceDN w:val="0"/>
                    <w:bidi w:val="0"/>
                    <w:adjustRightInd w:val="0"/>
                    <w:snapToGrid w:val="0"/>
                    <w:spacing w:before="172" w:line="227"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9"/>
                      <w:kern w:val="0"/>
                      <w:sz w:val="21"/>
                      <w:szCs w:val="21"/>
                      <w:lang w:val="en-US" w:eastAsia="en-US" w:bidi="ar-SA"/>
                    </w:rPr>
                    <w:t>选用人力集材方式，严格按照安全操作规范操作，防止出现安全事故。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53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left"/>
                    <w:textAlignment w:val="baseline"/>
                    <w:rPr>
                      <w:rFonts w:ascii="Arial" w:hAnsi="Arial" w:eastAsia="Arial" w:cs="Arial"/>
                      <w:snapToGrid w:val="0"/>
                      <w:color w:val="auto"/>
                      <w:kern w:val="0"/>
                      <w:sz w:val="21"/>
                      <w:szCs w:val="21"/>
                      <w:lang w:eastAsia="en-US"/>
                    </w:rPr>
                  </w:pPr>
                </w:p>
              </w:tc>
              <w:tc>
                <w:tcPr>
                  <w:tcW w:w="531" w:type="dxa"/>
                  <w:vAlign w:val="top"/>
                </w:tcPr>
                <w:p>
                  <w:pPr>
                    <w:keepNext w:val="0"/>
                    <w:keepLines w:val="0"/>
                    <w:pageBreakBefore w:val="0"/>
                    <w:widowControl/>
                    <w:kinsoku w:val="0"/>
                    <w:wordWrap/>
                    <w:overflowPunct/>
                    <w:topLinePunct w:val="0"/>
                    <w:autoSpaceDE w:val="0"/>
                    <w:autoSpaceDN w:val="0"/>
                    <w:bidi w:val="0"/>
                    <w:adjustRightInd w:val="0"/>
                    <w:snapToGrid w:val="0"/>
                    <w:spacing w:before="37" w:line="232"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4"/>
                      <w:kern w:val="0"/>
                      <w:sz w:val="21"/>
                      <w:szCs w:val="21"/>
                      <w:lang w:val="en-US" w:eastAsia="en-US" w:bidi="ar-SA"/>
                    </w:rPr>
                    <w:t>装车作业</w:t>
                  </w:r>
                </w:p>
              </w:tc>
              <w:tc>
                <w:tcPr>
                  <w:tcW w:w="6905" w:type="dxa"/>
                  <w:vAlign w:val="top"/>
                </w:tcPr>
                <w:p>
                  <w:pPr>
                    <w:keepNext w:val="0"/>
                    <w:keepLines w:val="0"/>
                    <w:pageBreakBefore w:val="0"/>
                    <w:widowControl/>
                    <w:kinsoku w:val="0"/>
                    <w:wordWrap/>
                    <w:overflowPunct/>
                    <w:topLinePunct w:val="0"/>
                    <w:autoSpaceDE w:val="0"/>
                    <w:autoSpaceDN w:val="0"/>
                    <w:bidi w:val="0"/>
                    <w:adjustRightInd w:val="0"/>
                    <w:snapToGrid w:val="0"/>
                    <w:spacing w:before="172" w:line="228"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7"/>
                      <w:kern w:val="0"/>
                      <w:sz w:val="21"/>
                      <w:szCs w:val="21"/>
                      <w:lang w:val="en-US" w:eastAsia="en-US" w:bidi="ar-SA"/>
                    </w:rPr>
                    <w:t>严格按照装车安全操作规程操作；执行</w:t>
                  </w:r>
                  <w:r>
                    <w:rPr>
                      <w:rFonts w:ascii="Times New Roman" w:hAnsi="Times New Roman" w:eastAsia="Times New Roman" w:cs="Times New Roman"/>
                      <w:snapToGrid w:val="0"/>
                      <w:color w:val="auto"/>
                      <w:kern w:val="0"/>
                      <w:sz w:val="21"/>
                      <w:szCs w:val="21"/>
                      <w:lang w:val="en-US" w:eastAsia="en-US" w:bidi="ar-SA"/>
                    </w:rPr>
                    <w:t>LY</w:t>
                  </w:r>
                  <w:r>
                    <w:rPr>
                      <w:rFonts w:ascii="Times New Roman" w:hAnsi="Times New Roman" w:eastAsia="Times New Roman" w:cs="Times New Roman"/>
                      <w:snapToGrid w:val="0"/>
                      <w:color w:val="auto"/>
                      <w:spacing w:val="7"/>
                      <w:kern w:val="0"/>
                      <w:sz w:val="21"/>
                      <w:szCs w:val="21"/>
                      <w:lang w:val="en-US" w:eastAsia="en-US" w:bidi="ar-SA"/>
                    </w:rPr>
                    <w:t>/T1646</w:t>
                  </w:r>
                  <w:r>
                    <w:rPr>
                      <w:rFonts w:ascii="宋体" w:hAnsi="宋体" w:eastAsia="宋体" w:cs="宋体"/>
                      <w:snapToGrid w:val="0"/>
                      <w:color w:val="auto"/>
                      <w:spacing w:val="7"/>
                      <w:kern w:val="0"/>
                      <w:sz w:val="21"/>
                      <w:szCs w:val="21"/>
                      <w:lang w:val="en-US" w:eastAsia="en-US" w:bidi="ar-SA"/>
                    </w:rPr>
                    <w:t>装车质量规定。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0" w:hRule="atLeast"/>
              </w:trPr>
              <w:tc>
                <w:tcPr>
                  <w:tcW w:w="106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8" w:line="228"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8"/>
                      <w:kern w:val="0"/>
                      <w:sz w:val="21"/>
                      <w:szCs w:val="21"/>
                      <w:lang w:val="en-US" w:eastAsia="en-US" w:bidi="ar-SA"/>
                    </w:rPr>
                    <w:t>伐后清理</w:t>
                  </w:r>
                </w:p>
              </w:tc>
              <w:tc>
                <w:tcPr>
                  <w:tcW w:w="6905"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228" w:lineRule="auto"/>
                    <w:ind w:left="24" w:leftChars="10" w:right="57" w:firstLine="0" w:firstLineChars="0"/>
                    <w:jc w:val="left"/>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10"/>
                      <w:kern w:val="0"/>
                      <w:sz w:val="21"/>
                      <w:szCs w:val="21"/>
                      <w:lang w:val="en-US" w:eastAsia="en-US" w:bidi="ar-SA"/>
                    </w:rPr>
                    <w:t>可利用的剩余物应尽量运出林外利用，不能利用的</w:t>
                  </w:r>
                  <w:r>
                    <w:rPr>
                      <w:rFonts w:ascii="宋体" w:hAnsi="宋体" w:eastAsia="宋体" w:cs="宋体"/>
                      <w:snapToGrid w:val="0"/>
                      <w:color w:val="auto"/>
                      <w:spacing w:val="9"/>
                      <w:kern w:val="0"/>
                      <w:sz w:val="21"/>
                      <w:szCs w:val="21"/>
                      <w:lang w:val="en-US" w:eastAsia="en-US" w:bidi="ar-SA"/>
                    </w:rPr>
                    <w:t>理顺堆成条带状或砍断平铺林内</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5"/>
                <w:kern w:val="0"/>
                <w:sz w:val="24"/>
                <w:szCs w:val="24"/>
                <w:lang w:eastAsia="en-US"/>
              </w:rPr>
              <w:t>集材方式：根据林分的密度、树木的大小和地形等因素，选择适合的</w:t>
            </w:r>
            <w:r>
              <w:rPr>
                <w:rFonts w:ascii="宋体" w:hAnsi="宋体" w:eastAsia="宋体" w:cs="宋体"/>
                <w:snapToGrid w:val="0"/>
                <w:color w:val="auto"/>
                <w:spacing w:val="-2"/>
                <w:kern w:val="0"/>
                <w:sz w:val="24"/>
                <w:szCs w:val="24"/>
                <w:lang w:eastAsia="en-US"/>
              </w:rPr>
              <w:t>集材方式、集材工具和设备类型。在选择工具时，需要优先考虑其</w:t>
            </w:r>
            <w:r>
              <w:rPr>
                <w:rFonts w:ascii="宋体" w:hAnsi="宋体" w:eastAsia="宋体" w:cs="宋体"/>
                <w:snapToGrid w:val="0"/>
                <w:color w:val="auto"/>
                <w:spacing w:val="-3"/>
                <w:kern w:val="0"/>
                <w:sz w:val="24"/>
                <w:szCs w:val="24"/>
                <w:lang w:eastAsia="en-US"/>
              </w:rPr>
              <w:t>安全性</w:t>
            </w:r>
            <w:r>
              <w:rPr>
                <w:rFonts w:ascii="宋体" w:hAnsi="宋体" w:eastAsia="宋体" w:cs="宋体"/>
                <w:snapToGrid w:val="0"/>
                <w:color w:val="auto"/>
                <w:spacing w:val="-8"/>
                <w:kern w:val="0"/>
                <w:sz w:val="24"/>
                <w:szCs w:val="24"/>
                <w:lang w:eastAsia="en-US"/>
              </w:rPr>
              <w:t>能，如防滑、防震等。在选择采伐工具时，需要考虑其效率性能，如功率、</w:t>
            </w:r>
            <w:r>
              <w:rPr>
                <w:rFonts w:ascii="宋体" w:hAnsi="宋体" w:eastAsia="宋体" w:cs="宋体"/>
                <w:snapToGrid w:val="0"/>
                <w:color w:val="auto"/>
                <w:spacing w:val="-2"/>
                <w:kern w:val="0"/>
                <w:sz w:val="24"/>
                <w:szCs w:val="24"/>
                <w:lang w:eastAsia="en-US"/>
              </w:rPr>
              <w:t>速度等。本项目推荐人力、畜力集材，包括人力肩扛、人力</w:t>
            </w:r>
            <w:r>
              <w:rPr>
                <w:rFonts w:ascii="宋体" w:hAnsi="宋体" w:eastAsia="宋体" w:cs="宋体"/>
                <w:snapToGrid w:val="0"/>
                <w:color w:val="auto"/>
                <w:spacing w:val="-3"/>
                <w:kern w:val="0"/>
                <w:sz w:val="24"/>
                <w:szCs w:val="24"/>
                <w:lang w:eastAsia="en-US"/>
              </w:rPr>
              <w:t>串坡、马驮集</w:t>
            </w:r>
            <w:r>
              <w:rPr>
                <w:rFonts w:ascii="宋体" w:hAnsi="宋体" w:eastAsia="宋体" w:cs="宋体"/>
                <w:snapToGrid w:val="0"/>
                <w:color w:val="auto"/>
                <w:spacing w:val="-2"/>
                <w:kern w:val="0"/>
                <w:sz w:val="24"/>
                <w:szCs w:val="24"/>
                <w:lang w:eastAsia="en-US"/>
              </w:rPr>
              <w:t>材；采伐木归楞后及时运出小班。也可根据需要和采伐小班</w:t>
            </w:r>
            <w:r>
              <w:rPr>
                <w:rFonts w:ascii="宋体" w:hAnsi="宋体" w:eastAsia="宋体" w:cs="宋体"/>
                <w:snapToGrid w:val="0"/>
                <w:color w:val="auto"/>
                <w:spacing w:val="-3"/>
                <w:kern w:val="0"/>
                <w:sz w:val="24"/>
                <w:szCs w:val="24"/>
                <w:lang w:eastAsia="en-US"/>
              </w:rPr>
              <w:t>情况，采用移</w:t>
            </w:r>
            <w:r>
              <w:rPr>
                <w:rFonts w:ascii="宋体" w:hAnsi="宋体" w:eastAsia="宋体" w:cs="宋体"/>
                <w:snapToGrid w:val="0"/>
                <w:color w:val="auto"/>
                <w:spacing w:val="-1"/>
                <w:kern w:val="0"/>
                <w:sz w:val="24"/>
                <w:szCs w:val="24"/>
                <w:lang w:eastAsia="en-US"/>
              </w:rPr>
              <w:t>动设备、绞盘机、架空索道等集材方式。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5"/>
                <w:kern w:val="0"/>
                <w:sz w:val="24"/>
                <w:szCs w:val="24"/>
                <w:lang w:eastAsia="en-US"/>
              </w:rPr>
              <w:t>剩余物清理：①采伐后要及时将可利用的木材运走，同时清理采伐剩</w:t>
            </w:r>
            <w:r>
              <w:rPr>
                <w:rFonts w:ascii="宋体" w:hAnsi="宋体" w:eastAsia="宋体" w:cs="宋体"/>
                <w:snapToGrid w:val="0"/>
                <w:color w:val="auto"/>
                <w:spacing w:val="-8"/>
                <w:kern w:val="0"/>
                <w:sz w:val="24"/>
                <w:szCs w:val="24"/>
                <w:lang w:eastAsia="en-US"/>
              </w:rPr>
              <w:t>余物。采伐剩余物可部分运出林地，对小的</w:t>
            </w:r>
            <w:r>
              <w:rPr>
                <w:rFonts w:hint="eastAsia" w:ascii="宋体" w:hAnsi="宋体" w:cs="宋体"/>
                <w:snapToGrid w:val="0"/>
                <w:color w:val="auto"/>
                <w:spacing w:val="-8"/>
                <w:kern w:val="0"/>
                <w:sz w:val="24"/>
                <w:szCs w:val="24"/>
                <w:lang w:eastAsia="zh-CN"/>
              </w:rPr>
              <w:t>枝丫</w:t>
            </w:r>
            <w:r>
              <w:rPr>
                <w:rFonts w:ascii="宋体" w:hAnsi="宋体" w:eastAsia="宋体" w:cs="宋体"/>
                <w:snapToGrid w:val="0"/>
                <w:color w:val="auto"/>
                <w:spacing w:val="-8"/>
                <w:kern w:val="0"/>
                <w:sz w:val="24"/>
                <w:szCs w:val="24"/>
                <w:lang w:eastAsia="en-US"/>
              </w:rPr>
              <w:t>等可沿等</w:t>
            </w:r>
            <w:r>
              <w:rPr>
                <w:rFonts w:ascii="宋体" w:hAnsi="宋体" w:eastAsia="宋体" w:cs="宋体"/>
                <w:snapToGrid w:val="0"/>
                <w:color w:val="auto"/>
                <w:spacing w:val="-9"/>
                <w:kern w:val="0"/>
                <w:sz w:val="24"/>
                <w:szCs w:val="24"/>
                <w:lang w:eastAsia="en-US"/>
              </w:rPr>
              <w:t>高线平铺在林内，</w:t>
            </w:r>
            <w:r>
              <w:rPr>
                <w:rFonts w:ascii="宋体" w:hAnsi="宋体" w:eastAsia="宋体" w:cs="宋体"/>
                <w:snapToGrid w:val="0"/>
                <w:color w:val="auto"/>
                <w:spacing w:val="-2"/>
                <w:kern w:val="0"/>
                <w:sz w:val="24"/>
                <w:szCs w:val="24"/>
                <w:lang w:eastAsia="en-US"/>
              </w:rPr>
              <w:t>或按一定间距均匀堆放在林内，以实现对降水的截留；有</w:t>
            </w:r>
            <w:r>
              <w:rPr>
                <w:rFonts w:ascii="宋体" w:hAnsi="宋体" w:eastAsia="宋体" w:cs="宋体"/>
                <w:snapToGrid w:val="0"/>
                <w:color w:val="auto"/>
                <w:spacing w:val="-3"/>
                <w:kern w:val="0"/>
                <w:sz w:val="24"/>
                <w:szCs w:val="24"/>
                <w:lang w:eastAsia="en-US"/>
              </w:rPr>
              <w:t>条件时，可粉碎</w:t>
            </w:r>
            <w:r>
              <w:rPr>
                <w:rFonts w:ascii="宋体" w:hAnsi="宋体" w:eastAsia="宋体" w:cs="宋体"/>
                <w:snapToGrid w:val="0"/>
                <w:color w:val="auto"/>
                <w:spacing w:val="-2"/>
                <w:kern w:val="0"/>
                <w:sz w:val="24"/>
                <w:szCs w:val="24"/>
                <w:lang w:eastAsia="en-US"/>
              </w:rPr>
              <w:t>后堆放于目标树根部坑中，促进采伐剩余物的分解和养分</w:t>
            </w:r>
            <w:r>
              <w:rPr>
                <w:rFonts w:ascii="宋体" w:hAnsi="宋体" w:eastAsia="宋体" w:cs="宋体"/>
                <w:snapToGrid w:val="0"/>
                <w:color w:val="auto"/>
                <w:spacing w:val="-3"/>
                <w:kern w:val="0"/>
                <w:sz w:val="24"/>
                <w:szCs w:val="24"/>
                <w:lang w:eastAsia="en-US"/>
              </w:rPr>
              <w:t>的归还。坡度较</w:t>
            </w:r>
            <w:r>
              <w:rPr>
                <w:rFonts w:ascii="宋体" w:hAnsi="宋体" w:eastAsia="宋体" w:cs="宋体"/>
                <w:snapToGrid w:val="0"/>
                <w:color w:val="auto"/>
                <w:spacing w:val="-2"/>
                <w:kern w:val="0"/>
                <w:sz w:val="24"/>
                <w:szCs w:val="24"/>
                <w:lang w:eastAsia="en-US"/>
              </w:rPr>
              <w:t>大情况下，可在目标树根部做反坡向的水肥坑（鱼鳞坑）并将采</w:t>
            </w:r>
            <w:r>
              <w:rPr>
                <w:rFonts w:ascii="宋体" w:hAnsi="宋体" w:eastAsia="宋体" w:cs="宋体"/>
                <w:snapToGrid w:val="0"/>
                <w:color w:val="auto"/>
                <w:spacing w:val="-3"/>
                <w:kern w:val="0"/>
                <w:sz w:val="24"/>
                <w:szCs w:val="24"/>
                <w:lang w:eastAsia="en-US"/>
              </w:rPr>
              <w:t>伐剩余物</w:t>
            </w:r>
            <w:r>
              <w:rPr>
                <w:rFonts w:ascii="宋体" w:hAnsi="宋体" w:eastAsia="宋体" w:cs="宋体"/>
                <w:snapToGrid w:val="0"/>
                <w:color w:val="auto"/>
                <w:spacing w:val="-2"/>
                <w:kern w:val="0"/>
                <w:sz w:val="24"/>
                <w:szCs w:val="24"/>
                <w:lang w:eastAsia="en-US"/>
              </w:rPr>
              <w:t>适当切碎堆埋于坑内。②对于感染林业检疫性有害生物及</w:t>
            </w:r>
            <w:r>
              <w:rPr>
                <w:rFonts w:ascii="宋体" w:hAnsi="宋体" w:eastAsia="宋体" w:cs="宋体"/>
                <w:snapToGrid w:val="0"/>
                <w:color w:val="auto"/>
                <w:spacing w:val="-3"/>
                <w:kern w:val="0"/>
                <w:sz w:val="24"/>
                <w:szCs w:val="24"/>
                <w:lang w:eastAsia="en-US"/>
              </w:rPr>
              <w:t>林业补充检疫性</w:t>
            </w:r>
            <w:r>
              <w:rPr>
                <w:rFonts w:ascii="宋体" w:hAnsi="宋体" w:eastAsia="宋体" w:cs="宋体"/>
                <w:snapToGrid w:val="0"/>
                <w:color w:val="auto"/>
                <w:spacing w:val="-2"/>
                <w:kern w:val="0"/>
                <w:sz w:val="24"/>
                <w:szCs w:val="24"/>
                <w:lang w:eastAsia="en-US"/>
              </w:rPr>
              <w:t>有害生物的林木、采伐剩余物等，要全株清理出林分，集</w:t>
            </w:r>
            <w:r>
              <w:rPr>
                <w:rFonts w:ascii="宋体" w:hAnsi="宋体" w:eastAsia="宋体" w:cs="宋体"/>
                <w:snapToGrid w:val="0"/>
                <w:color w:val="auto"/>
                <w:spacing w:val="-3"/>
                <w:kern w:val="0"/>
                <w:sz w:val="24"/>
                <w:szCs w:val="24"/>
                <w:lang w:eastAsia="en-US"/>
              </w:rPr>
              <w:t>中销毁，或集中</w:t>
            </w:r>
            <w:r>
              <w:rPr>
                <w:rFonts w:ascii="宋体" w:hAnsi="宋体" w:eastAsia="宋体" w:cs="宋体"/>
                <w:snapToGrid w:val="0"/>
                <w:color w:val="auto"/>
                <w:spacing w:val="-4"/>
                <w:kern w:val="0"/>
                <w:sz w:val="24"/>
                <w:szCs w:val="24"/>
                <w:lang w:eastAsia="en-US"/>
              </w:rPr>
              <w:t>深埋。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kern w:val="0"/>
                <w:sz w:val="24"/>
                <w:szCs w:val="24"/>
                <w:lang w:eastAsia="en-US"/>
              </w:rPr>
              <w:t>控制指标：伐后郁闭度控制为</w:t>
            </w:r>
            <w:r>
              <w:rPr>
                <w:rFonts w:ascii="Times New Roman" w:hAnsi="Times New Roman" w:eastAsia="Times New Roman" w:cs="Times New Roman"/>
                <w:snapToGrid w:val="0"/>
                <w:color w:val="auto"/>
                <w:kern w:val="0"/>
                <w:sz w:val="24"/>
                <w:szCs w:val="24"/>
                <w:lang w:eastAsia="en-US"/>
              </w:rPr>
              <w:t>0.5~0.7</w:t>
            </w:r>
            <w:r>
              <w:rPr>
                <w:rFonts w:ascii="宋体" w:hAnsi="宋体" w:eastAsia="宋体" w:cs="宋体"/>
                <w:snapToGrid w:val="0"/>
                <w:color w:val="auto"/>
                <w:kern w:val="0"/>
                <w:sz w:val="24"/>
                <w:szCs w:val="24"/>
                <w:lang w:eastAsia="en-US"/>
              </w:rPr>
              <w:t>，不能造成天窗；伐后林分平</w:t>
            </w:r>
            <w:r>
              <w:rPr>
                <w:rFonts w:ascii="宋体" w:hAnsi="宋体" w:eastAsia="宋体" w:cs="宋体"/>
                <w:snapToGrid w:val="0"/>
                <w:color w:val="auto"/>
                <w:spacing w:val="-1"/>
                <w:kern w:val="0"/>
                <w:sz w:val="24"/>
                <w:szCs w:val="24"/>
                <w:lang w:eastAsia="en-US"/>
              </w:rPr>
              <w:t>均胸径不低于伐前林分平均胸径。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5"/>
                <w:kern w:val="0"/>
                <w:sz w:val="24"/>
                <w:szCs w:val="24"/>
                <w:lang w:eastAsia="en-US"/>
              </w:rPr>
              <w:t>施工要求：采伐施工必须严格执行以下原则。①森林防火及病虫害防</w:t>
            </w:r>
            <w:r>
              <w:rPr>
                <w:rFonts w:ascii="宋体" w:hAnsi="宋体" w:eastAsia="宋体" w:cs="宋体"/>
                <w:snapToGrid w:val="0"/>
                <w:color w:val="auto"/>
                <w:spacing w:val="-2"/>
                <w:kern w:val="0"/>
                <w:sz w:val="24"/>
                <w:szCs w:val="24"/>
                <w:lang w:eastAsia="en-US"/>
              </w:rPr>
              <w:t>治：采伐时应结合割灌、除草、林道建设等修防火线，清除可燃物，</w:t>
            </w:r>
            <w:r>
              <w:rPr>
                <w:rFonts w:ascii="宋体" w:hAnsi="宋体" w:eastAsia="宋体" w:cs="宋体"/>
                <w:snapToGrid w:val="0"/>
                <w:color w:val="auto"/>
                <w:spacing w:val="-3"/>
                <w:kern w:val="0"/>
                <w:sz w:val="24"/>
                <w:szCs w:val="24"/>
                <w:lang w:eastAsia="en-US"/>
              </w:rPr>
              <w:t>同时</w:t>
            </w:r>
            <w:r>
              <w:rPr>
                <w:rFonts w:ascii="宋体" w:hAnsi="宋体" w:eastAsia="宋体" w:cs="宋体"/>
                <w:snapToGrid w:val="0"/>
                <w:color w:val="auto"/>
                <w:spacing w:val="-2"/>
                <w:kern w:val="0"/>
                <w:sz w:val="24"/>
                <w:szCs w:val="24"/>
                <w:lang w:eastAsia="en-US"/>
              </w:rPr>
              <w:t>将采伐的病虫害乔灌木清理出施工区，分批进行焚烧处理，增强</w:t>
            </w:r>
            <w:r>
              <w:rPr>
                <w:rFonts w:ascii="宋体" w:hAnsi="宋体" w:eastAsia="宋体" w:cs="宋体"/>
                <w:snapToGrid w:val="0"/>
                <w:color w:val="auto"/>
                <w:spacing w:val="-3"/>
                <w:kern w:val="0"/>
                <w:sz w:val="24"/>
                <w:szCs w:val="24"/>
                <w:lang w:eastAsia="en-US"/>
              </w:rPr>
              <w:t>森林抗御</w:t>
            </w:r>
            <w:r>
              <w:rPr>
                <w:rFonts w:ascii="宋体" w:hAnsi="宋体" w:eastAsia="宋体" w:cs="宋体"/>
                <w:snapToGrid w:val="0"/>
                <w:color w:val="auto"/>
                <w:spacing w:val="-2"/>
                <w:kern w:val="0"/>
                <w:sz w:val="24"/>
                <w:szCs w:val="24"/>
                <w:lang w:eastAsia="en-US"/>
              </w:rPr>
              <w:t>性。②野生动植物保护：采伐过程中要注意灌丛及树枝上的鸟</w:t>
            </w:r>
            <w:r>
              <w:rPr>
                <w:rFonts w:ascii="宋体" w:hAnsi="宋体" w:eastAsia="宋体" w:cs="宋体"/>
                <w:snapToGrid w:val="0"/>
                <w:color w:val="auto"/>
                <w:spacing w:val="-3"/>
                <w:kern w:val="0"/>
                <w:sz w:val="24"/>
                <w:szCs w:val="24"/>
                <w:lang w:eastAsia="en-US"/>
              </w:rPr>
              <w:t>巢及动物巢</w:t>
            </w:r>
            <w:r>
              <w:rPr>
                <w:rFonts w:ascii="宋体" w:hAnsi="宋体" w:eastAsia="宋体" w:cs="宋体"/>
                <w:snapToGrid w:val="0"/>
                <w:color w:val="auto"/>
                <w:spacing w:val="-2"/>
                <w:kern w:val="0"/>
                <w:sz w:val="24"/>
                <w:szCs w:val="24"/>
                <w:lang w:eastAsia="en-US"/>
              </w:rPr>
              <w:t>穴。灌丛中有鸟巢或动物巢穴的禁止采伐，树枝或树干上有鸟巢或动</w:t>
            </w:r>
            <w:r>
              <w:rPr>
                <w:rFonts w:ascii="宋体" w:hAnsi="宋体" w:eastAsia="宋体" w:cs="宋体"/>
                <w:snapToGrid w:val="0"/>
                <w:color w:val="auto"/>
                <w:spacing w:val="-3"/>
                <w:kern w:val="0"/>
                <w:sz w:val="24"/>
                <w:szCs w:val="24"/>
                <w:lang w:eastAsia="en-US"/>
              </w:rPr>
              <w:t>物巢</w:t>
            </w:r>
            <w:r>
              <w:rPr>
                <w:rFonts w:ascii="宋体" w:hAnsi="宋体" w:eastAsia="宋体" w:cs="宋体"/>
                <w:snapToGrid w:val="0"/>
                <w:color w:val="auto"/>
                <w:spacing w:val="-2"/>
                <w:kern w:val="0"/>
                <w:sz w:val="24"/>
                <w:szCs w:val="24"/>
                <w:lang w:eastAsia="en-US"/>
              </w:rPr>
              <w:t>穴的也不得修枝。有助于野生动物</w:t>
            </w:r>
            <w:r>
              <w:rPr>
                <w:rFonts w:hint="eastAsia" w:ascii="宋体" w:hAnsi="宋体" w:cs="宋体"/>
                <w:snapToGrid w:val="0"/>
                <w:color w:val="auto"/>
                <w:spacing w:val="-2"/>
                <w:kern w:val="0"/>
                <w:sz w:val="24"/>
                <w:szCs w:val="24"/>
                <w:lang w:eastAsia="zh-CN"/>
              </w:rPr>
              <w:t>隐蔽</w:t>
            </w:r>
            <w:r>
              <w:rPr>
                <w:rFonts w:ascii="宋体" w:hAnsi="宋体" w:eastAsia="宋体" w:cs="宋体"/>
                <w:snapToGrid w:val="0"/>
                <w:color w:val="auto"/>
                <w:spacing w:val="-2"/>
                <w:kern w:val="0"/>
                <w:sz w:val="24"/>
                <w:szCs w:val="24"/>
                <w:lang w:eastAsia="en-US"/>
              </w:rPr>
              <w:t>的林木及灌丛也应该保留。</w:t>
            </w:r>
            <w:r>
              <w:rPr>
                <w:rFonts w:ascii="宋体" w:hAnsi="宋体" w:eastAsia="宋体" w:cs="宋体"/>
                <w:snapToGrid w:val="0"/>
                <w:color w:val="auto"/>
                <w:spacing w:val="-3"/>
                <w:kern w:val="0"/>
                <w:sz w:val="24"/>
                <w:szCs w:val="24"/>
                <w:lang w:eastAsia="en-US"/>
              </w:rPr>
              <w:t>保留</w:t>
            </w:r>
            <w:r>
              <w:rPr>
                <w:rFonts w:ascii="宋体" w:hAnsi="宋体" w:eastAsia="宋体" w:cs="宋体"/>
                <w:snapToGrid w:val="0"/>
                <w:color w:val="auto"/>
                <w:spacing w:val="-2"/>
                <w:kern w:val="0"/>
                <w:sz w:val="24"/>
                <w:szCs w:val="24"/>
                <w:lang w:eastAsia="en-US"/>
              </w:rPr>
              <w:t>林地内发现的古树和国家、地方重点保护野生植物。③质量监督</w:t>
            </w:r>
            <w:r>
              <w:rPr>
                <w:rFonts w:ascii="宋体" w:hAnsi="宋体" w:eastAsia="宋体" w:cs="宋体"/>
                <w:snapToGrid w:val="0"/>
                <w:color w:val="auto"/>
                <w:spacing w:val="-3"/>
                <w:kern w:val="0"/>
                <w:sz w:val="24"/>
                <w:szCs w:val="24"/>
                <w:lang w:eastAsia="en-US"/>
              </w:rPr>
              <w:t>。质量监</w:t>
            </w:r>
            <w:r>
              <w:rPr>
                <w:rFonts w:ascii="宋体" w:hAnsi="宋体" w:eastAsia="宋体" w:cs="宋体"/>
                <w:snapToGrid w:val="0"/>
                <w:color w:val="auto"/>
                <w:spacing w:val="-2"/>
                <w:kern w:val="0"/>
                <w:sz w:val="24"/>
                <w:szCs w:val="24"/>
                <w:lang w:eastAsia="en-US"/>
              </w:rPr>
              <w:t>督组必须跟班作业，随时检查是否坚持采伐确定的原则，采伐强度是</w:t>
            </w:r>
            <w:r>
              <w:rPr>
                <w:rFonts w:ascii="宋体" w:hAnsi="宋体" w:eastAsia="宋体" w:cs="宋体"/>
                <w:snapToGrid w:val="0"/>
                <w:color w:val="auto"/>
                <w:spacing w:val="-3"/>
                <w:kern w:val="0"/>
                <w:sz w:val="24"/>
                <w:szCs w:val="24"/>
                <w:lang w:eastAsia="en-US"/>
              </w:rPr>
              <w:t>否合</w:t>
            </w:r>
            <w:r>
              <w:rPr>
                <w:rFonts w:ascii="宋体" w:hAnsi="宋体" w:eastAsia="宋体" w:cs="宋体"/>
                <w:snapToGrid w:val="0"/>
                <w:color w:val="auto"/>
                <w:spacing w:val="-2"/>
                <w:kern w:val="0"/>
                <w:sz w:val="24"/>
                <w:szCs w:val="24"/>
                <w:lang w:eastAsia="en-US"/>
              </w:rPr>
              <w:t>理，是否按要求砍伐，清运是否及时等，发现问题要及时停工整顿。</w:t>
            </w:r>
            <w:r>
              <w:rPr>
                <w:rFonts w:ascii="宋体" w:hAnsi="宋体" w:eastAsia="宋体" w:cs="宋体"/>
                <w:snapToGrid w:val="0"/>
                <w:color w:val="auto"/>
                <w:spacing w:val="-3"/>
                <w:kern w:val="0"/>
                <w:sz w:val="24"/>
                <w:szCs w:val="24"/>
                <w:lang w:eastAsia="en-US"/>
              </w:rPr>
              <w:t>④检</w:t>
            </w:r>
            <w:r>
              <w:rPr>
                <w:rFonts w:ascii="宋体" w:hAnsi="宋体" w:eastAsia="宋体" w:cs="宋体"/>
                <w:snapToGrid w:val="0"/>
                <w:color w:val="auto"/>
                <w:spacing w:val="-2"/>
                <w:kern w:val="0"/>
                <w:sz w:val="24"/>
                <w:szCs w:val="24"/>
                <w:lang w:eastAsia="en-US"/>
              </w:rPr>
              <w:t>查验收。采伐作业完成后，要组织检查组进行全面验收。验收合格后</w:t>
            </w:r>
            <w:r>
              <w:rPr>
                <w:rFonts w:ascii="宋体" w:hAnsi="宋体" w:eastAsia="宋体" w:cs="宋体"/>
                <w:snapToGrid w:val="0"/>
                <w:color w:val="auto"/>
                <w:spacing w:val="-3"/>
                <w:kern w:val="0"/>
                <w:sz w:val="24"/>
                <w:szCs w:val="24"/>
                <w:lang w:eastAsia="en-US"/>
              </w:rPr>
              <w:t>立即</w:t>
            </w:r>
            <w:r>
              <w:rPr>
                <w:rFonts w:ascii="宋体" w:hAnsi="宋体" w:eastAsia="宋体" w:cs="宋体"/>
                <w:snapToGrid w:val="0"/>
                <w:color w:val="auto"/>
                <w:spacing w:val="-2"/>
                <w:kern w:val="0"/>
                <w:sz w:val="24"/>
                <w:szCs w:val="24"/>
                <w:lang w:eastAsia="en-US"/>
              </w:rPr>
              <w:t>落实管护人员和措施，加强林木、林地保护和森林防火、病虫防治工作。⑤劳动组织由组织施工单位根据人员技术和能力情况，安排劳动组织</w:t>
            </w:r>
            <w:r>
              <w:rPr>
                <w:rFonts w:ascii="宋体" w:hAnsi="宋体" w:eastAsia="宋体" w:cs="宋体"/>
                <w:snapToGrid w:val="0"/>
                <w:color w:val="auto"/>
                <w:spacing w:val="-3"/>
                <w:kern w:val="0"/>
                <w:sz w:val="24"/>
                <w:szCs w:val="24"/>
                <w:lang w:eastAsia="en-US"/>
              </w:rPr>
              <w:t>方式</w:t>
            </w:r>
            <w:r>
              <w:rPr>
                <w:rFonts w:ascii="宋体" w:hAnsi="宋体" w:eastAsia="宋体" w:cs="宋体"/>
                <w:snapToGrid w:val="0"/>
                <w:color w:val="auto"/>
                <w:spacing w:val="-2"/>
                <w:kern w:val="0"/>
                <w:sz w:val="24"/>
                <w:szCs w:val="24"/>
                <w:lang w:eastAsia="en-US"/>
              </w:rPr>
              <w:t>和组合等。劳动力主要为项目作业区村组农民，安排过程中同等条件</w:t>
            </w:r>
            <w:r>
              <w:rPr>
                <w:rFonts w:ascii="宋体" w:hAnsi="宋体" w:eastAsia="宋体" w:cs="宋体"/>
                <w:snapToGrid w:val="0"/>
                <w:color w:val="auto"/>
                <w:spacing w:val="-3"/>
                <w:kern w:val="0"/>
                <w:sz w:val="24"/>
                <w:szCs w:val="24"/>
                <w:lang w:eastAsia="en-US"/>
              </w:rPr>
              <w:t>下优</w:t>
            </w:r>
            <w:r>
              <w:rPr>
                <w:rFonts w:ascii="宋体" w:hAnsi="宋体" w:eastAsia="宋体" w:cs="宋体"/>
                <w:snapToGrid w:val="0"/>
                <w:color w:val="auto"/>
                <w:spacing w:val="-2"/>
                <w:kern w:val="0"/>
                <w:sz w:val="24"/>
                <w:szCs w:val="24"/>
                <w:lang w:eastAsia="en-US"/>
              </w:rPr>
              <w:t>先照顾贫困户。⑥施工必须严格</w:t>
            </w:r>
            <w:r>
              <w:rPr>
                <w:rFonts w:hint="eastAsia" w:ascii="宋体" w:hAnsi="宋体" w:cs="宋体"/>
                <w:snapToGrid w:val="0"/>
                <w:color w:val="auto"/>
                <w:spacing w:val="-2"/>
                <w:kern w:val="0"/>
                <w:sz w:val="24"/>
                <w:szCs w:val="24"/>
                <w:lang w:eastAsia="zh-CN"/>
              </w:rPr>
              <w:t>按照</w:t>
            </w:r>
            <w:r>
              <w:rPr>
                <w:rFonts w:ascii="宋体" w:hAnsi="宋体" w:eastAsia="宋体" w:cs="宋体"/>
                <w:snapToGrid w:val="0"/>
                <w:color w:val="auto"/>
                <w:spacing w:val="-2"/>
                <w:kern w:val="0"/>
                <w:sz w:val="24"/>
                <w:szCs w:val="24"/>
                <w:lang w:eastAsia="en-US"/>
              </w:rPr>
              <w:t>作业设计及有关规程规范的要求进行。施工中，当地林业主管部门应派专人负责技术指导和质量检查，发现</w:t>
            </w:r>
            <w:r>
              <w:rPr>
                <w:rFonts w:ascii="宋体" w:hAnsi="宋体" w:eastAsia="宋体" w:cs="宋体"/>
                <w:snapToGrid w:val="0"/>
                <w:color w:val="auto"/>
                <w:spacing w:val="-3"/>
                <w:kern w:val="0"/>
                <w:sz w:val="24"/>
                <w:szCs w:val="24"/>
                <w:lang w:eastAsia="en-US"/>
              </w:rPr>
              <w:t>问题</w:t>
            </w:r>
            <w:r>
              <w:rPr>
                <w:rFonts w:ascii="宋体" w:hAnsi="宋体" w:eastAsia="宋体" w:cs="宋体"/>
                <w:snapToGrid w:val="0"/>
                <w:color w:val="auto"/>
                <w:spacing w:val="-8"/>
                <w:kern w:val="0"/>
                <w:sz w:val="24"/>
                <w:szCs w:val="24"/>
                <w:lang w:eastAsia="en-US"/>
              </w:rPr>
              <w:t>及时纠正。⑦严格按照本次设计的区域、面积、技术流程等内容要求施工。</w:t>
            </w:r>
            <w:r>
              <w:rPr>
                <w:rFonts w:ascii="宋体" w:hAnsi="宋体" w:eastAsia="宋体" w:cs="宋体"/>
                <w:snapToGrid w:val="0"/>
                <w:color w:val="auto"/>
                <w:spacing w:val="7"/>
                <w:kern w:val="0"/>
                <w:sz w:val="24"/>
                <w:szCs w:val="24"/>
                <w:lang w:eastAsia="en-US"/>
              </w:rPr>
              <w:t>⑧技术指导人员要在施工前、施工期等每个流程对施工人员进行</w:t>
            </w:r>
            <w:r>
              <w:rPr>
                <w:rFonts w:ascii="宋体" w:hAnsi="宋体" w:eastAsia="宋体" w:cs="宋体"/>
                <w:snapToGrid w:val="0"/>
                <w:color w:val="auto"/>
                <w:spacing w:val="6"/>
                <w:kern w:val="0"/>
                <w:sz w:val="24"/>
                <w:szCs w:val="24"/>
                <w:lang w:eastAsia="en-US"/>
              </w:rPr>
              <w:t>技术培</w:t>
            </w:r>
            <w:r>
              <w:rPr>
                <w:rFonts w:ascii="宋体" w:hAnsi="宋体" w:eastAsia="宋体" w:cs="宋体"/>
                <w:snapToGrid w:val="0"/>
                <w:color w:val="auto"/>
                <w:spacing w:val="-2"/>
                <w:kern w:val="0"/>
                <w:sz w:val="24"/>
                <w:szCs w:val="24"/>
                <w:lang w:eastAsia="en-US"/>
              </w:rPr>
              <w:t>训、技术示范和现场指导，保证施工人员掌握技术要求。⑨施工</w:t>
            </w:r>
            <w:r>
              <w:rPr>
                <w:rFonts w:ascii="宋体" w:hAnsi="宋体" w:eastAsia="宋体" w:cs="宋体"/>
                <w:snapToGrid w:val="0"/>
                <w:color w:val="auto"/>
                <w:spacing w:val="-3"/>
                <w:kern w:val="0"/>
                <w:sz w:val="24"/>
                <w:szCs w:val="24"/>
                <w:lang w:eastAsia="en-US"/>
              </w:rPr>
              <w:t>过程中要</w:t>
            </w:r>
            <w:r>
              <w:rPr>
                <w:rFonts w:ascii="宋体" w:hAnsi="宋体" w:eastAsia="宋体" w:cs="宋体"/>
                <w:snapToGrid w:val="0"/>
                <w:color w:val="auto"/>
                <w:spacing w:val="-8"/>
                <w:kern w:val="0"/>
                <w:sz w:val="24"/>
                <w:szCs w:val="24"/>
                <w:lang w:eastAsia="en-US"/>
              </w:rPr>
              <w:t>做好对原有植被的保护工作，做好防火、施工安全等工作，避免事故发生。</w:t>
            </w:r>
            <w:r>
              <w:rPr>
                <w:rFonts w:ascii="宋体" w:hAnsi="宋体" w:eastAsia="宋体" w:cs="宋体"/>
                <w:snapToGrid w:val="0"/>
                <w:color w:val="auto"/>
                <w:spacing w:val="-2"/>
                <w:kern w:val="0"/>
                <w:sz w:val="24"/>
                <w:szCs w:val="24"/>
                <w:lang w:eastAsia="en-US"/>
              </w:rPr>
              <w:t>⑩在施工每个环节和过程都要严格管理和监督，对发现不符合要求或</w:t>
            </w:r>
            <w:r>
              <w:rPr>
                <w:rFonts w:ascii="宋体" w:hAnsi="宋体" w:eastAsia="宋体" w:cs="宋体"/>
                <w:snapToGrid w:val="0"/>
                <w:color w:val="auto"/>
                <w:spacing w:val="-3"/>
                <w:kern w:val="0"/>
                <w:sz w:val="24"/>
                <w:szCs w:val="24"/>
                <w:lang w:eastAsia="en-US"/>
              </w:rPr>
              <w:t>质量</w:t>
            </w:r>
            <w:r>
              <w:rPr>
                <w:rFonts w:ascii="宋体" w:hAnsi="宋体" w:eastAsia="宋体" w:cs="宋体"/>
                <w:snapToGrid w:val="0"/>
                <w:color w:val="auto"/>
                <w:spacing w:val="-1"/>
                <w:kern w:val="0"/>
                <w:sz w:val="24"/>
                <w:szCs w:val="24"/>
                <w:lang w:eastAsia="en-US"/>
              </w:rPr>
              <w:t>达不到标准的，必须及时进行返工。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3</w:t>
            </w:r>
            <w:r>
              <w:rPr>
                <w:rFonts w:ascii="宋体" w:hAnsi="宋体" w:eastAsia="宋体" w:cs="宋体"/>
                <w:snapToGrid w:val="0"/>
                <w:color w:val="auto"/>
                <w:spacing w:val="-2"/>
                <w:kern w:val="0"/>
                <w:sz w:val="24"/>
                <w:szCs w:val="24"/>
                <w:lang w:eastAsia="en-US"/>
              </w:rPr>
              <w:t>）补植设计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kern w:val="0"/>
                <w:sz w:val="24"/>
                <w:szCs w:val="24"/>
                <w:lang w:eastAsia="en-US"/>
              </w:rPr>
              <w:t>补植树种：提质培优型（涉及模型编号</w:t>
            </w:r>
            <w:r>
              <w:rPr>
                <w:rFonts w:ascii="Times New Roman" w:hAnsi="Times New Roman" w:eastAsia="Times New Roman" w:cs="Times New Roman"/>
                <w:snapToGrid w:val="0"/>
                <w:color w:val="auto"/>
                <w:kern w:val="0"/>
                <w:sz w:val="24"/>
                <w:szCs w:val="24"/>
                <w:lang w:eastAsia="en-US"/>
              </w:rPr>
              <w:t>GP01-</w:t>
            </w:r>
            <w:r>
              <w:rPr>
                <w:rFonts w:ascii="宋体" w:hAnsi="宋体" w:eastAsia="宋体" w:cs="宋体"/>
                <w:snapToGrid w:val="0"/>
                <w:color w:val="auto"/>
                <w:kern w:val="0"/>
                <w:sz w:val="24"/>
                <w:szCs w:val="24"/>
                <w:lang w:eastAsia="en-US"/>
              </w:rPr>
              <w:t>新</w:t>
            </w:r>
            <w:r>
              <w:rPr>
                <w:rFonts w:ascii="Times New Roman" w:hAnsi="Times New Roman" w:eastAsia="Times New Roman" w:cs="Times New Roman"/>
                <w:snapToGrid w:val="0"/>
                <w:color w:val="auto"/>
                <w:kern w:val="0"/>
                <w:sz w:val="24"/>
                <w:szCs w:val="24"/>
                <w:lang w:eastAsia="en-US"/>
              </w:rPr>
              <w:t>-1</w:t>
            </w:r>
            <w:r>
              <w:rPr>
                <w:rFonts w:ascii="宋体" w:hAnsi="宋体" w:eastAsia="宋体" w:cs="宋体"/>
                <w:snapToGrid w:val="0"/>
                <w:color w:val="auto"/>
                <w:kern w:val="0"/>
                <w:sz w:val="24"/>
                <w:szCs w:val="24"/>
                <w:lang w:eastAsia="en-US"/>
              </w:rPr>
              <w:t>至</w:t>
            </w:r>
            <w:r>
              <w:rPr>
                <w:rFonts w:ascii="Times New Roman" w:hAnsi="Times New Roman" w:eastAsia="Times New Roman" w:cs="Times New Roman"/>
                <w:snapToGrid w:val="0"/>
                <w:color w:val="auto"/>
                <w:kern w:val="0"/>
                <w:sz w:val="24"/>
                <w:szCs w:val="24"/>
                <w:lang w:eastAsia="en-US"/>
              </w:rPr>
              <w:t>GP01-</w:t>
            </w:r>
            <w:r>
              <w:rPr>
                <w:rFonts w:ascii="宋体" w:hAnsi="宋体" w:eastAsia="宋体" w:cs="宋体"/>
                <w:snapToGrid w:val="0"/>
                <w:color w:val="auto"/>
                <w:kern w:val="0"/>
                <w:sz w:val="24"/>
                <w:szCs w:val="24"/>
                <w:lang w:eastAsia="en-US"/>
              </w:rPr>
              <w:t>新</w:t>
            </w:r>
            <w:r>
              <w:rPr>
                <w:rFonts w:ascii="Times New Roman" w:hAnsi="Times New Roman" w:eastAsia="Times New Roman" w:cs="Times New Roman"/>
                <w:snapToGrid w:val="0"/>
                <w:color w:val="auto"/>
                <w:kern w:val="0"/>
                <w:sz w:val="24"/>
                <w:szCs w:val="24"/>
                <w:lang w:eastAsia="en-US"/>
              </w:rPr>
              <w:t>-3</w:t>
            </w:r>
            <w:r>
              <w:rPr>
                <w:rFonts w:ascii="宋体" w:hAnsi="宋体" w:eastAsia="宋体" w:cs="宋体"/>
                <w:snapToGrid w:val="0"/>
                <w:color w:val="auto"/>
                <w:kern w:val="0"/>
                <w:sz w:val="24"/>
                <w:szCs w:val="24"/>
                <w:lang w:eastAsia="en-US"/>
              </w:rPr>
              <w:t>）补</w:t>
            </w:r>
            <w:r>
              <w:rPr>
                <w:rFonts w:ascii="宋体" w:hAnsi="宋体" w:eastAsia="宋体" w:cs="宋体"/>
                <w:snapToGrid w:val="0"/>
                <w:color w:val="auto"/>
                <w:spacing w:val="-3"/>
                <w:kern w:val="0"/>
                <w:sz w:val="24"/>
                <w:szCs w:val="24"/>
                <w:lang w:eastAsia="en-US"/>
              </w:rPr>
              <w:t>植树种栾树</w:t>
            </w:r>
            <w:r>
              <w:rPr>
                <w:rFonts w:ascii="Times New Roman" w:hAnsi="Times New Roman" w:eastAsia="Times New Roman" w:cs="Times New Roman"/>
                <w:snapToGrid w:val="0"/>
                <w:color w:val="auto"/>
                <w:spacing w:val="-3"/>
                <w:kern w:val="0"/>
                <w:sz w:val="24"/>
                <w:szCs w:val="24"/>
                <w:lang w:eastAsia="en-US"/>
              </w:rPr>
              <w:t>+</w:t>
            </w:r>
            <w:r>
              <w:rPr>
                <w:rFonts w:ascii="宋体" w:hAnsi="宋体" w:eastAsia="宋体" w:cs="宋体"/>
                <w:snapToGrid w:val="0"/>
                <w:color w:val="auto"/>
                <w:spacing w:val="-3"/>
                <w:kern w:val="0"/>
                <w:sz w:val="24"/>
                <w:szCs w:val="24"/>
                <w:lang w:eastAsia="en-US"/>
              </w:rPr>
              <w:t>黄连木</w:t>
            </w:r>
            <w:r>
              <w:rPr>
                <w:rFonts w:ascii="Times New Roman" w:hAnsi="Times New Roman" w:eastAsia="Times New Roman" w:cs="Times New Roman"/>
                <w:snapToGrid w:val="0"/>
                <w:color w:val="auto"/>
                <w:spacing w:val="-3"/>
                <w:kern w:val="0"/>
                <w:sz w:val="24"/>
                <w:szCs w:val="24"/>
                <w:lang w:eastAsia="en-US"/>
              </w:rPr>
              <w:t>+</w:t>
            </w:r>
            <w:r>
              <w:rPr>
                <w:rFonts w:ascii="宋体" w:hAnsi="宋体" w:eastAsia="宋体" w:cs="宋体"/>
                <w:snapToGrid w:val="0"/>
                <w:color w:val="auto"/>
                <w:spacing w:val="-3"/>
                <w:kern w:val="0"/>
                <w:sz w:val="24"/>
                <w:szCs w:val="24"/>
                <w:lang w:eastAsia="en-US"/>
              </w:rPr>
              <w:t>刺槐或栾树</w:t>
            </w:r>
            <w:r>
              <w:rPr>
                <w:rFonts w:ascii="Times New Roman" w:hAnsi="Times New Roman" w:eastAsia="Times New Roman" w:cs="Times New Roman"/>
                <w:snapToGrid w:val="0"/>
                <w:color w:val="auto"/>
                <w:spacing w:val="-3"/>
                <w:kern w:val="0"/>
                <w:sz w:val="24"/>
                <w:szCs w:val="24"/>
                <w:lang w:eastAsia="en-US"/>
              </w:rPr>
              <w:t>+</w:t>
            </w:r>
            <w:r>
              <w:rPr>
                <w:rFonts w:ascii="宋体" w:hAnsi="宋体" w:eastAsia="宋体" w:cs="宋体"/>
                <w:snapToGrid w:val="0"/>
                <w:color w:val="auto"/>
                <w:spacing w:val="-3"/>
                <w:kern w:val="0"/>
                <w:sz w:val="24"/>
                <w:szCs w:val="24"/>
                <w:lang w:eastAsia="en-US"/>
              </w:rPr>
              <w:t>青冈</w:t>
            </w:r>
            <w:r>
              <w:rPr>
                <w:rFonts w:ascii="Times New Roman" w:hAnsi="Times New Roman" w:eastAsia="Times New Roman" w:cs="Times New Roman"/>
                <w:snapToGrid w:val="0"/>
                <w:color w:val="auto"/>
                <w:spacing w:val="-3"/>
                <w:kern w:val="0"/>
                <w:sz w:val="24"/>
                <w:szCs w:val="24"/>
                <w:lang w:eastAsia="en-US"/>
              </w:rPr>
              <w:t>+</w:t>
            </w:r>
            <w:r>
              <w:rPr>
                <w:rFonts w:ascii="宋体" w:hAnsi="宋体" w:eastAsia="宋体" w:cs="宋体"/>
                <w:snapToGrid w:val="0"/>
                <w:color w:val="auto"/>
                <w:spacing w:val="-3"/>
                <w:kern w:val="0"/>
                <w:sz w:val="24"/>
                <w:szCs w:val="24"/>
                <w:lang w:eastAsia="en-US"/>
              </w:rPr>
              <w:t>香椿，树种组成均为</w:t>
            </w:r>
            <w:r>
              <w:rPr>
                <w:rFonts w:ascii="Times New Roman" w:hAnsi="Times New Roman" w:eastAsia="Times New Roman" w:cs="Times New Roman"/>
                <w:snapToGrid w:val="0"/>
                <w:color w:val="auto"/>
                <w:spacing w:val="-3"/>
                <w:kern w:val="0"/>
                <w:sz w:val="24"/>
                <w:szCs w:val="24"/>
                <w:lang w:eastAsia="en-US"/>
              </w:rPr>
              <w:t>6</w:t>
            </w:r>
            <w:r>
              <w:rPr>
                <w:rFonts w:ascii="宋体" w:hAnsi="宋体" w:eastAsia="宋体" w:cs="宋体"/>
                <w:snapToGrid w:val="0"/>
                <w:color w:val="auto"/>
                <w:spacing w:val="-3"/>
                <w:kern w:val="0"/>
                <w:sz w:val="24"/>
                <w:szCs w:val="24"/>
                <w:lang w:eastAsia="en-US"/>
              </w:rPr>
              <w:t>：</w:t>
            </w:r>
            <w:r>
              <w:rPr>
                <w:rFonts w:ascii="Times New Roman" w:hAnsi="Times New Roman" w:eastAsia="Times New Roman" w:cs="Times New Roman"/>
                <w:snapToGrid w:val="0"/>
                <w:color w:val="auto"/>
                <w:spacing w:val="-3"/>
                <w:kern w:val="0"/>
                <w:sz w:val="24"/>
                <w:szCs w:val="24"/>
                <w:lang w:eastAsia="en-US"/>
              </w:rPr>
              <w:t>2</w:t>
            </w:r>
            <w:r>
              <w:rPr>
                <w:rFonts w:ascii="宋体" w:hAnsi="宋体" w:eastAsia="宋体" w:cs="宋体"/>
                <w:snapToGrid w:val="0"/>
                <w:color w:val="auto"/>
                <w:spacing w:val="-3"/>
                <w:kern w:val="0"/>
                <w:sz w:val="24"/>
                <w:szCs w:val="24"/>
                <w:lang w:eastAsia="en-US"/>
              </w:rPr>
              <w:t>：</w:t>
            </w:r>
            <w:r>
              <w:rPr>
                <w:rFonts w:ascii="Times New Roman" w:hAnsi="Times New Roman" w:eastAsia="Times New Roman" w:cs="Times New Roman"/>
                <w:snapToGrid w:val="0"/>
                <w:color w:val="auto"/>
                <w:spacing w:val="-4"/>
                <w:kern w:val="0"/>
                <w:sz w:val="24"/>
                <w:szCs w:val="24"/>
                <w:lang w:eastAsia="en-US"/>
              </w:rPr>
              <w:t>2</w:t>
            </w:r>
            <w:r>
              <w:rPr>
                <w:rFonts w:ascii="宋体" w:hAnsi="宋体" w:eastAsia="宋体" w:cs="宋体"/>
                <w:snapToGrid w:val="0"/>
                <w:color w:val="auto"/>
                <w:spacing w:val="-4"/>
                <w:kern w:val="0"/>
                <w:sz w:val="24"/>
                <w:szCs w:val="24"/>
                <w:lang w:eastAsia="en-US"/>
              </w:rPr>
              <w:t>，改</w:t>
            </w:r>
            <w:r>
              <w:rPr>
                <w:rFonts w:ascii="宋体" w:hAnsi="宋体" w:eastAsia="宋体" w:cs="宋体"/>
                <w:snapToGrid w:val="0"/>
                <w:color w:val="auto"/>
                <w:spacing w:val="-2"/>
                <w:kern w:val="0"/>
                <w:sz w:val="24"/>
                <w:szCs w:val="24"/>
                <w:lang w:eastAsia="en-US"/>
              </w:rPr>
              <w:t>造培育型（涉及模型编号</w:t>
            </w:r>
            <w:r>
              <w:rPr>
                <w:rFonts w:ascii="Times New Roman" w:hAnsi="Times New Roman" w:eastAsia="Times New Roman" w:cs="Times New Roman"/>
                <w:snapToGrid w:val="0"/>
                <w:color w:val="auto"/>
                <w:spacing w:val="-2"/>
                <w:kern w:val="0"/>
                <w:sz w:val="24"/>
                <w:szCs w:val="24"/>
                <w:lang w:eastAsia="en-US"/>
              </w:rPr>
              <w:t>GP02-</w:t>
            </w:r>
            <w:r>
              <w:rPr>
                <w:rFonts w:ascii="宋体" w:hAnsi="宋体" w:eastAsia="宋体" w:cs="宋体"/>
                <w:snapToGrid w:val="0"/>
                <w:color w:val="auto"/>
                <w:spacing w:val="-2"/>
                <w:kern w:val="0"/>
                <w:sz w:val="24"/>
                <w:szCs w:val="24"/>
                <w:lang w:eastAsia="en-US"/>
              </w:rPr>
              <w:t>新</w:t>
            </w:r>
            <w:r>
              <w:rPr>
                <w:rFonts w:ascii="Times New Roman" w:hAnsi="Times New Roman" w:eastAsia="Times New Roman" w:cs="Times New Roman"/>
                <w:snapToGrid w:val="0"/>
                <w:color w:val="auto"/>
                <w:spacing w:val="-2"/>
                <w:kern w:val="0"/>
                <w:sz w:val="24"/>
                <w:szCs w:val="24"/>
                <w:lang w:eastAsia="en-US"/>
              </w:rPr>
              <w:t>-1</w:t>
            </w:r>
            <w:r>
              <w:rPr>
                <w:rFonts w:ascii="宋体" w:hAnsi="宋体" w:eastAsia="宋体" w:cs="宋体"/>
                <w:snapToGrid w:val="0"/>
                <w:color w:val="auto"/>
                <w:spacing w:val="-2"/>
                <w:kern w:val="0"/>
                <w:sz w:val="24"/>
                <w:szCs w:val="24"/>
                <w:lang w:eastAsia="en-US"/>
              </w:rPr>
              <w:t>至</w:t>
            </w:r>
            <w:r>
              <w:rPr>
                <w:rFonts w:ascii="Times New Roman" w:hAnsi="Times New Roman" w:eastAsia="Times New Roman" w:cs="Times New Roman"/>
                <w:snapToGrid w:val="0"/>
                <w:color w:val="auto"/>
                <w:spacing w:val="-2"/>
                <w:kern w:val="0"/>
                <w:sz w:val="24"/>
                <w:szCs w:val="24"/>
                <w:lang w:eastAsia="en-US"/>
              </w:rPr>
              <w:t>GP02-</w:t>
            </w:r>
            <w:r>
              <w:rPr>
                <w:rFonts w:ascii="宋体" w:hAnsi="宋体" w:eastAsia="宋体" w:cs="宋体"/>
                <w:snapToGrid w:val="0"/>
                <w:color w:val="auto"/>
                <w:spacing w:val="-2"/>
                <w:kern w:val="0"/>
                <w:sz w:val="24"/>
                <w:szCs w:val="24"/>
                <w:lang w:eastAsia="en-US"/>
              </w:rPr>
              <w:t>新</w:t>
            </w:r>
            <w:r>
              <w:rPr>
                <w:rFonts w:ascii="Times New Roman" w:hAnsi="Times New Roman" w:eastAsia="Times New Roman" w:cs="Times New Roman"/>
                <w:snapToGrid w:val="0"/>
                <w:color w:val="auto"/>
                <w:spacing w:val="-2"/>
                <w:kern w:val="0"/>
                <w:sz w:val="24"/>
                <w:szCs w:val="24"/>
                <w:lang w:eastAsia="en-US"/>
              </w:rPr>
              <w:t>-5</w:t>
            </w:r>
            <w:r>
              <w:rPr>
                <w:rFonts w:ascii="宋体" w:hAnsi="宋体" w:eastAsia="宋体" w:cs="宋体"/>
                <w:snapToGrid w:val="0"/>
                <w:color w:val="auto"/>
                <w:spacing w:val="-2"/>
                <w:kern w:val="0"/>
                <w:sz w:val="24"/>
                <w:szCs w:val="24"/>
                <w:lang w:eastAsia="en-US"/>
              </w:rPr>
              <w:t>）补植树种栾树</w:t>
            </w:r>
            <w:r>
              <w:rPr>
                <w:rFonts w:ascii="Times New Roman" w:hAnsi="Times New Roman" w:eastAsia="Times New Roman" w:cs="Times New Roman"/>
                <w:snapToGrid w:val="0"/>
                <w:color w:val="auto"/>
                <w:spacing w:val="-2"/>
                <w:kern w:val="0"/>
                <w:sz w:val="24"/>
                <w:szCs w:val="24"/>
                <w:lang w:eastAsia="en-US"/>
              </w:rPr>
              <w:t>+</w:t>
            </w:r>
            <w:r>
              <w:rPr>
                <w:rFonts w:ascii="宋体" w:hAnsi="宋体" w:eastAsia="宋体" w:cs="宋体"/>
                <w:snapToGrid w:val="0"/>
                <w:color w:val="auto"/>
                <w:spacing w:val="-2"/>
                <w:kern w:val="0"/>
                <w:sz w:val="24"/>
                <w:szCs w:val="24"/>
                <w:lang w:eastAsia="en-US"/>
              </w:rPr>
              <w:t>黄连木</w:t>
            </w:r>
            <w:r>
              <w:rPr>
                <w:rFonts w:ascii="Times New Roman" w:hAnsi="Times New Roman" w:eastAsia="Times New Roman" w:cs="Times New Roman"/>
                <w:snapToGrid w:val="0"/>
                <w:color w:val="auto"/>
                <w:spacing w:val="-7"/>
                <w:kern w:val="0"/>
                <w:sz w:val="24"/>
                <w:szCs w:val="24"/>
                <w:lang w:eastAsia="en-US"/>
              </w:rPr>
              <w:t>+</w:t>
            </w:r>
            <w:r>
              <w:rPr>
                <w:rFonts w:ascii="宋体" w:hAnsi="宋体" w:eastAsia="宋体" w:cs="宋体"/>
                <w:snapToGrid w:val="0"/>
                <w:color w:val="auto"/>
                <w:spacing w:val="-7"/>
                <w:kern w:val="0"/>
                <w:sz w:val="24"/>
                <w:szCs w:val="24"/>
                <w:lang w:eastAsia="en-US"/>
              </w:rPr>
              <w:t>刺槐，树种组成</w:t>
            </w:r>
            <w:r>
              <w:rPr>
                <w:rFonts w:ascii="Times New Roman" w:hAnsi="Times New Roman" w:eastAsia="Times New Roman" w:cs="Times New Roman"/>
                <w:snapToGrid w:val="0"/>
                <w:color w:val="auto"/>
                <w:spacing w:val="-7"/>
                <w:kern w:val="0"/>
                <w:sz w:val="24"/>
                <w:szCs w:val="24"/>
                <w:lang w:eastAsia="en-US"/>
              </w:rPr>
              <w:t>6</w:t>
            </w:r>
            <w:r>
              <w:rPr>
                <w:rFonts w:ascii="宋体" w:hAnsi="宋体" w:eastAsia="宋体" w:cs="宋体"/>
                <w:snapToGrid w:val="0"/>
                <w:color w:val="auto"/>
                <w:spacing w:val="-7"/>
                <w:kern w:val="0"/>
                <w:sz w:val="24"/>
                <w:szCs w:val="24"/>
                <w:lang w:eastAsia="en-US"/>
              </w:rPr>
              <w:t>：</w:t>
            </w:r>
            <w:r>
              <w:rPr>
                <w:rFonts w:ascii="Times New Roman" w:hAnsi="Times New Roman" w:eastAsia="Times New Roman" w:cs="Times New Roman"/>
                <w:snapToGrid w:val="0"/>
                <w:color w:val="auto"/>
                <w:spacing w:val="-7"/>
                <w:kern w:val="0"/>
                <w:sz w:val="24"/>
                <w:szCs w:val="24"/>
                <w:lang w:eastAsia="en-US"/>
              </w:rPr>
              <w:t>2</w:t>
            </w:r>
            <w:r>
              <w:rPr>
                <w:rFonts w:ascii="宋体" w:hAnsi="宋体" w:eastAsia="宋体" w:cs="宋体"/>
                <w:snapToGrid w:val="0"/>
                <w:color w:val="auto"/>
                <w:spacing w:val="-7"/>
                <w:kern w:val="0"/>
                <w:sz w:val="24"/>
                <w:szCs w:val="24"/>
                <w:lang w:eastAsia="en-US"/>
              </w:rPr>
              <w:t>：</w:t>
            </w:r>
            <w:r>
              <w:rPr>
                <w:rFonts w:ascii="Times New Roman" w:hAnsi="Times New Roman" w:eastAsia="Times New Roman" w:cs="Times New Roman"/>
                <w:snapToGrid w:val="0"/>
                <w:color w:val="auto"/>
                <w:spacing w:val="-7"/>
                <w:kern w:val="0"/>
                <w:sz w:val="24"/>
                <w:szCs w:val="24"/>
                <w:lang w:eastAsia="en-US"/>
              </w:rPr>
              <w:t>2</w:t>
            </w:r>
            <w:r>
              <w:rPr>
                <w:rFonts w:ascii="宋体" w:hAnsi="宋体" w:eastAsia="宋体" w:cs="宋体"/>
                <w:snapToGrid w:val="0"/>
                <w:color w:val="auto"/>
                <w:spacing w:val="-7"/>
                <w:kern w:val="0"/>
                <w:sz w:val="24"/>
                <w:szCs w:val="24"/>
                <w:lang w:eastAsia="en-US"/>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补植方式：带状</w:t>
            </w:r>
            <w:r>
              <w:rPr>
                <w:rFonts w:ascii="Times New Roman" w:hAnsi="Times New Roman" w:eastAsia="Times New Roman" w:cs="Times New Roman"/>
                <w:snapToGrid w:val="0"/>
                <w:color w:val="auto"/>
                <w:spacing w:val="-1"/>
                <w:kern w:val="0"/>
                <w:sz w:val="24"/>
                <w:szCs w:val="24"/>
                <w:lang w:eastAsia="en-US"/>
              </w:rPr>
              <w:t>/</w:t>
            </w:r>
            <w:r>
              <w:rPr>
                <w:rFonts w:ascii="宋体" w:hAnsi="宋体" w:eastAsia="宋体" w:cs="宋体"/>
                <w:snapToGrid w:val="0"/>
                <w:color w:val="auto"/>
                <w:spacing w:val="-1"/>
                <w:kern w:val="0"/>
                <w:sz w:val="24"/>
                <w:szCs w:val="24"/>
                <w:lang w:eastAsia="en-US"/>
              </w:rPr>
              <w:t>随机群团状混交。</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kern w:val="0"/>
                <w:sz w:val="24"/>
                <w:szCs w:val="24"/>
                <w:lang w:eastAsia="en-US"/>
              </w:rPr>
              <w:t>补植密度：提质培优型（涉及模型编号</w:t>
            </w:r>
            <w:r>
              <w:rPr>
                <w:rFonts w:ascii="Times New Roman" w:hAnsi="Times New Roman" w:eastAsia="Times New Roman" w:cs="Times New Roman"/>
                <w:snapToGrid w:val="0"/>
                <w:color w:val="auto"/>
                <w:kern w:val="0"/>
                <w:sz w:val="24"/>
                <w:szCs w:val="24"/>
                <w:lang w:eastAsia="en-US"/>
              </w:rPr>
              <w:t>GP01-</w:t>
            </w:r>
            <w:r>
              <w:rPr>
                <w:rFonts w:ascii="宋体" w:hAnsi="宋体" w:eastAsia="宋体" w:cs="宋体"/>
                <w:snapToGrid w:val="0"/>
                <w:color w:val="auto"/>
                <w:kern w:val="0"/>
                <w:sz w:val="24"/>
                <w:szCs w:val="24"/>
                <w:lang w:eastAsia="en-US"/>
              </w:rPr>
              <w:t>新</w:t>
            </w:r>
            <w:r>
              <w:rPr>
                <w:rFonts w:ascii="Times New Roman" w:hAnsi="Times New Roman" w:eastAsia="Times New Roman" w:cs="Times New Roman"/>
                <w:snapToGrid w:val="0"/>
                <w:color w:val="auto"/>
                <w:kern w:val="0"/>
                <w:sz w:val="24"/>
                <w:szCs w:val="24"/>
                <w:lang w:eastAsia="en-US"/>
              </w:rPr>
              <w:t>-1</w:t>
            </w:r>
            <w:r>
              <w:rPr>
                <w:rFonts w:ascii="宋体" w:hAnsi="宋体" w:eastAsia="宋体" w:cs="宋体"/>
                <w:snapToGrid w:val="0"/>
                <w:color w:val="auto"/>
                <w:kern w:val="0"/>
                <w:sz w:val="24"/>
                <w:szCs w:val="24"/>
                <w:lang w:eastAsia="en-US"/>
              </w:rPr>
              <w:t>至</w:t>
            </w:r>
            <w:r>
              <w:rPr>
                <w:rFonts w:ascii="Times New Roman" w:hAnsi="Times New Roman" w:eastAsia="Times New Roman" w:cs="Times New Roman"/>
                <w:snapToGrid w:val="0"/>
                <w:color w:val="auto"/>
                <w:kern w:val="0"/>
                <w:sz w:val="24"/>
                <w:szCs w:val="24"/>
                <w:lang w:eastAsia="en-US"/>
              </w:rPr>
              <w:t>GP01-</w:t>
            </w:r>
            <w:r>
              <w:rPr>
                <w:rFonts w:ascii="宋体" w:hAnsi="宋体" w:eastAsia="宋体" w:cs="宋体"/>
                <w:snapToGrid w:val="0"/>
                <w:color w:val="auto"/>
                <w:kern w:val="0"/>
                <w:sz w:val="24"/>
                <w:szCs w:val="24"/>
                <w:lang w:eastAsia="en-US"/>
              </w:rPr>
              <w:t>新</w:t>
            </w:r>
            <w:r>
              <w:rPr>
                <w:rFonts w:ascii="Times New Roman" w:hAnsi="Times New Roman" w:eastAsia="Times New Roman" w:cs="Times New Roman"/>
                <w:snapToGrid w:val="0"/>
                <w:color w:val="auto"/>
                <w:kern w:val="0"/>
                <w:sz w:val="24"/>
                <w:szCs w:val="24"/>
                <w:lang w:eastAsia="en-US"/>
              </w:rPr>
              <w:t>-3</w:t>
            </w:r>
            <w:r>
              <w:rPr>
                <w:rFonts w:ascii="宋体" w:hAnsi="宋体" w:eastAsia="宋体" w:cs="宋体"/>
                <w:snapToGrid w:val="0"/>
                <w:color w:val="auto"/>
                <w:kern w:val="0"/>
                <w:sz w:val="24"/>
                <w:szCs w:val="24"/>
                <w:lang w:eastAsia="en-US"/>
              </w:rPr>
              <w:t>）补</w:t>
            </w:r>
            <w:r>
              <w:rPr>
                <w:rFonts w:ascii="宋体" w:hAnsi="宋体" w:eastAsia="宋体" w:cs="宋体"/>
                <w:snapToGrid w:val="0"/>
                <w:color w:val="auto"/>
                <w:spacing w:val="-5"/>
                <w:kern w:val="0"/>
                <w:sz w:val="24"/>
                <w:szCs w:val="24"/>
                <w:lang w:eastAsia="en-US"/>
              </w:rPr>
              <w:t>植密度</w:t>
            </w:r>
            <w:r>
              <w:rPr>
                <w:rFonts w:ascii="Times New Roman" w:hAnsi="Times New Roman" w:eastAsia="Times New Roman" w:cs="Times New Roman"/>
                <w:snapToGrid w:val="0"/>
                <w:color w:val="auto"/>
                <w:spacing w:val="-5"/>
                <w:kern w:val="0"/>
                <w:sz w:val="24"/>
                <w:szCs w:val="24"/>
                <w:lang w:eastAsia="en-US"/>
              </w:rPr>
              <w:t>20</w:t>
            </w:r>
            <w:r>
              <w:rPr>
                <w:rFonts w:ascii="宋体" w:hAnsi="宋体" w:eastAsia="宋体" w:cs="宋体"/>
                <w:snapToGrid w:val="0"/>
                <w:color w:val="auto"/>
                <w:spacing w:val="-5"/>
                <w:kern w:val="0"/>
                <w:sz w:val="24"/>
                <w:szCs w:val="24"/>
                <w:lang w:eastAsia="en-US"/>
              </w:rPr>
              <w:t>株</w:t>
            </w:r>
            <w:r>
              <w:rPr>
                <w:rFonts w:ascii="Times New Roman" w:hAnsi="Times New Roman" w:eastAsia="Times New Roman" w:cs="Times New Roman"/>
                <w:snapToGrid w:val="0"/>
                <w:color w:val="auto"/>
                <w:spacing w:val="-5"/>
                <w:kern w:val="0"/>
                <w:sz w:val="24"/>
                <w:szCs w:val="24"/>
                <w:lang w:eastAsia="en-US"/>
              </w:rPr>
              <w:t>/</w:t>
            </w:r>
            <w:r>
              <w:rPr>
                <w:rFonts w:ascii="宋体" w:hAnsi="宋体" w:eastAsia="宋体" w:cs="宋体"/>
                <w:snapToGrid w:val="0"/>
                <w:color w:val="auto"/>
                <w:spacing w:val="-5"/>
                <w:kern w:val="0"/>
                <w:sz w:val="24"/>
                <w:szCs w:val="24"/>
                <w:lang w:eastAsia="en-US"/>
              </w:rPr>
              <w:t>亩</w:t>
            </w:r>
            <w:r>
              <w:rPr>
                <w:rFonts w:ascii="Times New Roman" w:hAnsi="Times New Roman" w:eastAsia="Times New Roman" w:cs="Times New Roman"/>
                <w:snapToGrid w:val="0"/>
                <w:color w:val="auto"/>
                <w:spacing w:val="-5"/>
                <w:kern w:val="0"/>
                <w:sz w:val="24"/>
                <w:szCs w:val="24"/>
                <w:lang w:eastAsia="en-US"/>
              </w:rPr>
              <w:t>-34</w:t>
            </w:r>
            <w:r>
              <w:rPr>
                <w:rFonts w:ascii="宋体" w:hAnsi="宋体" w:eastAsia="宋体" w:cs="宋体"/>
                <w:snapToGrid w:val="0"/>
                <w:color w:val="auto"/>
                <w:spacing w:val="-5"/>
                <w:kern w:val="0"/>
                <w:sz w:val="24"/>
                <w:szCs w:val="24"/>
                <w:lang w:eastAsia="en-US"/>
              </w:rPr>
              <w:t>株</w:t>
            </w:r>
            <w:r>
              <w:rPr>
                <w:rFonts w:ascii="Times New Roman" w:hAnsi="Times New Roman" w:eastAsia="Times New Roman" w:cs="Times New Roman"/>
                <w:snapToGrid w:val="0"/>
                <w:color w:val="auto"/>
                <w:spacing w:val="-5"/>
                <w:kern w:val="0"/>
                <w:sz w:val="24"/>
                <w:szCs w:val="24"/>
                <w:lang w:eastAsia="en-US"/>
              </w:rPr>
              <w:t>/</w:t>
            </w:r>
            <w:r>
              <w:rPr>
                <w:rFonts w:ascii="宋体" w:hAnsi="宋体" w:eastAsia="宋体" w:cs="宋体"/>
                <w:snapToGrid w:val="0"/>
                <w:color w:val="auto"/>
                <w:spacing w:val="-5"/>
                <w:kern w:val="0"/>
                <w:sz w:val="24"/>
                <w:szCs w:val="24"/>
                <w:lang w:eastAsia="en-US"/>
              </w:rPr>
              <w:t>亩。改造培育型（涉及模型编号</w:t>
            </w:r>
            <w:r>
              <w:rPr>
                <w:rFonts w:ascii="Times New Roman" w:hAnsi="Times New Roman" w:eastAsia="Times New Roman" w:cs="Times New Roman"/>
                <w:snapToGrid w:val="0"/>
                <w:color w:val="auto"/>
                <w:spacing w:val="-5"/>
                <w:kern w:val="0"/>
                <w:sz w:val="24"/>
                <w:szCs w:val="24"/>
                <w:lang w:eastAsia="en-US"/>
              </w:rPr>
              <w:t>GP02-</w:t>
            </w:r>
            <w:r>
              <w:rPr>
                <w:rFonts w:ascii="宋体" w:hAnsi="宋体" w:eastAsia="宋体" w:cs="宋体"/>
                <w:snapToGrid w:val="0"/>
                <w:color w:val="auto"/>
                <w:spacing w:val="-5"/>
                <w:kern w:val="0"/>
                <w:sz w:val="24"/>
                <w:szCs w:val="24"/>
                <w:lang w:eastAsia="en-US"/>
              </w:rPr>
              <w:t>新</w:t>
            </w:r>
            <w:r>
              <w:rPr>
                <w:rFonts w:ascii="Times New Roman" w:hAnsi="Times New Roman" w:eastAsia="Times New Roman" w:cs="Times New Roman"/>
                <w:snapToGrid w:val="0"/>
                <w:color w:val="auto"/>
                <w:spacing w:val="-5"/>
                <w:kern w:val="0"/>
                <w:sz w:val="24"/>
                <w:szCs w:val="24"/>
                <w:lang w:eastAsia="en-US"/>
              </w:rPr>
              <w:t>-1</w:t>
            </w:r>
            <w:r>
              <w:rPr>
                <w:rFonts w:ascii="宋体" w:hAnsi="宋体" w:eastAsia="宋体" w:cs="宋体"/>
                <w:snapToGrid w:val="0"/>
                <w:color w:val="auto"/>
                <w:spacing w:val="-5"/>
                <w:kern w:val="0"/>
                <w:sz w:val="24"/>
                <w:szCs w:val="24"/>
                <w:lang w:eastAsia="en-US"/>
              </w:rPr>
              <w:t>至</w:t>
            </w:r>
            <w:r>
              <w:rPr>
                <w:rFonts w:ascii="Times New Roman" w:hAnsi="Times New Roman" w:eastAsia="Times New Roman" w:cs="Times New Roman"/>
                <w:snapToGrid w:val="0"/>
                <w:color w:val="auto"/>
                <w:spacing w:val="-5"/>
                <w:kern w:val="0"/>
                <w:sz w:val="24"/>
                <w:szCs w:val="24"/>
                <w:lang w:eastAsia="en-US"/>
              </w:rPr>
              <w:t>GP02-</w:t>
            </w:r>
            <w:r>
              <w:rPr>
                <w:rFonts w:ascii="宋体" w:hAnsi="宋体" w:eastAsia="宋体" w:cs="宋体"/>
                <w:snapToGrid w:val="0"/>
                <w:color w:val="auto"/>
                <w:spacing w:val="-1"/>
                <w:kern w:val="0"/>
                <w:sz w:val="24"/>
                <w:szCs w:val="24"/>
                <w:lang w:eastAsia="en-US"/>
              </w:rPr>
              <w:t>新</w:t>
            </w:r>
            <w:r>
              <w:rPr>
                <w:rFonts w:ascii="Times New Roman" w:hAnsi="Times New Roman" w:eastAsia="Times New Roman" w:cs="Times New Roman"/>
                <w:snapToGrid w:val="0"/>
                <w:color w:val="auto"/>
                <w:spacing w:val="-1"/>
                <w:kern w:val="0"/>
                <w:sz w:val="24"/>
                <w:szCs w:val="24"/>
                <w:lang w:eastAsia="en-US"/>
              </w:rPr>
              <w:t>-5</w:t>
            </w:r>
            <w:r>
              <w:rPr>
                <w:rFonts w:ascii="宋体" w:hAnsi="宋体" w:eastAsia="宋体" w:cs="宋体"/>
                <w:snapToGrid w:val="0"/>
                <w:color w:val="auto"/>
                <w:spacing w:val="-1"/>
                <w:kern w:val="0"/>
                <w:sz w:val="24"/>
                <w:szCs w:val="24"/>
                <w:lang w:eastAsia="en-US"/>
              </w:rPr>
              <w:t>）补植密度</w:t>
            </w:r>
            <w:r>
              <w:rPr>
                <w:rFonts w:ascii="Times New Roman" w:hAnsi="Times New Roman" w:eastAsia="Times New Roman" w:cs="Times New Roman"/>
                <w:snapToGrid w:val="0"/>
                <w:color w:val="auto"/>
                <w:spacing w:val="-1"/>
                <w:kern w:val="0"/>
                <w:sz w:val="24"/>
                <w:szCs w:val="24"/>
                <w:lang w:eastAsia="en-US"/>
              </w:rPr>
              <w:t>18</w:t>
            </w:r>
            <w:r>
              <w:rPr>
                <w:rFonts w:ascii="宋体" w:hAnsi="宋体" w:eastAsia="宋体" w:cs="宋体"/>
                <w:snapToGrid w:val="0"/>
                <w:color w:val="auto"/>
                <w:spacing w:val="-1"/>
                <w:kern w:val="0"/>
                <w:sz w:val="24"/>
                <w:szCs w:val="24"/>
                <w:lang w:eastAsia="en-US"/>
              </w:rPr>
              <w:t>株</w:t>
            </w:r>
            <w:r>
              <w:rPr>
                <w:rFonts w:ascii="Times New Roman" w:hAnsi="Times New Roman" w:eastAsia="Times New Roman" w:cs="Times New Roman"/>
                <w:snapToGrid w:val="0"/>
                <w:color w:val="auto"/>
                <w:spacing w:val="-1"/>
                <w:kern w:val="0"/>
                <w:sz w:val="24"/>
                <w:szCs w:val="24"/>
                <w:lang w:eastAsia="en-US"/>
              </w:rPr>
              <w:t>/</w:t>
            </w:r>
            <w:r>
              <w:rPr>
                <w:rFonts w:ascii="宋体" w:hAnsi="宋体" w:eastAsia="宋体" w:cs="宋体"/>
                <w:snapToGrid w:val="0"/>
                <w:color w:val="auto"/>
                <w:spacing w:val="-1"/>
                <w:kern w:val="0"/>
                <w:sz w:val="24"/>
                <w:szCs w:val="24"/>
                <w:lang w:eastAsia="en-US"/>
              </w:rPr>
              <w:t>亩</w:t>
            </w:r>
            <w:r>
              <w:rPr>
                <w:rFonts w:ascii="Times New Roman" w:hAnsi="Times New Roman" w:eastAsia="Times New Roman" w:cs="Times New Roman"/>
                <w:snapToGrid w:val="0"/>
                <w:color w:val="auto"/>
                <w:spacing w:val="-1"/>
                <w:kern w:val="0"/>
                <w:sz w:val="24"/>
                <w:szCs w:val="24"/>
                <w:lang w:eastAsia="en-US"/>
              </w:rPr>
              <w:t>-30</w:t>
            </w:r>
            <w:r>
              <w:rPr>
                <w:rFonts w:ascii="宋体" w:hAnsi="宋体" w:eastAsia="宋体" w:cs="宋体"/>
                <w:snapToGrid w:val="0"/>
                <w:color w:val="auto"/>
                <w:spacing w:val="-1"/>
                <w:kern w:val="0"/>
                <w:sz w:val="24"/>
                <w:szCs w:val="24"/>
                <w:lang w:eastAsia="en-US"/>
              </w:rPr>
              <w:t>株</w:t>
            </w:r>
            <w:r>
              <w:rPr>
                <w:rFonts w:ascii="Times New Roman" w:hAnsi="Times New Roman" w:eastAsia="Times New Roman" w:cs="Times New Roman"/>
                <w:snapToGrid w:val="0"/>
                <w:color w:val="auto"/>
                <w:spacing w:val="-1"/>
                <w:kern w:val="0"/>
                <w:sz w:val="24"/>
                <w:szCs w:val="24"/>
                <w:lang w:eastAsia="en-US"/>
              </w:rPr>
              <w:t>/</w:t>
            </w:r>
            <w:r>
              <w:rPr>
                <w:rFonts w:ascii="宋体" w:hAnsi="宋体" w:eastAsia="宋体" w:cs="宋体"/>
                <w:snapToGrid w:val="0"/>
                <w:color w:val="auto"/>
                <w:spacing w:val="-1"/>
                <w:kern w:val="0"/>
                <w:sz w:val="24"/>
                <w:szCs w:val="24"/>
                <w:lang w:eastAsia="en-US"/>
              </w:rPr>
              <w:t>亩。</w:t>
            </w:r>
            <w:r>
              <w:rPr>
                <w:rFonts w:ascii="宋体" w:hAnsi="宋体" w:eastAsia="宋体" w:cs="宋体"/>
                <w:snapToGrid w:val="0"/>
                <w:color w:val="auto"/>
                <w:spacing w:val="-2"/>
                <w:kern w:val="0"/>
                <w:sz w:val="24"/>
                <w:szCs w:val="24"/>
                <w:lang w:eastAsia="en-US"/>
              </w:rPr>
              <w:t>每个小班根据经营方向、现有株数和该类林分所处年龄阶段合理密度调整补植密度，补</w:t>
            </w:r>
            <w:r>
              <w:rPr>
                <w:rFonts w:ascii="宋体" w:hAnsi="宋体" w:eastAsia="宋体" w:cs="宋体"/>
                <w:snapToGrid w:val="0"/>
                <w:color w:val="auto"/>
                <w:spacing w:val="-3"/>
                <w:kern w:val="0"/>
                <w:sz w:val="24"/>
                <w:szCs w:val="24"/>
                <w:lang w:eastAsia="en-US"/>
              </w:rPr>
              <w:t>植后密</w:t>
            </w:r>
            <w:r>
              <w:rPr>
                <w:rFonts w:ascii="宋体" w:hAnsi="宋体" w:eastAsia="宋体" w:cs="宋体"/>
                <w:snapToGrid w:val="0"/>
                <w:color w:val="auto"/>
                <w:spacing w:val="-2"/>
                <w:kern w:val="0"/>
                <w:sz w:val="24"/>
                <w:szCs w:val="24"/>
                <w:lang w:eastAsia="en-US"/>
              </w:rPr>
              <w:t>度应达到该类林分合理密度的</w:t>
            </w:r>
            <w:r>
              <w:rPr>
                <w:rFonts w:ascii="Times New Roman" w:hAnsi="Times New Roman" w:eastAsia="Times New Roman" w:cs="Times New Roman"/>
                <w:snapToGrid w:val="0"/>
                <w:color w:val="auto"/>
                <w:spacing w:val="-2"/>
                <w:kern w:val="0"/>
                <w:sz w:val="24"/>
                <w:szCs w:val="24"/>
                <w:lang w:eastAsia="en-US"/>
              </w:rPr>
              <w:t>85%</w:t>
            </w:r>
            <w:r>
              <w:rPr>
                <w:rFonts w:ascii="宋体" w:hAnsi="宋体" w:eastAsia="宋体" w:cs="宋体"/>
                <w:snapToGrid w:val="0"/>
                <w:color w:val="auto"/>
                <w:spacing w:val="-2"/>
                <w:kern w:val="0"/>
                <w:sz w:val="24"/>
                <w:szCs w:val="24"/>
                <w:lang w:eastAsia="en-US"/>
              </w:rPr>
              <w:t>以上。</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jc w:val="both"/>
              <w:textAlignment w:val="auto"/>
              <w:rPr>
                <w:rFonts w:hint="eastAsia" w:ascii="Times New Roman" w:hAnsi="Times New Roman" w:eastAsia="宋体" w:cs="Times New Roman"/>
                <w:b/>
                <w:bCs/>
                <w:snapToGrid/>
                <w:color w:val="auto"/>
                <w:kern w:val="2"/>
                <w:sz w:val="24"/>
                <w:szCs w:val="24"/>
                <w:lang w:val="en-US" w:eastAsia="en-US" w:bidi="ar-SA"/>
              </w:rPr>
            </w:pPr>
            <w:r>
              <w:rPr>
                <w:rFonts w:hint="eastAsia" w:ascii="Times New Roman" w:hAnsi="Times New Roman" w:eastAsia="宋体" w:cs="Times New Roman"/>
                <w:b/>
                <w:bCs/>
                <w:snapToGrid/>
                <w:color w:val="auto"/>
                <w:kern w:val="2"/>
                <w:sz w:val="24"/>
                <w:szCs w:val="24"/>
                <w:lang w:val="en-US" w:eastAsia="en-US" w:bidi="ar-SA"/>
              </w:rPr>
              <w:t>3</w:t>
            </w:r>
            <w:r>
              <w:rPr>
                <w:rFonts w:hint="eastAsia" w:ascii="Times New Roman" w:hAnsi="Times New Roman" w:eastAsia="宋体" w:cs="Times New Roman"/>
                <w:b/>
                <w:bCs/>
                <w:snapToGrid/>
                <w:color w:val="auto"/>
                <w:kern w:val="2"/>
                <w:sz w:val="24"/>
                <w:szCs w:val="24"/>
                <w:lang w:val="en-US" w:eastAsia="zh-CN" w:bidi="ar-SA"/>
              </w:rPr>
              <w:t>、</w:t>
            </w:r>
            <w:r>
              <w:rPr>
                <w:rFonts w:hint="eastAsia" w:ascii="Times New Roman" w:hAnsi="Times New Roman" w:eastAsia="宋体" w:cs="Times New Roman"/>
                <w:b/>
                <w:bCs/>
                <w:snapToGrid/>
                <w:color w:val="auto"/>
                <w:kern w:val="2"/>
                <w:sz w:val="24"/>
                <w:szCs w:val="24"/>
                <w:lang w:val="en-US" w:eastAsia="en-US" w:bidi="ar-SA"/>
              </w:rPr>
              <w:t>中幼龄林抚育</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left"/>
              <w:textAlignment w:val="baseline"/>
              <w:outlineLvl w:val="3"/>
              <w:rPr>
                <w:rFonts w:ascii="宋体" w:hAnsi="宋体" w:eastAsia="宋体" w:cs="宋体"/>
                <w:snapToGrid w:val="0"/>
                <w:color w:val="auto"/>
                <w:kern w:val="0"/>
                <w:sz w:val="24"/>
                <w:szCs w:val="24"/>
                <w:lang w:eastAsia="en-US"/>
              </w:rPr>
            </w:pPr>
            <w:r>
              <w:rPr>
                <w:rFonts w:ascii="宋体" w:hAnsi="宋体" w:eastAsia="宋体" w:cs="宋体"/>
                <w:b/>
                <w:bCs/>
                <w:snapToGrid w:val="0"/>
                <w:color w:val="auto"/>
                <w:spacing w:val="-4"/>
                <w:kern w:val="0"/>
                <w:sz w:val="24"/>
                <w:szCs w:val="24"/>
                <w:lang w:eastAsia="en-US"/>
              </w:rPr>
              <w:t>（</w:t>
            </w:r>
            <w:r>
              <w:rPr>
                <w:rFonts w:ascii="Times New Roman" w:hAnsi="Times New Roman" w:eastAsia="Times New Roman" w:cs="Times New Roman"/>
                <w:b/>
                <w:bCs/>
                <w:snapToGrid w:val="0"/>
                <w:color w:val="auto"/>
                <w:spacing w:val="-4"/>
                <w:kern w:val="0"/>
                <w:sz w:val="24"/>
                <w:szCs w:val="24"/>
                <w:lang w:eastAsia="en-US"/>
              </w:rPr>
              <w:t>1</w:t>
            </w:r>
            <w:r>
              <w:rPr>
                <w:rFonts w:ascii="宋体" w:hAnsi="宋体" w:eastAsia="宋体" w:cs="宋体"/>
                <w:b/>
                <w:bCs/>
                <w:snapToGrid w:val="0"/>
                <w:color w:val="auto"/>
                <w:spacing w:val="-4"/>
                <w:kern w:val="0"/>
                <w:sz w:val="24"/>
                <w:szCs w:val="24"/>
                <w:lang w:eastAsia="en-US"/>
              </w:rPr>
              <w:t>）抚育范围与规模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中幼龄林抚育总规模</w:t>
            </w:r>
            <w:r>
              <w:rPr>
                <w:rFonts w:ascii="Times New Roman" w:hAnsi="Times New Roman" w:eastAsia="Times New Roman" w:cs="Times New Roman"/>
                <w:snapToGrid w:val="0"/>
                <w:color w:val="auto"/>
                <w:spacing w:val="1"/>
                <w:kern w:val="0"/>
                <w:sz w:val="24"/>
                <w:szCs w:val="24"/>
                <w:lang w:eastAsia="en-US"/>
              </w:rPr>
              <w:t>65502.67</w:t>
            </w:r>
            <w:r>
              <w:rPr>
                <w:rFonts w:ascii="宋体" w:hAnsi="宋体" w:eastAsia="宋体" w:cs="宋体"/>
                <w:snapToGrid w:val="0"/>
                <w:color w:val="auto"/>
                <w:spacing w:val="1"/>
                <w:kern w:val="0"/>
                <w:sz w:val="24"/>
                <w:szCs w:val="24"/>
                <w:lang w:eastAsia="en-US"/>
              </w:rPr>
              <w:t>亩，涉及</w:t>
            </w:r>
            <w:r>
              <w:rPr>
                <w:rFonts w:hint="eastAsia" w:eastAsia="宋体" w:cs="Times New Roman"/>
                <w:snapToGrid w:val="0"/>
                <w:color w:val="auto"/>
                <w:kern w:val="0"/>
                <w:sz w:val="24"/>
                <w:szCs w:val="24"/>
                <w:lang w:val="en-US" w:eastAsia="zh-CN"/>
              </w:rPr>
              <w:t>19</w:t>
            </w:r>
            <w:r>
              <w:rPr>
                <w:rFonts w:ascii="宋体" w:hAnsi="宋体" w:eastAsia="宋体" w:cs="宋体"/>
                <w:snapToGrid w:val="0"/>
                <w:color w:val="auto"/>
                <w:kern w:val="0"/>
                <w:sz w:val="24"/>
                <w:szCs w:val="24"/>
                <w:lang w:eastAsia="en-US"/>
              </w:rPr>
              <w:t>个乡镇</w:t>
            </w:r>
            <w:r>
              <w:rPr>
                <w:rFonts w:ascii="Times New Roman" w:hAnsi="Times New Roman" w:eastAsia="Times New Roman" w:cs="Times New Roman"/>
                <w:snapToGrid w:val="0"/>
                <w:color w:val="auto"/>
                <w:kern w:val="0"/>
                <w:sz w:val="24"/>
                <w:szCs w:val="24"/>
                <w:lang w:eastAsia="en-US"/>
              </w:rPr>
              <w:t>247</w:t>
            </w:r>
            <w:r>
              <w:rPr>
                <w:rFonts w:ascii="宋体" w:hAnsi="宋体" w:eastAsia="宋体" w:cs="宋体"/>
                <w:snapToGrid w:val="0"/>
                <w:color w:val="auto"/>
                <w:kern w:val="0"/>
                <w:sz w:val="24"/>
                <w:szCs w:val="24"/>
                <w:lang w:eastAsia="en-US"/>
              </w:rPr>
              <w:t>个村</w:t>
            </w:r>
            <w:r>
              <w:rPr>
                <w:rFonts w:ascii="宋体" w:hAnsi="宋体" w:eastAsia="宋体" w:cs="宋体"/>
                <w:snapToGrid w:val="0"/>
                <w:color w:val="auto"/>
                <w:spacing w:val="2"/>
                <w:kern w:val="0"/>
                <w:sz w:val="24"/>
                <w:szCs w:val="24"/>
                <w:lang w:eastAsia="en-US"/>
              </w:rPr>
              <w:t>（社区）</w:t>
            </w:r>
            <w:r>
              <w:rPr>
                <w:rFonts w:ascii="Times New Roman" w:hAnsi="Times New Roman" w:eastAsia="Times New Roman" w:cs="Times New Roman"/>
                <w:snapToGrid w:val="0"/>
                <w:color w:val="auto"/>
                <w:spacing w:val="2"/>
                <w:kern w:val="0"/>
                <w:sz w:val="24"/>
                <w:szCs w:val="24"/>
                <w:lang w:eastAsia="en-US"/>
              </w:rPr>
              <w:t>2848</w:t>
            </w:r>
            <w:r>
              <w:rPr>
                <w:rFonts w:ascii="宋体" w:hAnsi="宋体" w:eastAsia="宋体" w:cs="宋体"/>
                <w:snapToGrid w:val="0"/>
                <w:color w:val="auto"/>
                <w:spacing w:val="2"/>
                <w:kern w:val="0"/>
                <w:sz w:val="24"/>
                <w:szCs w:val="24"/>
                <w:lang w:eastAsia="en-US"/>
              </w:rPr>
              <w:t>个小班，各乡镇（街道）建设规模见</w:t>
            </w:r>
            <w:r>
              <w:rPr>
                <w:rFonts w:hint="default" w:ascii="Times New Roman" w:hAnsi="Times New Roman" w:cs="Times New Roman"/>
                <w:snapToGrid w:val="0"/>
                <w:color w:val="auto"/>
                <w:spacing w:val="2"/>
                <w:kern w:val="0"/>
                <w:sz w:val="24"/>
                <w:szCs w:val="24"/>
                <w:lang w:eastAsia="zh-CN"/>
              </w:rPr>
              <w:t>表2</w:t>
            </w:r>
            <w:r>
              <w:rPr>
                <w:rFonts w:hint="default" w:ascii="Times New Roman" w:hAnsi="Times New Roman" w:eastAsia="Times New Roman" w:cs="Times New Roman"/>
                <w:snapToGrid w:val="0"/>
                <w:color w:val="auto"/>
                <w:spacing w:val="2"/>
                <w:kern w:val="0"/>
                <w:sz w:val="24"/>
                <w:szCs w:val="24"/>
                <w:lang w:eastAsia="en-US"/>
              </w:rPr>
              <w:t>-1</w:t>
            </w:r>
            <w:r>
              <w:rPr>
                <w:rFonts w:hint="eastAsia" w:cs="Times New Roman"/>
                <w:snapToGrid w:val="0"/>
                <w:color w:val="auto"/>
                <w:spacing w:val="2"/>
                <w:kern w:val="0"/>
                <w:sz w:val="24"/>
                <w:szCs w:val="24"/>
                <w:lang w:val="en-US" w:eastAsia="zh-CN"/>
              </w:rPr>
              <w:t>3</w:t>
            </w:r>
            <w:r>
              <w:rPr>
                <w:rFonts w:hint="default" w:ascii="Times New Roman" w:hAnsi="Times New Roman" w:eastAsia="宋体" w:cs="Times New Roman"/>
                <w:snapToGrid w:val="0"/>
                <w:color w:val="auto"/>
                <w:spacing w:val="2"/>
                <w:kern w:val="0"/>
                <w:sz w:val="24"/>
                <w:szCs w:val="24"/>
                <w:lang w:eastAsia="en-US"/>
              </w:rPr>
              <w:t>。</w:t>
            </w:r>
            <w:r>
              <w:rPr>
                <w:rFonts w:ascii="宋体" w:hAnsi="宋体" w:eastAsia="宋体" w:cs="宋体"/>
                <w:snapToGrid w:val="0"/>
                <w:color w:val="auto"/>
                <w:spacing w:val="2"/>
                <w:kern w:val="0"/>
                <w:sz w:val="24"/>
                <w:szCs w:val="24"/>
                <w:lang w:eastAsia="en-US"/>
              </w:rPr>
              <w:t>抚育方</w:t>
            </w:r>
            <w:r>
              <w:rPr>
                <w:rFonts w:ascii="宋体" w:hAnsi="宋体" w:eastAsia="宋体" w:cs="宋体"/>
                <w:snapToGrid w:val="0"/>
                <w:color w:val="auto"/>
                <w:spacing w:val="1"/>
                <w:kern w:val="0"/>
                <w:sz w:val="24"/>
                <w:szCs w:val="24"/>
                <w:lang w:eastAsia="en-US"/>
              </w:rPr>
              <w:t>式</w:t>
            </w:r>
            <w:r>
              <w:rPr>
                <w:rFonts w:ascii="Times New Roman" w:hAnsi="Times New Roman" w:eastAsia="Times New Roman" w:cs="Times New Roman"/>
                <w:snapToGrid w:val="0"/>
                <w:color w:val="auto"/>
                <w:spacing w:val="1"/>
                <w:kern w:val="0"/>
                <w:sz w:val="24"/>
                <w:szCs w:val="24"/>
                <w:lang w:eastAsia="en-US"/>
              </w:rPr>
              <w:t>1</w:t>
            </w:r>
            <w:r>
              <w:rPr>
                <w:rFonts w:ascii="宋体" w:hAnsi="宋体" w:eastAsia="宋体" w:cs="宋体"/>
                <w:snapToGrid w:val="0"/>
                <w:color w:val="auto"/>
                <w:spacing w:val="-3"/>
                <w:kern w:val="0"/>
                <w:sz w:val="24"/>
                <w:szCs w:val="24"/>
                <w:lang w:eastAsia="en-US"/>
              </w:rPr>
              <w:t>透光伐（模型编号</w:t>
            </w:r>
            <w:r>
              <w:rPr>
                <w:rFonts w:ascii="Times New Roman" w:hAnsi="Times New Roman" w:eastAsia="Times New Roman" w:cs="Times New Roman"/>
                <w:snapToGrid w:val="0"/>
                <w:color w:val="auto"/>
                <w:spacing w:val="-3"/>
                <w:kern w:val="0"/>
                <w:sz w:val="24"/>
                <w:szCs w:val="24"/>
                <w:lang w:eastAsia="en-US"/>
              </w:rPr>
              <w:t>FY01-</w:t>
            </w:r>
            <w:r>
              <w:rPr>
                <w:rFonts w:ascii="宋体" w:hAnsi="宋体" w:eastAsia="宋体" w:cs="宋体"/>
                <w:snapToGrid w:val="0"/>
                <w:color w:val="auto"/>
                <w:spacing w:val="-3"/>
                <w:kern w:val="0"/>
                <w:sz w:val="24"/>
                <w:szCs w:val="24"/>
                <w:lang w:eastAsia="en-US"/>
              </w:rPr>
              <w:t>新</w:t>
            </w:r>
            <w:r>
              <w:rPr>
                <w:rFonts w:ascii="Times New Roman" w:hAnsi="Times New Roman" w:eastAsia="Times New Roman" w:cs="Times New Roman"/>
                <w:snapToGrid w:val="0"/>
                <w:color w:val="auto"/>
                <w:spacing w:val="-3"/>
                <w:kern w:val="0"/>
                <w:sz w:val="24"/>
                <w:szCs w:val="24"/>
                <w:lang w:eastAsia="en-US"/>
              </w:rPr>
              <w:t>-1</w:t>
            </w:r>
            <w:r>
              <w:rPr>
                <w:rFonts w:ascii="宋体" w:hAnsi="宋体" w:eastAsia="宋体" w:cs="宋体"/>
                <w:snapToGrid w:val="0"/>
                <w:color w:val="auto"/>
                <w:spacing w:val="-3"/>
                <w:kern w:val="0"/>
                <w:sz w:val="24"/>
                <w:szCs w:val="24"/>
                <w:lang w:eastAsia="en-US"/>
              </w:rPr>
              <w:t>至</w:t>
            </w:r>
            <w:r>
              <w:rPr>
                <w:rFonts w:ascii="Times New Roman" w:hAnsi="Times New Roman" w:eastAsia="Times New Roman" w:cs="Times New Roman"/>
                <w:snapToGrid w:val="0"/>
                <w:color w:val="auto"/>
                <w:spacing w:val="-3"/>
                <w:kern w:val="0"/>
                <w:sz w:val="24"/>
                <w:szCs w:val="24"/>
                <w:lang w:eastAsia="en-US"/>
              </w:rPr>
              <w:t>FY01-</w:t>
            </w:r>
            <w:r>
              <w:rPr>
                <w:rFonts w:ascii="宋体" w:hAnsi="宋体" w:eastAsia="宋体" w:cs="宋体"/>
                <w:snapToGrid w:val="0"/>
                <w:color w:val="auto"/>
                <w:spacing w:val="-4"/>
                <w:kern w:val="0"/>
                <w:sz w:val="24"/>
                <w:szCs w:val="24"/>
                <w:lang w:eastAsia="en-US"/>
              </w:rPr>
              <w:t>新</w:t>
            </w:r>
            <w:r>
              <w:rPr>
                <w:rFonts w:ascii="Times New Roman" w:hAnsi="Times New Roman" w:eastAsia="Times New Roman" w:cs="Times New Roman"/>
                <w:snapToGrid w:val="0"/>
                <w:color w:val="auto"/>
                <w:spacing w:val="-4"/>
                <w:kern w:val="0"/>
                <w:sz w:val="24"/>
                <w:szCs w:val="24"/>
                <w:lang w:eastAsia="en-US"/>
              </w:rPr>
              <w:t>-2</w:t>
            </w:r>
            <w:r>
              <w:rPr>
                <w:rFonts w:ascii="宋体" w:hAnsi="宋体" w:eastAsia="宋体" w:cs="宋体"/>
                <w:snapToGrid w:val="0"/>
                <w:color w:val="auto"/>
                <w:spacing w:val="-4"/>
                <w:kern w:val="0"/>
                <w:sz w:val="24"/>
                <w:szCs w:val="24"/>
                <w:lang w:eastAsia="en-US"/>
              </w:rPr>
              <w:t>）面积</w:t>
            </w:r>
            <w:r>
              <w:rPr>
                <w:rFonts w:ascii="Times New Roman" w:hAnsi="Times New Roman" w:eastAsia="Times New Roman" w:cs="Times New Roman"/>
                <w:snapToGrid w:val="0"/>
                <w:color w:val="auto"/>
                <w:spacing w:val="-4"/>
                <w:kern w:val="0"/>
                <w:sz w:val="24"/>
                <w:szCs w:val="24"/>
                <w:lang w:eastAsia="en-US"/>
              </w:rPr>
              <w:t>1060.44</w:t>
            </w:r>
            <w:r>
              <w:rPr>
                <w:rFonts w:ascii="宋体" w:hAnsi="宋体" w:eastAsia="宋体" w:cs="宋体"/>
                <w:snapToGrid w:val="0"/>
                <w:color w:val="auto"/>
                <w:spacing w:val="-4"/>
                <w:kern w:val="0"/>
                <w:sz w:val="24"/>
                <w:szCs w:val="24"/>
                <w:lang w:eastAsia="en-US"/>
              </w:rPr>
              <w:t>亩，抚育方式</w:t>
            </w:r>
            <w:r>
              <w:rPr>
                <w:rFonts w:ascii="Times New Roman" w:hAnsi="Times New Roman" w:eastAsia="Times New Roman" w:cs="Times New Roman"/>
                <w:snapToGrid w:val="0"/>
                <w:color w:val="auto"/>
                <w:spacing w:val="-4"/>
                <w:kern w:val="0"/>
                <w:sz w:val="24"/>
                <w:szCs w:val="24"/>
                <w:lang w:eastAsia="en-US"/>
              </w:rPr>
              <w:t>2</w:t>
            </w:r>
            <w:r>
              <w:rPr>
                <w:rFonts w:ascii="宋体" w:hAnsi="宋体" w:eastAsia="宋体" w:cs="宋体"/>
                <w:snapToGrid w:val="0"/>
                <w:color w:val="auto"/>
                <w:spacing w:val="-1"/>
                <w:kern w:val="0"/>
                <w:sz w:val="24"/>
                <w:szCs w:val="24"/>
                <w:lang w:eastAsia="en-US"/>
              </w:rPr>
              <w:t>疏伐（模型编号</w:t>
            </w:r>
            <w:r>
              <w:rPr>
                <w:rFonts w:ascii="Times New Roman" w:hAnsi="Times New Roman" w:eastAsia="Times New Roman" w:cs="Times New Roman"/>
                <w:snapToGrid w:val="0"/>
                <w:color w:val="auto"/>
                <w:spacing w:val="-1"/>
                <w:kern w:val="0"/>
                <w:sz w:val="24"/>
                <w:szCs w:val="24"/>
                <w:lang w:eastAsia="en-US"/>
              </w:rPr>
              <w:t>FY02-</w:t>
            </w:r>
            <w:r>
              <w:rPr>
                <w:rFonts w:ascii="宋体" w:hAnsi="宋体" w:eastAsia="宋体" w:cs="宋体"/>
                <w:snapToGrid w:val="0"/>
                <w:color w:val="auto"/>
                <w:spacing w:val="-1"/>
                <w:kern w:val="0"/>
                <w:sz w:val="24"/>
                <w:szCs w:val="24"/>
                <w:lang w:eastAsia="en-US"/>
              </w:rPr>
              <w:t>新</w:t>
            </w:r>
            <w:r>
              <w:rPr>
                <w:rFonts w:ascii="Times New Roman" w:hAnsi="Times New Roman" w:eastAsia="Times New Roman" w:cs="Times New Roman"/>
                <w:snapToGrid w:val="0"/>
                <w:color w:val="auto"/>
                <w:spacing w:val="-1"/>
                <w:kern w:val="0"/>
                <w:sz w:val="24"/>
                <w:szCs w:val="24"/>
                <w:lang w:eastAsia="en-US"/>
              </w:rPr>
              <w:t>-1</w:t>
            </w:r>
            <w:r>
              <w:rPr>
                <w:rFonts w:ascii="宋体" w:hAnsi="宋体" w:eastAsia="宋体" w:cs="宋体"/>
                <w:snapToGrid w:val="0"/>
                <w:color w:val="auto"/>
                <w:spacing w:val="-1"/>
                <w:kern w:val="0"/>
                <w:sz w:val="24"/>
                <w:szCs w:val="24"/>
                <w:lang w:eastAsia="en-US"/>
              </w:rPr>
              <w:t>至</w:t>
            </w:r>
            <w:r>
              <w:rPr>
                <w:rFonts w:ascii="Times New Roman" w:hAnsi="Times New Roman" w:eastAsia="Times New Roman" w:cs="Times New Roman"/>
                <w:snapToGrid w:val="0"/>
                <w:color w:val="auto"/>
                <w:spacing w:val="-1"/>
                <w:kern w:val="0"/>
                <w:sz w:val="24"/>
                <w:szCs w:val="24"/>
                <w:lang w:eastAsia="en-US"/>
              </w:rPr>
              <w:t>FY02-</w:t>
            </w:r>
            <w:r>
              <w:rPr>
                <w:rFonts w:ascii="宋体" w:hAnsi="宋体" w:eastAsia="宋体" w:cs="宋体"/>
                <w:snapToGrid w:val="0"/>
                <w:color w:val="auto"/>
                <w:spacing w:val="-1"/>
                <w:kern w:val="0"/>
                <w:sz w:val="24"/>
                <w:szCs w:val="24"/>
                <w:lang w:eastAsia="en-US"/>
              </w:rPr>
              <w:t>新</w:t>
            </w:r>
            <w:r>
              <w:rPr>
                <w:rFonts w:ascii="Times New Roman" w:hAnsi="Times New Roman" w:eastAsia="Times New Roman" w:cs="Times New Roman"/>
                <w:snapToGrid w:val="0"/>
                <w:color w:val="auto"/>
                <w:spacing w:val="-1"/>
                <w:kern w:val="0"/>
                <w:sz w:val="24"/>
                <w:szCs w:val="24"/>
                <w:lang w:eastAsia="en-US"/>
              </w:rPr>
              <w:t>-4</w:t>
            </w:r>
            <w:r>
              <w:rPr>
                <w:rFonts w:ascii="宋体" w:hAnsi="宋体" w:eastAsia="宋体" w:cs="宋体"/>
                <w:snapToGrid w:val="0"/>
                <w:color w:val="auto"/>
                <w:spacing w:val="-1"/>
                <w:kern w:val="0"/>
                <w:sz w:val="24"/>
                <w:szCs w:val="24"/>
                <w:lang w:eastAsia="en-US"/>
              </w:rPr>
              <w:t>）面积</w:t>
            </w:r>
            <w:r>
              <w:rPr>
                <w:rFonts w:ascii="Times New Roman" w:hAnsi="Times New Roman" w:eastAsia="Times New Roman" w:cs="Times New Roman"/>
                <w:snapToGrid w:val="0"/>
                <w:color w:val="auto"/>
                <w:spacing w:val="-1"/>
                <w:kern w:val="0"/>
                <w:sz w:val="24"/>
                <w:szCs w:val="24"/>
                <w:lang w:eastAsia="en-US"/>
              </w:rPr>
              <w:t>56137.69</w:t>
            </w:r>
            <w:r>
              <w:rPr>
                <w:rFonts w:ascii="宋体" w:hAnsi="宋体" w:eastAsia="宋体" w:cs="宋体"/>
                <w:snapToGrid w:val="0"/>
                <w:color w:val="auto"/>
                <w:spacing w:val="-1"/>
                <w:kern w:val="0"/>
                <w:sz w:val="24"/>
                <w:szCs w:val="24"/>
                <w:lang w:eastAsia="en-US"/>
              </w:rPr>
              <w:t>亩，抚育方式</w:t>
            </w:r>
            <w:r>
              <w:rPr>
                <w:rFonts w:ascii="Times New Roman" w:hAnsi="Times New Roman" w:eastAsia="Times New Roman" w:cs="Times New Roman"/>
                <w:snapToGrid w:val="0"/>
                <w:color w:val="auto"/>
                <w:spacing w:val="-1"/>
                <w:kern w:val="0"/>
                <w:sz w:val="24"/>
                <w:szCs w:val="24"/>
                <w:lang w:eastAsia="en-US"/>
              </w:rPr>
              <w:t>3</w:t>
            </w:r>
            <w:r>
              <w:rPr>
                <w:rFonts w:ascii="宋体" w:hAnsi="宋体" w:eastAsia="宋体" w:cs="宋体"/>
                <w:snapToGrid w:val="0"/>
                <w:color w:val="auto"/>
                <w:spacing w:val="-3"/>
                <w:kern w:val="0"/>
                <w:sz w:val="24"/>
                <w:szCs w:val="24"/>
                <w:lang w:eastAsia="en-US"/>
              </w:rPr>
              <w:t>生长伐（模型编号</w:t>
            </w:r>
            <w:r>
              <w:rPr>
                <w:rFonts w:ascii="Times New Roman" w:hAnsi="Times New Roman" w:eastAsia="Times New Roman" w:cs="Times New Roman"/>
                <w:snapToGrid w:val="0"/>
                <w:color w:val="auto"/>
                <w:spacing w:val="-3"/>
                <w:kern w:val="0"/>
                <w:sz w:val="24"/>
                <w:szCs w:val="24"/>
                <w:lang w:eastAsia="en-US"/>
              </w:rPr>
              <w:t>FY03-</w:t>
            </w:r>
            <w:r>
              <w:rPr>
                <w:rFonts w:ascii="宋体" w:hAnsi="宋体" w:eastAsia="宋体" w:cs="宋体"/>
                <w:snapToGrid w:val="0"/>
                <w:color w:val="auto"/>
                <w:spacing w:val="-3"/>
                <w:kern w:val="0"/>
                <w:sz w:val="24"/>
                <w:szCs w:val="24"/>
                <w:lang w:eastAsia="en-US"/>
              </w:rPr>
              <w:t>新</w:t>
            </w:r>
            <w:r>
              <w:rPr>
                <w:rFonts w:ascii="Times New Roman" w:hAnsi="Times New Roman" w:eastAsia="Times New Roman" w:cs="Times New Roman"/>
                <w:snapToGrid w:val="0"/>
                <w:color w:val="auto"/>
                <w:spacing w:val="-3"/>
                <w:kern w:val="0"/>
                <w:sz w:val="24"/>
                <w:szCs w:val="24"/>
                <w:lang w:eastAsia="en-US"/>
              </w:rPr>
              <w:t>-1</w:t>
            </w:r>
            <w:r>
              <w:rPr>
                <w:rFonts w:ascii="宋体" w:hAnsi="宋体" w:eastAsia="宋体" w:cs="宋体"/>
                <w:snapToGrid w:val="0"/>
                <w:color w:val="auto"/>
                <w:spacing w:val="-3"/>
                <w:kern w:val="0"/>
                <w:sz w:val="24"/>
                <w:szCs w:val="24"/>
                <w:lang w:eastAsia="en-US"/>
              </w:rPr>
              <w:t>至</w:t>
            </w:r>
            <w:r>
              <w:rPr>
                <w:rFonts w:ascii="Times New Roman" w:hAnsi="Times New Roman" w:eastAsia="Times New Roman" w:cs="Times New Roman"/>
                <w:snapToGrid w:val="0"/>
                <w:color w:val="auto"/>
                <w:spacing w:val="-3"/>
                <w:kern w:val="0"/>
                <w:sz w:val="24"/>
                <w:szCs w:val="24"/>
                <w:lang w:eastAsia="en-US"/>
              </w:rPr>
              <w:t>FY03-</w:t>
            </w:r>
            <w:r>
              <w:rPr>
                <w:rFonts w:ascii="宋体" w:hAnsi="宋体" w:eastAsia="宋体" w:cs="宋体"/>
                <w:snapToGrid w:val="0"/>
                <w:color w:val="auto"/>
                <w:spacing w:val="-3"/>
                <w:kern w:val="0"/>
                <w:sz w:val="24"/>
                <w:szCs w:val="24"/>
                <w:lang w:eastAsia="en-US"/>
              </w:rPr>
              <w:t>新</w:t>
            </w:r>
            <w:r>
              <w:rPr>
                <w:rFonts w:ascii="Times New Roman" w:hAnsi="Times New Roman" w:eastAsia="Times New Roman" w:cs="Times New Roman"/>
                <w:snapToGrid w:val="0"/>
                <w:color w:val="auto"/>
                <w:spacing w:val="-3"/>
                <w:kern w:val="0"/>
                <w:sz w:val="24"/>
                <w:szCs w:val="24"/>
                <w:lang w:eastAsia="en-US"/>
              </w:rPr>
              <w:t>-2</w:t>
            </w:r>
            <w:r>
              <w:rPr>
                <w:rFonts w:ascii="宋体" w:hAnsi="宋体" w:eastAsia="宋体" w:cs="宋体"/>
                <w:snapToGrid w:val="0"/>
                <w:color w:val="auto"/>
                <w:spacing w:val="-3"/>
                <w:kern w:val="0"/>
                <w:sz w:val="24"/>
                <w:szCs w:val="24"/>
                <w:lang w:eastAsia="en-US"/>
              </w:rPr>
              <w:t>）面积</w:t>
            </w:r>
            <w:r>
              <w:rPr>
                <w:rFonts w:ascii="Times New Roman" w:hAnsi="Times New Roman" w:eastAsia="Times New Roman" w:cs="Times New Roman"/>
                <w:snapToGrid w:val="0"/>
                <w:color w:val="auto"/>
                <w:spacing w:val="-3"/>
                <w:kern w:val="0"/>
                <w:sz w:val="24"/>
                <w:szCs w:val="24"/>
                <w:lang w:eastAsia="en-US"/>
              </w:rPr>
              <w:t>7374.27</w:t>
            </w:r>
            <w:r>
              <w:rPr>
                <w:rFonts w:ascii="宋体" w:hAnsi="宋体" w:eastAsia="宋体" w:cs="宋体"/>
                <w:snapToGrid w:val="0"/>
                <w:color w:val="auto"/>
                <w:spacing w:val="-3"/>
                <w:kern w:val="0"/>
                <w:sz w:val="24"/>
                <w:szCs w:val="24"/>
                <w:lang w:eastAsia="en-US"/>
              </w:rPr>
              <w:t>亩，抚育方式</w:t>
            </w:r>
            <w:r>
              <w:rPr>
                <w:rFonts w:ascii="Times New Roman" w:hAnsi="Times New Roman" w:eastAsia="Times New Roman" w:cs="Times New Roman"/>
                <w:snapToGrid w:val="0"/>
                <w:color w:val="auto"/>
                <w:spacing w:val="-3"/>
                <w:kern w:val="0"/>
                <w:sz w:val="24"/>
                <w:szCs w:val="24"/>
                <w:lang w:eastAsia="en-US"/>
              </w:rPr>
              <w:t>4</w:t>
            </w:r>
            <w:r>
              <w:rPr>
                <w:rFonts w:ascii="宋体" w:hAnsi="宋体" w:eastAsia="宋体" w:cs="宋体"/>
                <w:snapToGrid w:val="0"/>
                <w:color w:val="auto"/>
                <w:spacing w:val="-1"/>
                <w:kern w:val="0"/>
                <w:sz w:val="24"/>
                <w:szCs w:val="24"/>
                <w:lang w:eastAsia="en-US"/>
              </w:rPr>
              <w:t>综合生态疏伐（模型编号</w:t>
            </w:r>
            <w:r>
              <w:rPr>
                <w:rFonts w:ascii="Times New Roman" w:hAnsi="Times New Roman" w:eastAsia="Times New Roman" w:cs="Times New Roman"/>
                <w:snapToGrid w:val="0"/>
                <w:color w:val="auto"/>
                <w:spacing w:val="-1"/>
                <w:kern w:val="0"/>
                <w:sz w:val="24"/>
                <w:szCs w:val="24"/>
                <w:lang w:eastAsia="en-US"/>
              </w:rPr>
              <w:t>FY04-</w:t>
            </w:r>
            <w:r>
              <w:rPr>
                <w:rFonts w:ascii="宋体" w:hAnsi="宋体" w:eastAsia="宋体" w:cs="宋体"/>
                <w:snapToGrid w:val="0"/>
                <w:color w:val="auto"/>
                <w:spacing w:val="-1"/>
                <w:kern w:val="0"/>
                <w:sz w:val="24"/>
                <w:szCs w:val="24"/>
                <w:lang w:eastAsia="en-US"/>
              </w:rPr>
              <w:t>新</w:t>
            </w:r>
            <w:r>
              <w:rPr>
                <w:rFonts w:ascii="Times New Roman" w:hAnsi="Times New Roman" w:eastAsia="Times New Roman" w:cs="Times New Roman"/>
                <w:snapToGrid w:val="0"/>
                <w:color w:val="auto"/>
                <w:spacing w:val="-1"/>
                <w:kern w:val="0"/>
                <w:sz w:val="24"/>
                <w:szCs w:val="24"/>
                <w:lang w:eastAsia="en-US"/>
              </w:rPr>
              <w:t>-1</w:t>
            </w:r>
            <w:r>
              <w:rPr>
                <w:rFonts w:ascii="宋体" w:hAnsi="宋体" w:eastAsia="宋体" w:cs="宋体"/>
                <w:snapToGrid w:val="0"/>
                <w:color w:val="auto"/>
                <w:spacing w:val="-1"/>
                <w:kern w:val="0"/>
                <w:sz w:val="24"/>
                <w:szCs w:val="24"/>
                <w:lang w:eastAsia="en-US"/>
              </w:rPr>
              <w:t>）面积</w:t>
            </w:r>
            <w:r>
              <w:rPr>
                <w:rFonts w:ascii="Times New Roman" w:hAnsi="Times New Roman" w:eastAsia="Times New Roman" w:cs="Times New Roman"/>
                <w:snapToGrid w:val="0"/>
                <w:color w:val="auto"/>
                <w:spacing w:val="-1"/>
                <w:kern w:val="0"/>
                <w:sz w:val="24"/>
                <w:szCs w:val="24"/>
                <w:lang w:eastAsia="en-US"/>
              </w:rPr>
              <w:t>930.27</w:t>
            </w:r>
            <w:r>
              <w:rPr>
                <w:rFonts w:ascii="宋体" w:hAnsi="宋体" w:eastAsia="宋体" w:cs="宋体"/>
                <w:snapToGrid w:val="0"/>
                <w:color w:val="auto"/>
                <w:spacing w:val="-1"/>
                <w:kern w:val="0"/>
                <w:sz w:val="24"/>
                <w:szCs w:val="24"/>
                <w:lang w:eastAsia="en-US"/>
              </w:rPr>
              <w:t>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en-US"/>
              </w:rPr>
            </w:pPr>
            <w:r>
              <w:rPr>
                <w:rFonts w:hint="eastAsia" w:cs="Times New Roman"/>
                <w:b/>
                <w:bCs/>
                <w:color w:val="auto"/>
                <w:sz w:val="21"/>
                <w:szCs w:val="21"/>
                <w:lang w:val="en-US" w:eastAsia="zh-CN"/>
              </w:rPr>
              <w:t>表2</w:t>
            </w:r>
            <w:r>
              <w:rPr>
                <w:rFonts w:hint="eastAsia" w:ascii="Times New Roman" w:hAnsi="Times New Roman" w:eastAsia="宋体" w:cs="Times New Roman"/>
                <w:b/>
                <w:bCs/>
                <w:color w:val="auto"/>
                <w:sz w:val="21"/>
                <w:szCs w:val="21"/>
                <w:lang w:val="en-US" w:eastAsia="en-US"/>
              </w:rPr>
              <w:t>-1</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en-US"/>
              </w:rPr>
              <w:t xml:space="preserve">  中幼龄林抚育范围与规模简表</w:t>
            </w:r>
          </w:p>
          <w:tbl>
            <w:tblPr>
              <w:tblStyle w:val="55"/>
              <w:tblW w:w="7969"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7"/>
              <w:gridCol w:w="1114"/>
              <w:gridCol w:w="1480"/>
              <w:gridCol w:w="1584"/>
              <w:gridCol w:w="1537"/>
              <w:gridCol w:w="13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8"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65" w:line="243"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b/>
                      <w:bCs/>
                      <w:snapToGrid w:val="0"/>
                      <w:color w:val="auto"/>
                      <w:spacing w:val="4"/>
                      <w:kern w:val="0"/>
                      <w:sz w:val="21"/>
                      <w:szCs w:val="21"/>
                      <w:lang w:val="en-US" w:eastAsia="en-US" w:bidi="ar-SA"/>
                    </w:rPr>
                    <w:t>乡镇（街</w:t>
                  </w:r>
                  <w:r>
                    <w:rPr>
                      <w:rFonts w:ascii="宋体" w:hAnsi="宋体" w:eastAsia="宋体" w:cs="宋体"/>
                      <w:b/>
                      <w:bCs/>
                      <w:snapToGrid w:val="0"/>
                      <w:color w:val="auto"/>
                      <w:spacing w:val="-2"/>
                      <w:kern w:val="0"/>
                      <w:sz w:val="21"/>
                      <w:szCs w:val="21"/>
                      <w:lang w:val="en-US" w:eastAsia="en-US" w:bidi="ar-SA"/>
                    </w:rPr>
                    <w:t>道）</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line="376"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65" w:line="228"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b/>
                      <w:bCs/>
                      <w:snapToGrid w:val="0"/>
                      <w:color w:val="auto"/>
                      <w:spacing w:val="-17"/>
                      <w:kern w:val="0"/>
                      <w:sz w:val="21"/>
                      <w:szCs w:val="21"/>
                      <w:lang w:val="en-US" w:eastAsia="en-US" w:bidi="ar-SA"/>
                    </w:rPr>
                    <w:t>合计（亩）</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43"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b/>
                      <w:bCs/>
                      <w:snapToGrid w:val="0"/>
                      <w:color w:val="auto"/>
                      <w:spacing w:val="4"/>
                      <w:kern w:val="0"/>
                      <w:sz w:val="21"/>
                      <w:szCs w:val="21"/>
                      <w:lang w:val="en-US" w:eastAsia="en-US" w:bidi="ar-SA"/>
                    </w:rPr>
                    <w:t>抚育方式</w:t>
                  </w:r>
                  <w:r>
                    <w:rPr>
                      <w:rFonts w:ascii="Times New Roman" w:hAnsi="Times New Roman" w:eastAsia="Times New Roman" w:cs="Times New Roman"/>
                      <w:b/>
                      <w:bCs/>
                      <w:snapToGrid w:val="0"/>
                      <w:color w:val="auto"/>
                      <w:spacing w:val="4"/>
                      <w:kern w:val="0"/>
                      <w:sz w:val="21"/>
                      <w:szCs w:val="21"/>
                      <w:lang w:val="en-US" w:eastAsia="en-US" w:bidi="ar-SA"/>
                    </w:rPr>
                    <w:t>1</w:t>
                  </w:r>
                  <w:r>
                    <w:rPr>
                      <w:rFonts w:ascii="宋体" w:hAnsi="宋体" w:eastAsia="宋体" w:cs="宋体"/>
                      <w:b/>
                      <w:bCs/>
                      <w:snapToGrid w:val="0"/>
                      <w:color w:val="auto"/>
                      <w:spacing w:val="4"/>
                      <w:kern w:val="0"/>
                      <w:sz w:val="21"/>
                      <w:szCs w:val="21"/>
                      <w:lang w:val="en-US" w:eastAsia="en-US" w:bidi="ar-SA"/>
                    </w:rPr>
                    <w:t>透光</w:t>
                  </w:r>
                  <w:r>
                    <w:rPr>
                      <w:rFonts w:ascii="宋体" w:hAnsi="宋体" w:eastAsia="宋体" w:cs="宋体"/>
                      <w:b/>
                      <w:bCs/>
                      <w:snapToGrid w:val="0"/>
                      <w:color w:val="auto"/>
                      <w:spacing w:val="13"/>
                      <w:kern w:val="0"/>
                      <w:sz w:val="21"/>
                      <w:szCs w:val="21"/>
                      <w:lang w:val="en-US" w:eastAsia="en-US" w:bidi="ar-SA"/>
                    </w:rPr>
                    <w:t>伐（亩</w:t>
                  </w:r>
                  <w:r>
                    <w:rPr>
                      <w:rFonts w:ascii="宋体" w:hAnsi="宋体" w:eastAsia="宋体" w:cs="宋体"/>
                      <w:b/>
                      <w:bCs/>
                      <w:snapToGrid w:val="0"/>
                      <w:color w:val="auto"/>
                      <w:spacing w:val="-7"/>
                      <w:kern w:val="0"/>
                      <w:sz w:val="21"/>
                      <w:szCs w:val="21"/>
                      <w:lang w:val="en-US" w:eastAsia="en-US" w:bidi="ar-SA"/>
                    </w:rPr>
                    <w:t>）（</w:t>
                  </w:r>
                  <w:r>
                    <w:rPr>
                      <w:rFonts w:ascii="宋体" w:hAnsi="宋体" w:eastAsia="宋体" w:cs="宋体"/>
                      <w:b/>
                      <w:bCs/>
                      <w:snapToGrid w:val="0"/>
                      <w:color w:val="auto"/>
                      <w:spacing w:val="13"/>
                      <w:kern w:val="0"/>
                      <w:sz w:val="21"/>
                      <w:szCs w:val="21"/>
                      <w:lang w:val="en-US" w:eastAsia="en-US" w:bidi="ar-SA"/>
                    </w:rPr>
                    <w:t>模型</w:t>
                  </w:r>
                  <w:r>
                    <w:rPr>
                      <w:rFonts w:ascii="宋体" w:hAnsi="宋体" w:eastAsia="宋体" w:cs="宋体"/>
                      <w:b/>
                      <w:bCs/>
                      <w:snapToGrid w:val="0"/>
                      <w:color w:val="auto"/>
                      <w:spacing w:val="9"/>
                      <w:kern w:val="0"/>
                      <w:sz w:val="21"/>
                      <w:szCs w:val="21"/>
                      <w:lang w:val="en-US" w:eastAsia="en-US" w:bidi="ar-SA"/>
                    </w:rPr>
                    <w:t>编号</w:t>
                  </w:r>
                  <w:r>
                    <w:rPr>
                      <w:rFonts w:ascii="Times New Roman" w:hAnsi="Times New Roman" w:eastAsia="Times New Roman" w:cs="Times New Roman"/>
                      <w:b/>
                      <w:bCs/>
                      <w:snapToGrid w:val="0"/>
                      <w:color w:val="auto"/>
                      <w:kern w:val="0"/>
                      <w:sz w:val="21"/>
                      <w:szCs w:val="21"/>
                      <w:lang w:val="en-US" w:eastAsia="en-US" w:bidi="ar-SA"/>
                    </w:rPr>
                    <w:t>FY</w:t>
                  </w:r>
                  <w:r>
                    <w:rPr>
                      <w:rFonts w:ascii="Times New Roman" w:hAnsi="Times New Roman" w:eastAsia="Times New Roman" w:cs="Times New Roman"/>
                      <w:b/>
                      <w:bCs/>
                      <w:snapToGrid w:val="0"/>
                      <w:color w:val="auto"/>
                      <w:spacing w:val="9"/>
                      <w:kern w:val="0"/>
                      <w:sz w:val="21"/>
                      <w:szCs w:val="21"/>
                      <w:lang w:val="en-US" w:eastAsia="en-US" w:bidi="ar-SA"/>
                    </w:rPr>
                    <w:t>01-</w:t>
                  </w:r>
                  <w:r>
                    <w:rPr>
                      <w:rFonts w:ascii="宋体" w:hAnsi="宋体" w:eastAsia="宋体" w:cs="宋体"/>
                      <w:b/>
                      <w:bCs/>
                      <w:snapToGrid w:val="0"/>
                      <w:color w:val="auto"/>
                      <w:spacing w:val="9"/>
                      <w:kern w:val="0"/>
                      <w:sz w:val="21"/>
                      <w:szCs w:val="21"/>
                      <w:lang w:val="en-US" w:eastAsia="en-US" w:bidi="ar-SA"/>
                    </w:rPr>
                    <w:t>新</w:t>
                  </w:r>
                  <w:r>
                    <w:rPr>
                      <w:rFonts w:ascii="Times New Roman" w:hAnsi="Times New Roman" w:eastAsia="Times New Roman" w:cs="Times New Roman"/>
                      <w:b/>
                      <w:bCs/>
                      <w:snapToGrid w:val="0"/>
                      <w:color w:val="auto"/>
                      <w:spacing w:val="9"/>
                      <w:kern w:val="0"/>
                      <w:sz w:val="21"/>
                      <w:szCs w:val="21"/>
                      <w:lang w:val="en-US" w:eastAsia="en-US" w:bidi="ar-SA"/>
                    </w:rPr>
                    <w:t>-1</w:t>
                  </w:r>
                  <w:r>
                    <w:rPr>
                      <w:rFonts w:ascii="宋体" w:hAnsi="宋体" w:eastAsia="宋体" w:cs="宋体"/>
                      <w:b/>
                      <w:bCs/>
                      <w:snapToGrid w:val="0"/>
                      <w:color w:val="auto"/>
                      <w:spacing w:val="5"/>
                      <w:kern w:val="0"/>
                      <w:sz w:val="21"/>
                      <w:szCs w:val="21"/>
                      <w:lang w:val="en-US" w:eastAsia="en-US" w:bidi="ar-SA"/>
                    </w:rPr>
                    <w:t>至</w:t>
                  </w:r>
                  <w:r>
                    <w:rPr>
                      <w:rFonts w:ascii="Times New Roman" w:hAnsi="Times New Roman" w:eastAsia="Times New Roman" w:cs="Times New Roman"/>
                      <w:b/>
                      <w:bCs/>
                      <w:snapToGrid w:val="0"/>
                      <w:color w:val="auto"/>
                      <w:kern w:val="0"/>
                      <w:sz w:val="21"/>
                      <w:szCs w:val="21"/>
                      <w:lang w:val="en-US" w:eastAsia="en-US" w:bidi="ar-SA"/>
                    </w:rPr>
                    <w:t>FY</w:t>
                  </w:r>
                  <w:r>
                    <w:rPr>
                      <w:rFonts w:ascii="Times New Roman" w:hAnsi="Times New Roman" w:eastAsia="Times New Roman" w:cs="Times New Roman"/>
                      <w:b/>
                      <w:bCs/>
                      <w:snapToGrid w:val="0"/>
                      <w:color w:val="auto"/>
                      <w:spacing w:val="5"/>
                      <w:kern w:val="0"/>
                      <w:sz w:val="21"/>
                      <w:szCs w:val="21"/>
                      <w:lang w:val="en-US" w:eastAsia="en-US" w:bidi="ar-SA"/>
                    </w:rPr>
                    <w:t>01-</w:t>
                  </w:r>
                  <w:r>
                    <w:rPr>
                      <w:rFonts w:ascii="宋体" w:hAnsi="宋体" w:eastAsia="宋体" w:cs="宋体"/>
                      <w:b/>
                      <w:bCs/>
                      <w:snapToGrid w:val="0"/>
                      <w:color w:val="auto"/>
                      <w:spacing w:val="5"/>
                      <w:kern w:val="0"/>
                      <w:sz w:val="21"/>
                      <w:szCs w:val="21"/>
                      <w:lang w:val="en-US" w:eastAsia="en-US" w:bidi="ar-SA"/>
                    </w:rPr>
                    <w:t>新</w:t>
                  </w:r>
                  <w:r>
                    <w:rPr>
                      <w:rFonts w:ascii="Times New Roman" w:hAnsi="Times New Roman" w:eastAsia="Times New Roman" w:cs="Times New Roman"/>
                      <w:b/>
                      <w:bCs/>
                      <w:snapToGrid w:val="0"/>
                      <w:color w:val="auto"/>
                      <w:spacing w:val="5"/>
                      <w:kern w:val="0"/>
                      <w:sz w:val="21"/>
                      <w:szCs w:val="21"/>
                      <w:lang w:val="en-US" w:eastAsia="en-US" w:bidi="ar-SA"/>
                    </w:rPr>
                    <w:t>-2</w:t>
                  </w:r>
                  <w:r>
                    <w:rPr>
                      <w:rFonts w:ascii="宋体" w:hAnsi="宋体" w:eastAsia="宋体" w:cs="宋体"/>
                      <w:b/>
                      <w:bCs/>
                      <w:snapToGrid w:val="0"/>
                      <w:color w:val="auto"/>
                      <w:spacing w:val="5"/>
                      <w:kern w:val="0"/>
                      <w:sz w:val="21"/>
                      <w:szCs w:val="21"/>
                      <w:lang w:val="en-US" w:eastAsia="en-US" w:bidi="ar-SA"/>
                    </w:rPr>
                    <w:t>）</w:t>
                  </w: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28"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b/>
                      <w:bCs/>
                      <w:snapToGrid w:val="0"/>
                      <w:color w:val="auto"/>
                      <w:spacing w:val="5"/>
                      <w:kern w:val="0"/>
                      <w:sz w:val="21"/>
                      <w:szCs w:val="21"/>
                      <w:lang w:val="en-US" w:eastAsia="en-US" w:bidi="ar-SA"/>
                    </w:rPr>
                    <w:t>抚育方式</w:t>
                  </w:r>
                  <w:r>
                    <w:rPr>
                      <w:rFonts w:ascii="Times New Roman" w:hAnsi="Times New Roman" w:eastAsia="Times New Roman" w:cs="Times New Roman"/>
                      <w:b/>
                      <w:bCs/>
                      <w:snapToGrid w:val="0"/>
                      <w:color w:val="auto"/>
                      <w:spacing w:val="5"/>
                      <w:kern w:val="0"/>
                      <w:sz w:val="21"/>
                      <w:szCs w:val="21"/>
                      <w:lang w:val="en-US" w:eastAsia="en-US" w:bidi="ar-SA"/>
                    </w:rPr>
                    <w:t>2</w:t>
                  </w:r>
                  <w:r>
                    <w:rPr>
                      <w:rFonts w:ascii="宋体" w:hAnsi="宋体" w:eastAsia="宋体" w:cs="宋体"/>
                      <w:b/>
                      <w:bCs/>
                      <w:snapToGrid w:val="0"/>
                      <w:color w:val="auto"/>
                      <w:spacing w:val="5"/>
                      <w:kern w:val="0"/>
                      <w:sz w:val="21"/>
                      <w:szCs w:val="21"/>
                      <w:lang w:val="en-US" w:eastAsia="en-US" w:bidi="ar-SA"/>
                    </w:rPr>
                    <w:t>疏伐</w:t>
                  </w:r>
                  <w:r>
                    <w:rPr>
                      <w:rFonts w:ascii="宋体" w:hAnsi="宋体" w:eastAsia="宋体" w:cs="宋体"/>
                      <w:b/>
                      <w:bCs/>
                      <w:snapToGrid w:val="0"/>
                      <w:color w:val="auto"/>
                      <w:spacing w:val="10"/>
                      <w:kern w:val="0"/>
                      <w:sz w:val="21"/>
                      <w:szCs w:val="21"/>
                      <w:lang w:val="en-US" w:eastAsia="en-US" w:bidi="ar-SA"/>
                    </w:rPr>
                    <w:t>（亩</w:t>
                  </w:r>
                  <w:r>
                    <w:rPr>
                      <w:rFonts w:ascii="宋体" w:hAnsi="宋体" w:eastAsia="宋体" w:cs="宋体"/>
                      <w:b/>
                      <w:bCs/>
                      <w:snapToGrid w:val="0"/>
                      <w:color w:val="auto"/>
                      <w:spacing w:val="-12"/>
                      <w:kern w:val="0"/>
                      <w:sz w:val="21"/>
                      <w:szCs w:val="21"/>
                      <w:lang w:val="en-US" w:eastAsia="en-US" w:bidi="ar-SA"/>
                    </w:rPr>
                    <w:t>）（</w:t>
                  </w:r>
                  <w:r>
                    <w:rPr>
                      <w:rFonts w:ascii="宋体" w:hAnsi="宋体" w:eastAsia="宋体" w:cs="宋体"/>
                      <w:b/>
                      <w:bCs/>
                      <w:snapToGrid w:val="0"/>
                      <w:color w:val="auto"/>
                      <w:spacing w:val="10"/>
                      <w:kern w:val="0"/>
                      <w:sz w:val="21"/>
                      <w:szCs w:val="21"/>
                      <w:lang w:val="en-US" w:eastAsia="en-US" w:bidi="ar-SA"/>
                    </w:rPr>
                    <w:t>模型编号</w:t>
                  </w:r>
                  <w:r>
                    <w:rPr>
                      <w:rFonts w:ascii="Times New Roman" w:hAnsi="Times New Roman" w:eastAsia="Times New Roman" w:cs="Times New Roman"/>
                      <w:b/>
                      <w:bCs/>
                      <w:snapToGrid w:val="0"/>
                      <w:color w:val="auto"/>
                      <w:kern w:val="0"/>
                      <w:sz w:val="21"/>
                      <w:szCs w:val="21"/>
                      <w:lang w:val="en-US" w:eastAsia="en-US" w:bidi="ar-SA"/>
                    </w:rPr>
                    <w:t>FY</w:t>
                  </w:r>
                  <w:r>
                    <w:rPr>
                      <w:rFonts w:ascii="Times New Roman" w:hAnsi="Times New Roman" w:eastAsia="Times New Roman" w:cs="Times New Roman"/>
                      <w:b/>
                      <w:bCs/>
                      <w:snapToGrid w:val="0"/>
                      <w:color w:val="auto"/>
                      <w:spacing w:val="5"/>
                      <w:kern w:val="0"/>
                      <w:sz w:val="21"/>
                      <w:szCs w:val="21"/>
                      <w:lang w:val="en-US" w:eastAsia="en-US" w:bidi="ar-SA"/>
                    </w:rPr>
                    <w:t>02-</w:t>
                  </w:r>
                  <w:r>
                    <w:rPr>
                      <w:rFonts w:ascii="宋体" w:hAnsi="宋体" w:eastAsia="宋体" w:cs="宋体"/>
                      <w:b/>
                      <w:bCs/>
                      <w:snapToGrid w:val="0"/>
                      <w:color w:val="auto"/>
                      <w:spacing w:val="5"/>
                      <w:kern w:val="0"/>
                      <w:sz w:val="21"/>
                      <w:szCs w:val="21"/>
                      <w:lang w:val="en-US" w:eastAsia="en-US" w:bidi="ar-SA"/>
                    </w:rPr>
                    <w:t>新</w:t>
                  </w:r>
                  <w:r>
                    <w:rPr>
                      <w:rFonts w:ascii="Times New Roman" w:hAnsi="Times New Roman" w:eastAsia="Times New Roman" w:cs="Times New Roman"/>
                      <w:b/>
                      <w:bCs/>
                      <w:snapToGrid w:val="0"/>
                      <w:color w:val="auto"/>
                      <w:spacing w:val="5"/>
                      <w:kern w:val="0"/>
                      <w:sz w:val="21"/>
                      <w:szCs w:val="21"/>
                      <w:lang w:val="en-US" w:eastAsia="en-US" w:bidi="ar-SA"/>
                    </w:rPr>
                    <w:t>-1</w:t>
                  </w:r>
                  <w:r>
                    <w:rPr>
                      <w:rFonts w:ascii="宋体" w:hAnsi="宋体" w:eastAsia="宋体" w:cs="宋体"/>
                      <w:b/>
                      <w:bCs/>
                      <w:snapToGrid w:val="0"/>
                      <w:color w:val="auto"/>
                      <w:spacing w:val="5"/>
                      <w:kern w:val="0"/>
                      <w:sz w:val="21"/>
                      <w:szCs w:val="21"/>
                      <w:lang w:val="en-US" w:eastAsia="en-US" w:bidi="ar-SA"/>
                    </w:rPr>
                    <w:t>至</w:t>
                  </w:r>
                  <w:r>
                    <w:rPr>
                      <w:rFonts w:ascii="Times New Roman" w:hAnsi="Times New Roman" w:eastAsia="Times New Roman" w:cs="Times New Roman"/>
                      <w:b/>
                      <w:bCs/>
                      <w:snapToGrid w:val="0"/>
                      <w:color w:val="auto"/>
                      <w:kern w:val="0"/>
                      <w:sz w:val="21"/>
                      <w:szCs w:val="21"/>
                      <w:lang w:val="en-US" w:eastAsia="en-US" w:bidi="ar-SA"/>
                    </w:rPr>
                    <w:t>FY</w:t>
                  </w:r>
                  <w:r>
                    <w:rPr>
                      <w:rFonts w:ascii="Times New Roman" w:hAnsi="Times New Roman" w:eastAsia="Times New Roman" w:cs="Times New Roman"/>
                      <w:b/>
                      <w:bCs/>
                      <w:snapToGrid w:val="0"/>
                      <w:color w:val="auto"/>
                      <w:spacing w:val="5"/>
                      <w:kern w:val="0"/>
                      <w:sz w:val="21"/>
                      <w:szCs w:val="21"/>
                      <w:lang w:val="en-US" w:eastAsia="en-US" w:bidi="ar-SA"/>
                    </w:rPr>
                    <w:t>02-</w:t>
                  </w:r>
                  <w:r>
                    <w:rPr>
                      <w:rFonts w:ascii="宋体" w:hAnsi="宋体" w:eastAsia="宋体" w:cs="宋体"/>
                      <w:b/>
                      <w:bCs/>
                      <w:snapToGrid w:val="0"/>
                      <w:color w:val="auto"/>
                      <w:spacing w:val="5"/>
                      <w:kern w:val="0"/>
                      <w:sz w:val="21"/>
                      <w:szCs w:val="21"/>
                      <w:lang w:val="en-US" w:eastAsia="en-US" w:bidi="ar-SA"/>
                    </w:rPr>
                    <w:t>新</w:t>
                  </w:r>
                  <w:r>
                    <w:rPr>
                      <w:rFonts w:ascii="Times New Roman" w:hAnsi="Times New Roman" w:eastAsia="Times New Roman" w:cs="Times New Roman"/>
                      <w:b/>
                      <w:bCs/>
                      <w:snapToGrid w:val="0"/>
                      <w:color w:val="auto"/>
                      <w:spacing w:val="5"/>
                      <w:kern w:val="0"/>
                      <w:sz w:val="21"/>
                      <w:szCs w:val="21"/>
                      <w:lang w:val="en-US" w:eastAsia="en-US" w:bidi="ar-SA"/>
                    </w:rPr>
                    <w:t>-4</w:t>
                  </w:r>
                  <w:r>
                    <w:rPr>
                      <w:rFonts w:ascii="宋体" w:hAnsi="宋体" w:eastAsia="宋体" w:cs="宋体"/>
                      <w:b/>
                      <w:bCs/>
                      <w:snapToGrid w:val="0"/>
                      <w:color w:val="auto"/>
                      <w:spacing w:val="5"/>
                      <w:kern w:val="0"/>
                      <w:sz w:val="21"/>
                      <w:szCs w:val="21"/>
                      <w:lang w:val="en-US" w:eastAsia="en-US" w:bidi="ar-SA"/>
                    </w:rPr>
                    <w:t>）</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39"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b/>
                      <w:bCs/>
                      <w:snapToGrid w:val="0"/>
                      <w:color w:val="auto"/>
                      <w:spacing w:val="6"/>
                      <w:kern w:val="0"/>
                      <w:sz w:val="21"/>
                      <w:szCs w:val="21"/>
                      <w:lang w:val="en-US" w:eastAsia="en-US" w:bidi="ar-SA"/>
                    </w:rPr>
                    <w:t>抚育方式</w:t>
                  </w:r>
                  <w:r>
                    <w:rPr>
                      <w:rFonts w:ascii="Times New Roman" w:hAnsi="Times New Roman" w:eastAsia="Times New Roman" w:cs="Times New Roman"/>
                      <w:b/>
                      <w:bCs/>
                      <w:snapToGrid w:val="0"/>
                      <w:color w:val="auto"/>
                      <w:spacing w:val="6"/>
                      <w:kern w:val="0"/>
                      <w:sz w:val="21"/>
                      <w:szCs w:val="21"/>
                      <w:lang w:val="en-US" w:eastAsia="en-US" w:bidi="ar-SA"/>
                    </w:rPr>
                    <w:t>3</w:t>
                  </w:r>
                  <w:r>
                    <w:rPr>
                      <w:rFonts w:ascii="宋体" w:hAnsi="宋体" w:eastAsia="宋体" w:cs="宋体"/>
                      <w:b/>
                      <w:bCs/>
                      <w:snapToGrid w:val="0"/>
                      <w:color w:val="auto"/>
                      <w:spacing w:val="6"/>
                      <w:kern w:val="0"/>
                      <w:sz w:val="21"/>
                      <w:szCs w:val="21"/>
                      <w:lang w:val="en-US" w:eastAsia="en-US" w:bidi="ar-SA"/>
                    </w:rPr>
                    <w:t>生长</w:t>
                  </w:r>
                  <w:r>
                    <w:rPr>
                      <w:rFonts w:ascii="宋体" w:hAnsi="宋体" w:eastAsia="宋体" w:cs="宋体"/>
                      <w:b/>
                      <w:bCs/>
                      <w:snapToGrid w:val="0"/>
                      <w:color w:val="auto"/>
                      <w:spacing w:val="8"/>
                      <w:kern w:val="0"/>
                      <w:sz w:val="21"/>
                      <w:szCs w:val="21"/>
                      <w:lang w:val="en-US" w:eastAsia="en-US" w:bidi="ar-SA"/>
                    </w:rPr>
                    <w:t>伐（亩</w:t>
                  </w:r>
                  <w:r>
                    <w:rPr>
                      <w:rFonts w:ascii="宋体" w:hAnsi="宋体" w:eastAsia="宋体" w:cs="宋体"/>
                      <w:b/>
                      <w:bCs/>
                      <w:snapToGrid w:val="0"/>
                      <w:color w:val="auto"/>
                      <w:spacing w:val="-26"/>
                      <w:kern w:val="0"/>
                      <w:sz w:val="21"/>
                      <w:szCs w:val="21"/>
                      <w:lang w:val="en-US" w:eastAsia="en-US" w:bidi="ar-SA"/>
                    </w:rPr>
                    <w:t>）（</w:t>
                  </w:r>
                  <w:r>
                    <w:rPr>
                      <w:rFonts w:ascii="宋体" w:hAnsi="宋体" w:eastAsia="宋体" w:cs="宋体"/>
                      <w:b/>
                      <w:bCs/>
                      <w:snapToGrid w:val="0"/>
                      <w:color w:val="auto"/>
                      <w:spacing w:val="8"/>
                      <w:kern w:val="0"/>
                      <w:sz w:val="21"/>
                      <w:szCs w:val="21"/>
                      <w:lang w:val="en-US" w:eastAsia="en-US" w:bidi="ar-SA"/>
                    </w:rPr>
                    <w:t>模型编</w:t>
                  </w:r>
                  <w:r>
                    <w:rPr>
                      <w:rFonts w:ascii="宋体" w:hAnsi="宋体" w:eastAsia="宋体" w:cs="宋体"/>
                      <w:b/>
                      <w:bCs/>
                      <w:snapToGrid w:val="0"/>
                      <w:color w:val="auto"/>
                      <w:spacing w:val="4"/>
                      <w:kern w:val="0"/>
                      <w:sz w:val="21"/>
                      <w:szCs w:val="21"/>
                      <w:lang w:val="en-US" w:eastAsia="en-US" w:bidi="ar-SA"/>
                    </w:rPr>
                    <w:t>号</w:t>
                  </w:r>
                  <w:r>
                    <w:rPr>
                      <w:rFonts w:ascii="Times New Roman" w:hAnsi="Times New Roman" w:eastAsia="Times New Roman" w:cs="Times New Roman"/>
                      <w:b/>
                      <w:bCs/>
                      <w:snapToGrid w:val="0"/>
                      <w:color w:val="auto"/>
                      <w:kern w:val="0"/>
                      <w:sz w:val="21"/>
                      <w:szCs w:val="21"/>
                      <w:lang w:val="en-US" w:eastAsia="en-US" w:bidi="ar-SA"/>
                    </w:rPr>
                    <w:t>FY</w:t>
                  </w:r>
                  <w:r>
                    <w:rPr>
                      <w:rFonts w:ascii="Times New Roman" w:hAnsi="Times New Roman" w:eastAsia="Times New Roman" w:cs="Times New Roman"/>
                      <w:b/>
                      <w:bCs/>
                      <w:snapToGrid w:val="0"/>
                      <w:color w:val="auto"/>
                      <w:spacing w:val="4"/>
                      <w:kern w:val="0"/>
                      <w:sz w:val="21"/>
                      <w:szCs w:val="21"/>
                      <w:lang w:val="en-US" w:eastAsia="en-US" w:bidi="ar-SA"/>
                    </w:rPr>
                    <w:t>03-</w:t>
                  </w:r>
                  <w:r>
                    <w:rPr>
                      <w:rFonts w:ascii="宋体" w:hAnsi="宋体" w:eastAsia="宋体" w:cs="宋体"/>
                      <w:b/>
                      <w:bCs/>
                      <w:snapToGrid w:val="0"/>
                      <w:color w:val="auto"/>
                      <w:spacing w:val="4"/>
                      <w:kern w:val="0"/>
                      <w:sz w:val="21"/>
                      <w:szCs w:val="21"/>
                      <w:lang w:val="en-US" w:eastAsia="en-US" w:bidi="ar-SA"/>
                    </w:rPr>
                    <w:t>新</w:t>
                  </w:r>
                  <w:r>
                    <w:rPr>
                      <w:rFonts w:ascii="Times New Roman" w:hAnsi="Times New Roman" w:eastAsia="Times New Roman" w:cs="Times New Roman"/>
                      <w:b/>
                      <w:bCs/>
                      <w:snapToGrid w:val="0"/>
                      <w:color w:val="auto"/>
                      <w:spacing w:val="4"/>
                      <w:kern w:val="0"/>
                      <w:sz w:val="21"/>
                      <w:szCs w:val="21"/>
                      <w:lang w:val="en-US" w:eastAsia="en-US" w:bidi="ar-SA"/>
                    </w:rPr>
                    <w:t>-1</w:t>
                  </w:r>
                  <w:r>
                    <w:rPr>
                      <w:rFonts w:ascii="宋体" w:hAnsi="宋体" w:eastAsia="宋体" w:cs="宋体"/>
                      <w:b/>
                      <w:bCs/>
                      <w:snapToGrid w:val="0"/>
                      <w:color w:val="auto"/>
                      <w:spacing w:val="4"/>
                      <w:kern w:val="0"/>
                      <w:sz w:val="21"/>
                      <w:szCs w:val="21"/>
                      <w:lang w:val="en-US" w:eastAsia="en-US" w:bidi="ar-SA"/>
                    </w:rPr>
                    <w:t>至</w:t>
                  </w:r>
                  <w:r>
                    <w:rPr>
                      <w:rFonts w:ascii="Times New Roman" w:hAnsi="Times New Roman" w:eastAsia="Times New Roman" w:cs="Times New Roman"/>
                      <w:b/>
                      <w:bCs/>
                      <w:snapToGrid w:val="0"/>
                      <w:color w:val="auto"/>
                      <w:kern w:val="0"/>
                      <w:sz w:val="21"/>
                      <w:szCs w:val="21"/>
                      <w:lang w:val="en-US" w:eastAsia="en-US" w:bidi="ar-SA"/>
                    </w:rPr>
                    <w:t>FY</w:t>
                  </w:r>
                  <w:r>
                    <w:rPr>
                      <w:rFonts w:ascii="Times New Roman" w:hAnsi="Times New Roman" w:eastAsia="Times New Roman" w:cs="Times New Roman"/>
                      <w:b/>
                      <w:bCs/>
                      <w:snapToGrid w:val="0"/>
                      <w:color w:val="auto"/>
                      <w:spacing w:val="5"/>
                      <w:kern w:val="0"/>
                      <w:sz w:val="21"/>
                      <w:szCs w:val="21"/>
                      <w:lang w:val="en-US" w:eastAsia="en-US" w:bidi="ar-SA"/>
                    </w:rPr>
                    <w:t>03-</w:t>
                  </w:r>
                  <w:r>
                    <w:rPr>
                      <w:rFonts w:ascii="宋体" w:hAnsi="宋体" w:eastAsia="宋体" w:cs="宋体"/>
                      <w:b/>
                      <w:bCs/>
                      <w:snapToGrid w:val="0"/>
                      <w:color w:val="auto"/>
                      <w:spacing w:val="5"/>
                      <w:kern w:val="0"/>
                      <w:sz w:val="21"/>
                      <w:szCs w:val="21"/>
                      <w:lang w:val="en-US" w:eastAsia="en-US" w:bidi="ar-SA"/>
                    </w:rPr>
                    <w:t>新</w:t>
                  </w:r>
                  <w:r>
                    <w:rPr>
                      <w:rFonts w:ascii="Times New Roman" w:hAnsi="Times New Roman" w:eastAsia="Times New Roman" w:cs="Times New Roman"/>
                      <w:b/>
                      <w:bCs/>
                      <w:snapToGrid w:val="0"/>
                      <w:color w:val="auto"/>
                      <w:spacing w:val="5"/>
                      <w:kern w:val="0"/>
                      <w:sz w:val="21"/>
                      <w:szCs w:val="21"/>
                      <w:lang w:val="en-US" w:eastAsia="en-US" w:bidi="ar-SA"/>
                    </w:rPr>
                    <w:t>-2</w:t>
                  </w:r>
                  <w:r>
                    <w:rPr>
                      <w:rFonts w:ascii="宋体" w:hAnsi="宋体" w:eastAsia="宋体" w:cs="宋体"/>
                      <w:b/>
                      <w:bCs/>
                      <w:snapToGrid w:val="0"/>
                      <w:color w:val="auto"/>
                      <w:spacing w:val="5"/>
                      <w:kern w:val="0"/>
                      <w:sz w:val="21"/>
                      <w:szCs w:val="21"/>
                      <w:lang w:val="en-US" w:eastAsia="en-US" w:bidi="ar-SA"/>
                    </w:rPr>
                    <w:t>）</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28"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b/>
                      <w:bCs/>
                      <w:snapToGrid w:val="0"/>
                      <w:color w:val="auto"/>
                      <w:spacing w:val="4"/>
                      <w:kern w:val="0"/>
                      <w:sz w:val="21"/>
                      <w:szCs w:val="21"/>
                      <w:lang w:val="en-US" w:eastAsia="en-US" w:bidi="ar-SA"/>
                    </w:rPr>
                    <w:t>抚育方式</w:t>
                  </w:r>
                  <w:r>
                    <w:rPr>
                      <w:rFonts w:ascii="Times New Roman" w:hAnsi="Times New Roman" w:eastAsia="Times New Roman" w:cs="Times New Roman"/>
                      <w:b/>
                      <w:bCs/>
                      <w:snapToGrid w:val="0"/>
                      <w:color w:val="auto"/>
                      <w:spacing w:val="4"/>
                      <w:kern w:val="0"/>
                      <w:sz w:val="21"/>
                      <w:szCs w:val="21"/>
                      <w:lang w:val="en-US" w:eastAsia="en-US" w:bidi="ar-SA"/>
                    </w:rPr>
                    <w:t>4</w:t>
                  </w:r>
                  <w:r>
                    <w:rPr>
                      <w:rFonts w:ascii="宋体" w:hAnsi="宋体" w:eastAsia="宋体" w:cs="宋体"/>
                      <w:b/>
                      <w:bCs/>
                      <w:snapToGrid w:val="0"/>
                      <w:color w:val="auto"/>
                      <w:spacing w:val="4"/>
                      <w:kern w:val="0"/>
                      <w:sz w:val="21"/>
                      <w:szCs w:val="21"/>
                      <w:lang w:val="en-US" w:eastAsia="en-US" w:bidi="ar-SA"/>
                    </w:rPr>
                    <w:t>综</w:t>
                  </w:r>
                  <w:r>
                    <w:rPr>
                      <w:rFonts w:ascii="宋体" w:hAnsi="宋体" w:eastAsia="宋体" w:cs="宋体"/>
                      <w:b/>
                      <w:bCs/>
                      <w:snapToGrid w:val="0"/>
                      <w:color w:val="auto"/>
                      <w:spacing w:val="6"/>
                      <w:kern w:val="0"/>
                      <w:sz w:val="21"/>
                      <w:szCs w:val="21"/>
                      <w:lang w:val="en-US" w:eastAsia="en-US" w:bidi="ar-SA"/>
                    </w:rPr>
                    <w:t>合生态疏伐</w:t>
                  </w:r>
                  <w:r>
                    <w:rPr>
                      <w:rFonts w:ascii="宋体" w:hAnsi="宋体" w:eastAsia="宋体" w:cs="宋体"/>
                      <w:b/>
                      <w:bCs/>
                      <w:snapToGrid w:val="0"/>
                      <w:color w:val="auto"/>
                      <w:spacing w:val="12"/>
                      <w:kern w:val="0"/>
                      <w:sz w:val="21"/>
                      <w:szCs w:val="21"/>
                      <w:lang w:val="en-US" w:eastAsia="en-US" w:bidi="ar-SA"/>
                    </w:rPr>
                    <w:t>（亩</w:t>
                  </w:r>
                  <w:r>
                    <w:rPr>
                      <w:rFonts w:ascii="宋体" w:hAnsi="宋体" w:eastAsia="宋体" w:cs="宋体"/>
                      <w:b/>
                      <w:bCs/>
                      <w:snapToGrid w:val="0"/>
                      <w:color w:val="auto"/>
                      <w:spacing w:val="-43"/>
                      <w:kern w:val="0"/>
                      <w:sz w:val="21"/>
                      <w:szCs w:val="21"/>
                      <w:lang w:val="en-US" w:eastAsia="en-US" w:bidi="ar-SA"/>
                    </w:rPr>
                    <w:t>）（</w:t>
                  </w:r>
                  <w:r>
                    <w:rPr>
                      <w:rFonts w:ascii="宋体" w:hAnsi="宋体" w:eastAsia="宋体" w:cs="宋体"/>
                      <w:b/>
                      <w:bCs/>
                      <w:snapToGrid w:val="0"/>
                      <w:color w:val="auto"/>
                      <w:spacing w:val="12"/>
                      <w:kern w:val="0"/>
                      <w:sz w:val="21"/>
                      <w:szCs w:val="21"/>
                      <w:lang w:val="en-US" w:eastAsia="en-US" w:bidi="ar-SA"/>
                    </w:rPr>
                    <w:t>模型编</w:t>
                  </w:r>
                  <w:r>
                    <w:rPr>
                      <w:rFonts w:ascii="宋体" w:hAnsi="宋体" w:eastAsia="宋体" w:cs="宋体"/>
                      <w:b/>
                      <w:bCs/>
                      <w:snapToGrid w:val="0"/>
                      <w:color w:val="auto"/>
                      <w:spacing w:val="2"/>
                      <w:kern w:val="0"/>
                      <w:sz w:val="21"/>
                      <w:szCs w:val="21"/>
                      <w:lang w:val="en-US" w:eastAsia="en-US" w:bidi="ar-SA"/>
                    </w:rPr>
                    <w:t>号</w:t>
                  </w:r>
                  <w:r>
                    <w:rPr>
                      <w:rFonts w:ascii="Times New Roman" w:hAnsi="Times New Roman" w:eastAsia="Times New Roman" w:cs="Times New Roman"/>
                      <w:b/>
                      <w:bCs/>
                      <w:snapToGrid w:val="0"/>
                      <w:color w:val="auto"/>
                      <w:kern w:val="0"/>
                      <w:sz w:val="21"/>
                      <w:szCs w:val="21"/>
                      <w:lang w:val="en-US" w:eastAsia="en-US" w:bidi="ar-SA"/>
                    </w:rPr>
                    <w:t>FY</w:t>
                  </w:r>
                  <w:r>
                    <w:rPr>
                      <w:rFonts w:ascii="Times New Roman" w:hAnsi="Times New Roman" w:eastAsia="Times New Roman" w:cs="Times New Roman"/>
                      <w:b/>
                      <w:bCs/>
                      <w:snapToGrid w:val="0"/>
                      <w:color w:val="auto"/>
                      <w:spacing w:val="2"/>
                      <w:kern w:val="0"/>
                      <w:sz w:val="21"/>
                      <w:szCs w:val="21"/>
                      <w:lang w:val="en-US" w:eastAsia="en-US" w:bidi="ar-SA"/>
                    </w:rPr>
                    <w:t>04-</w:t>
                  </w:r>
                  <w:r>
                    <w:rPr>
                      <w:rFonts w:ascii="宋体" w:hAnsi="宋体" w:eastAsia="宋体" w:cs="宋体"/>
                      <w:b/>
                      <w:bCs/>
                      <w:snapToGrid w:val="0"/>
                      <w:color w:val="auto"/>
                      <w:spacing w:val="2"/>
                      <w:kern w:val="0"/>
                      <w:sz w:val="21"/>
                      <w:szCs w:val="21"/>
                      <w:lang w:val="en-US" w:eastAsia="en-US" w:bidi="ar-SA"/>
                    </w:rPr>
                    <w:t>新</w:t>
                  </w:r>
                  <w:r>
                    <w:rPr>
                      <w:rFonts w:ascii="Times New Roman" w:hAnsi="Times New Roman" w:eastAsia="Times New Roman" w:cs="Times New Roman"/>
                      <w:b/>
                      <w:bCs/>
                      <w:snapToGrid w:val="0"/>
                      <w:color w:val="auto"/>
                      <w:spacing w:val="2"/>
                      <w:kern w:val="0"/>
                      <w:sz w:val="21"/>
                      <w:szCs w:val="21"/>
                      <w:lang w:val="en-US" w:eastAsia="en-US" w:bidi="ar-SA"/>
                    </w:rPr>
                    <w:t>-1</w:t>
                  </w:r>
                  <w:r>
                    <w:rPr>
                      <w:rFonts w:ascii="宋体" w:hAnsi="宋体" w:eastAsia="宋体" w:cs="宋体"/>
                      <w:b/>
                      <w:bCs/>
                      <w:snapToGrid w:val="0"/>
                      <w:color w:val="auto"/>
                      <w:spacing w:val="2"/>
                      <w:kern w:val="0"/>
                      <w:sz w:val="21"/>
                      <w:szCs w:val="21"/>
                      <w:lang w:val="en-US" w:eastAsia="en-US" w:bidi="ar-S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1" w:line="217"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2"/>
                      <w:kern w:val="0"/>
                      <w:sz w:val="21"/>
                      <w:szCs w:val="21"/>
                      <w:lang w:val="en-US" w:eastAsia="en-US" w:bidi="ar-SA"/>
                    </w:rPr>
                    <w:t>总计</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6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65502.67</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before="6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1060.44</w:t>
                  </w: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6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56137.69</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6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7374.27</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before="6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930.27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2" w:line="217"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宝梵镇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4067.59</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4056.99</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10.60</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0" w:line="218"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5"/>
                      <w:kern w:val="0"/>
                      <w:sz w:val="21"/>
                      <w:szCs w:val="21"/>
                      <w:lang w:val="en-US" w:eastAsia="en-US" w:bidi="ar-SA"/>
                    </w:rPr>
                    <w:t>常乐镇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66"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6237.66</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before="66"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93.99</w:t>
                  </w: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66"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6092.57</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66"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2"/>
                      <w:kern w:val="0"/>
                      <w:sz w:val="21"/>
                      <w:szCs w:val="21"/>
                      <w:lang w:eastAsia="en-US"/>
                    </w:rPr>
                    <w:t>51.10</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1" w:line="217"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4"/>
                      <w:kern w:val="0"/>
                      <w:sz w:val="21"/>
                      <w:szCs w:val="21"/>
                      <w:lang w:val="en-US" w:eastAsia="en-US" w:bidi="ar-SA"/>
                    </w:rPr>
                    <w:t>赤城镇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6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4010.38</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6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2367.97</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6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712.14</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before="6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930.27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2" w:line="216"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大石镇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kern w:val="0"/>
                      <w:sz w:val="21"/>
                      <w:szCs w:val="21"/>
                      <w:lang w:eastAsia="en-US"/>
                    </w:rPr>
                    <w:t>4641.14</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2"/>
                      <w:kern w:val="0"/>
                      <w:sz w:val="21"/>
                      <w:szCs w:val="21"/>
                      <w:lang w:eastAsia="en-US"/>
                    </w:rPr>
                    <w:t>509.71</w:t>
                  </w: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3550.96</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2"/>
                      <w:kern w:val="0"/>
                      <w:sz w:val="21"/>
                      <w:szCs w:val="21"/>
                      <w:lang w:eastAsia="en-US"/>
                    </w:rPr>
                    <w:t>580.47</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1" w:line="217"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5"/>
                      <w:kern w:val="0"/>
                      <w:sz w:val="21"/>
                      <w:szCs w:val="21"/>
                      <w:lang w:val="en-US" w:eastAsia="en-US" w:bidi="ar-SA"/>
                    </w:rPr>
                    <w:t>高升乡</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6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1418.67</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67"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1418.67</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2" w:line="216"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7"/>
                      <w:kern w:val="0"/>
                      <w:sz w:val="21"/>
                      <w:szCs w:val="21"/>
                      <w:lang w:val="en-US" w:eastAsia="en-US" w:bidi="ar-SA"/>
                    </w:rPr>
                    <w:t>荷叶乡</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1666.13</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1271.59</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394.54</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4" w:line="215"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5"/>
                      <w:kern w:val="0"/>
                      <w:sz w:val="21"/>
                      <w:szCs w:val="21"/>
                      <w:lang w:val="en-US" w:eastAsia="en-US" w:bidi="ar-SA"/>
                    </w:rPr>
                    <w:t>红江镇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2"/>
                      <w:kern w:val="0"/>
                      <w:sz w:val="21"/>
                      <w:szCs w:val="21"/>
                      <w:lang w:eastAsia="en-US"/>
                    </w:rPr>
                    <w:t>812.67</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761.43</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2"/>
                      <w:kern w:val="0"/>
                      <w:sz w:val="21"/>
                      <w:szCs w:val="21"/>
                      <w:lang w:eastAsia="en-US"/>
                    </w:rPr>
                    <w:t>51.24</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2" w:line="216"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槐花镇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5459.95</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4541.06</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68"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918.89</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4" w:line="214"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4"/>
                      <w:kern w:val="0"/>
                      <w:sz w:val="21"/>
                      <w:szCs w:val="21"/>
                      <w:lang w:val="en-US" w:eastAsia="en-US" w:bidi="ar-SA"/>
                    </w:rPr>
                    <w:t>吉祥镇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4140.00</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4095.43</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44.57</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6" w:line="214"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金桥镇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72"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6041.41</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72"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4019.55</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72"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2021.86</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4" w:line="215"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kern w:val="0"/>
                      <w:sz w:val="21"/>
                      <w:szCs w:val="21"/>
                      <w:lang w:val="en-US" w:eastAsia="en-US" w:bidi="ar-SA"/>
                    </w:rPr>
                    <w:t>明月镇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3254.38</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233.47</w:t>
                  </w: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2871.11</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kern w:val="0"/>
                      <w:sz w:val="21"/>
                      <w:szCs w:val="21"/>
                      <w:lang w:eastAsia="en-US"/>
                    </w:rPr>
                    <w:t>149.80</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14"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3"/>
                      <w:kern w:val="0"/>
                      <w:sz w:val="21"/>
                      <w:szCs w:val="21"/>
                      <w:lang w:val="en-US" w:eastAsia="en-US" w:bidi="ar-SA"/>
                    </w:rPr>
                    <w:t>鸣凤镇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2329.67</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38.26</w:t>
                  </w: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2276.52</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14.89</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4" w:line="215"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蓬南镇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1904.74</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1840.60</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2"/>
                      <w:kern w:val="0"/>
                      <w:sz w:val="21"/>
                      <w:szCs w:val="21"/>
                      <w:lang w:eastAsia="en-US"/>
                    </w:rPr>
                    <w:t>64.14</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14"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7"/>
                      <w:kern w:val="0"/>
                      <w:sz w:val="21"/>
                      <w:szCs w:val="21"/>
                      <w:lang w:val="en-US" w:eastAsia="en-US" w:bidi="ar-SA"/>
                    </w:rPr>
                    <w:t>普安街道</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701.68</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680.35</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21.33</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6" w:line="214"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群利镇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72"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kern w:val="0"/>
                      <w:sz w:val="21"/>
                      <w:szCs w:val="21"/>
                      <w:lang w:eastAsia="en-US"/>
                    </w:rPr>
                    <w:t>102.20</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72"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2"/>
                      <w:kern w:val="0"/>
                      <w:sz w:val="21"/>
                      <w:szCs w:val="21"/>
                      <w:lang w:eastAsia="en-US"/>
                    </w:rPr>
                    <w:t>89.78</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72"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12.42</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4" w:line="215"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7"/>
                      <w:kern w:val="0"/>
                      <w:sz w:val="21"/>
                      <w:szCs w:val="21"/>
                      <w:lang w:val="en-US" w:eastAsia="en-US" w:bidi="ar-SA"/>
                    </w:rPr>
                    <w:t>任隆镇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5123.69</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4310.25</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2"/>
                      <w:kern w:val="0"/>
                      <w:sz w:val="21"/>
                      <w:szCs w:val="21"/>
                      <w:lang w:eastAsia="en-US"/>
                    </w:rPr>
                    <w:t>813.44</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14"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三凤镇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4734.38</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21.92</w:t>
                  </w: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4159.35</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2"/>
                      <w:kern w:val="0"/>
                      <w:sz w:val="21"/>
                      <w:szCs w:val="21"/>
                      <w:lang w:eastAsia="en-US"/>
                    </w:rPr>
                    <w:t>553.11</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7" w:line="213"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5"/>
                      <w:kern w:val="0"/>
                      <w:sz w:val="21"/>
                      <w:szCs w:val="21"/>
                      <w:lang w:val="en-US" w:eastAsia="en-US" w:bidi="ar-SA"/>
                    </w:rPr>
                    <w:t>天福镇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72"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2069.09</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72"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1804.82</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72"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264.27</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14"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文井镇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2"/>
                      <w:kern w:val="0"/>
                      <w:sz w:val="21"/>
                      <w:szCs w:val="21"/>
                      <w:lang w:eastAsia="en-US"/>
                    </w:rPr>
                    <w:t>5132.97</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kern w:val="0"/>
                      <w:sz w:val="21"/>
                      <w:szCs w:val="21"/>
                      <w:lang w:eastAsia="en-US"/>
                    </w:rPr>
                    <w:t>163.09</w:t>
                  </w: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4"/>
                      <w:kern w:val="0"/>
                      <w:sz w:val="21"/>
                      <w:szCs w:val="21"/>
                      <w:lang w:eastAsia="en-US"/>
                    </w:rPr>
                    <w:t>4286.03</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70"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3"/>
                      <w:kern w:val="0"/>
                      <w:sz w:val="21"/>
                      <w:szCs w:val="21"/>
                      <w:lang w:eastAsia="en-US"/>
                    </w:rPr>
                    <w:t>683.85</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 w:hRule="atLeast"/>
                <w:jc w:val="center"/>
              </w:trPr>
              <w:tc>
                <w:tcPr>
                  <w:tcW w:w="897"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17" w:lineRule="auto"/>
                    <w:ind w:left="24" w:leftChars="10" w:right="57" w:firstLine="0" w:firstLineChars="0"/>
                    <w:jc w:val="center"/>
                    <w:textAlignment w:val="baseline"/>
                    <w:rPr>
                      <w:rFonts w:ascii="宋体" w:hAnsi="宋体" w:eastAsia="宋体" w:cs="宋体"/>
                      <w:snapToGrid w:val="0"/>
                      <w:color w:val="auto"/>
                      <w:kern w:val="0"/>
                      <w:sz w:val="21"/>
                      <w:szCs w:val="21"/>
                      <w:lang w:val="en-US" w:eastAsia="en-US" w:bidi="ar-SA"/>
                    </w:rPr>
                  </w:pPr>
                  <w:r>
                    <w:rPr>
                      <w:rFonts w:ascii="宋体" w:hAnsi="宋体" w:eastAsia="宋体" w:cs="宋体"/>
                      <w:snapToGrid w:val="0"/>
                      <w:color w:val="auto"/>
                      <w:spacing w:val="6"/>
                      <w:kern w:val="0"/>
                      <w:sz w:val="21"/>
                      <w:szCs w:val="21"/>
                      <w:lang w:val="en-US" w:eastAsia="en-US" w:bidi="ar-SA"/>
                    </w:rPr>
                    <w:t>新会镇</w:t>
                  </w:r>
                </w:p>
              </w:tc>
              <w:tc>
                <w:tcPr>
                  <w:tcW w:w="1114"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1654.27</w:t>
                  </w:r>
                </w:p>
              </w:tc>
              <w:tc>
                <w:tcPr>
                  <w:tcW w:w="148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c>
                <w:tcPr>
                  <w:tcW w:w="1584"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1"/>
                      <w:kern w:val="0"/>
                      <w:sz w:val="21"/>
                      <w:szCs w:val="21"/>
                      <w:lang w:eastAsia="en-US"/>
                    </w:rPr>
                    <w:t>1642.66</w:t>
                  </w:r>
                </w:p>
              </w:tc>
              <w:tc>
                <w:tcPr>
                  <w:tcW w:w="1537" w:type="dxa"/>
                  <w:vAlign w:val="top"/>
                </w:tcPr>
                <w:p>
                  <w:pPr>
                    <w:keepNext w:val="0"/>
                    <w:keepLines w:val="0"/>
                    <w:pageBreakBefore w:val="0"/>
                    <w:widowControl/>
                    <w:kinsoku w:val="0"/>
                    <w:wordWrap/>
                    <w:overflowPunct/>
                    <w:topLinePunct w:val="0"/>
                    <w:autoSpaceDE w:val="0"/>
                    <w:autoSpaceDN w:val="0"/>
                    <w:bidi w:val="0"/>
                    <w:adjustRightInd w:val="0"/>
                    <w:snapToGrid w:val="0"/>
                    <w:spacing w:before="71" w:line="195" w:lineRule="auto"/>
                    <w:ind w:left="24" w:leftChars="10" w:right="57" w:firstLine="0" w:firstLineChars="0"/>
                    <w:jc w:val="center"/>
                    <w:textAlignment w:val="baseline"/>
                    <w:rPr>
                      <w:rFonts w:ascii="Times New Roman" w:hAnsi="Times New Roman" w:eastAsia="Times New Roman" w:cs="Times New Roman"/>
                      <w:snapToGrid w:val="0"/>
                      <w:color w:val="auto"/>
                      <w:kern w:val="0"/>
                      <w:sz w:val="21"/>
                      <w:szCs w:val="21"/>
                      <w:lang w:eastAsia="en-US"/>
                    </w:rPr>
                  </w:pPr>
                  <w:r>
                    <w:rPr>
                      <w:rFonts w:ascii="Times New Roman" w:hAnsi="Times New Roman" w:eastAsia="Times New Roman" w:cs="Times New Roman"/>
                      <w:snapToGrid w:val="0"/>
                      <w:color w:val="auto"/>
                      <w:spacing w:val="-2"/>
                      <w:kern w:val="0"/>
                      <w:sz w:val="21"/>
                      <w:szCs w:val="21"/>
                      <w:lang w:eastAsia="en-US"/>
                    </w:rPr>
                    <w:t>11.61</w:t>
                  </w:r>
                </w:p>
              </w:tc>
              <w:tc>
                <w:tcPr>
                  <w:tcW w:w="1357"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57" w:firstLine="0" w:firstLineChars="0"/>
                    <w:jc w:val="center"/>
                    <w:textAlignment w:val="baseline"/>
                    <w:rPr>
                      <w:rFonts w:ascii="Arial" w:hAnsi="Arial" w:eastAsia="Arial" w:cs="Arial"/>
                      <w:snapToGrid w:val="0"/>
                      <w:color w:val="auto"/>
                      <w:kern w:val="0"/>
                      <w:sz w:val="21"/>
                      <w:szCs w:val="21"/>
                      <w:lang w:eastAsia="en-US"/>
                    </w:rPr>
                  </w:pPr>
                </w:p>
              </w:tc>
            </w:tr>
          </w:tbl>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（2）抚育对象</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中幼龄林抚育实施林分对象主要包括三大类：</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抚育方式1：透光伐，主要针对中高郁闭度（P≥0.8）的柏木幼龄林，目标树受到压制的林分进行。</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抚育方式2：疏伐，主要针对坡度≤25°</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en-US" w:bidi="ar-SA"/>
              </w:rPr>
              <w:t>郁闭度≥0.7且有必要调整树种结构的幼、中、近熟林进行。</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抚育方式3：生长伐，主要针对郁闭度P≥0.8，目标树生长缓慢或呈下降趋势的中、近熟林林分进行。</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抚育方式4：综合生态疏伐，坡度≤25°</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en-US" w:bidi="ar-SA"/>
              </w:rPr>
              <w:t>郁闭度≥0.7且有必要调整树种结构的幼、中、近熟林。</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（3）主要技术要点</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1）目标树选择与标记</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选择数量：每亩标记8-12株优势木作为目标树，进行标记保留。选择标准、控制指标、选树流程等见“5.5.2（3）主要技术要点”。</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2）抚育采伐</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采伐强度：根据经营目的、立地条件、林分状况等综合因素，遵循“陡坡小于缓坡、山地小于平地、阴坡小于阳坡”的原则考虑采伐强度。抚育方式1透光伐（模型编号FY01-新-1至FY01-新-2）采伐株数强度30%-40%，采伐蓄积强度9.0%-16.3%。抚育方式2疏伐（模型编号FY02-新-1至FY02-新-4）采伐株数强度25%-40%，采伐蓄积强度8.5%-19.7%。抚育方式3生长伐（模型编号FY03-新-1至FY03-新-2）采伐株数强度31%-38%，采伐蓄积强度11.9%-15.8%。抚育方式4综合生态疏伐（模型编号FY04-新-1）采伐株数强度38%，采伐蓄积强度13.6%。</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控制指标：伐后不能造成天窗，伐后林分平均胸径不低于伐前林分平均胸径。抚育方式1透光伐（模型编号FY01-新-1至FY01-新-2）株数强度≤60%且伐后郁闭度降低不超过0.2。抚育方式2疏伐（模型编号FY02-新-1至FY02-新-4）株数强度≤40%且伐后郁闭度不低于0.6或伐后郁闭度降低不超过0.2。抚育方式3生长伐（模型编号FY03-新-1至FY03-新-2）株数强度≤50%且伐后郁闭度不低于0.6或伐后郁闭度降低不超过0.2。抚育方式综合生态疏伐（模型编号FY04-新-1）株数强度≤40%且伐后郁闭度不低于0.6或伐后郁闭度降低不超过0.2。</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3）补植设计</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补植面积：抚育方式1透光伐（模型编号FY01-新-1至FY01-新-2）面积1060.44亩，其中1038.52亩补植，21.92亩不补植。抚育方式2疏伐（模型编号FY02-新-1至FY02-新-4）面积56137.69亩，其中40167.0亩补植，15970.64亩不补植。抚育方式3生长伐（模型编号FY03-新-1至FY03-新-2）面积7374.27亩，其中3597.57亩补植，3776.70亩不补植。抚育方式4综合生态疏伐（模型编号FY04-新-1）面积930.27亩，均为补植。</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补植树种：抚育方式1透光伐（模型编号FY01-新-1至FY01-新-2）补植树种栾树、青冈、合欢，树种组成6：2：2。抚育方式2疏伐（模型编号FY02-新-1至FY02-新-4）补植树种栾树、青冈、合欢，树种组成6：2：2。抚育方式3生长伐（模型编号FY03-新-1至FY03-新-2）补植树种栾树、青冈、合欢，树种组成6：2：2。</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补植方式：带状/随机群团状混交。</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补植密度：抚育方式1透光伐（模型编号FY01-新-1至FY01-新-2）栽植密度30株/亩、32株/亩。抚育方式2疏伐（模型编号FY02-新-1至FY02-新-4）栽植密度20株/亩-28株/亩。抚育方式3生长伐（模型编号FY03-新-1至FY03-新-2）栽植密度30株/亩、34株/亩。抚育方式4综合生态疏伐（模型编号FY04-新-1）栽植密度28株/亩。每个小班根据经营方向、现有株数和该类林分所处年龄阶段合理密度调整补植密度，补植后密度应达到该类林分合理密度的85%以上。</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b/>
                <w:bCs/>
                <w:snapToGrid/>
                <w:color w:val="auto"/>
                <w:kern w:val="2"/>
                <w:sz w:val="24"/>
                <w:szCs w:val="24"/>
                <w:lang w:val="en-US" w:eastAsia="en-US" w:bidi="ar-SA"/>
              </w:rPr>
            </w:pPr>
            <w:r>
              <w:rPr>
                <w:rFonts w:hint="default" w:ascii="Times New Roman" w:hAnsi="Times New Roman" w:eastAsia="宋体" w:cs="Times New Roman"/>
                <w:b/>
                <w:bCs/>
                <w:snapToGrid/>
                <w:color w:val="auto"/>
                <w:kern w:val="2"/>
                <w:sz w:val="24"/>
                <w:szCs w:val="24"/>
                <w:lang w:val="en-US" w:eastAsia="en-US" w:bidi="ar-SA"/>
              </w:rPr>
              <w:t>4</w:t>
            </w:r>
            <w:r>
              <w:rPr>
                <w:rFonts w:hint="eastAsia" w:ascii="Times New Roman" w:hAnsi="Times New Roman" w:eastAsia="宋体" w:cs="Times New Roman"/>
                <w:b/>
                <w:bCs/>
                <w:snapToGrid/>
                <w:color w:val="auto"/>
                <w:kern w:val="2"/>
                <w:sz w:val="24"/>
                <w:szCs w:val="24"/>
                <w:lang w:val="en-US" w:eastAsia="zh-CN" w:bidi="ar-SA"/>
              </w:rPr>
              <w:t>、</w:t>
            </w:r>
            <w:r>
              <w:rPr>
                <w:rFonts w:hint="default" w:ascii="Times New Roman" w:hAnsi="Times New Roman" w:eastAsia="宋体" w:cs="Times New Roman"/>
                <w:b/>
                <w:bCs/>
                <w:snapToGrid/>
                <w:color w:val="auto"/>
                <w:kern w:val="2"/>
                <w:sz w:val="24"/>
                <w:szCs w:val="24"/>
                <w:lang w:val="en-US" w:eastAsia="en-US" w:bidi="ar-SA"/>
              </w:rPr>
              <w:t>大径材培育</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en-US" w:bidi="ar-SA"/>
              </w:rPr>
            </w:pPr>
            <w:r>
              <w:rPr>
                <w:rFonts w:hint="default" w:ascii="Times New Roman" w:hAnsi="Times New Roman" w:eastAsia="宋体" w:cs="Times New Roman"/>
                <w:color w:val="auto"/>
                <w:kern w:val="2"/>
                <w:sz w:val="24"/>
                <w:szCs w:val="24"/>
                <w:lang w:val="en-US" w:eastAsia="en-US" w:bidi="ar-SA"/>
              </w:rPr>
              <w:t>储备林项目建设的根本任务是通过现有林改培和中幼林抚育等工程技术措施培育大径级木材。要充分认识到大径级用材林培育是国家金融支持储备林建设的战略目标，是项目建设的核心任务和关键指标，是整个项目中价值最大、收益最稳定、能确保资产保值增值的根本所在，也是项目到期“还得起”的最重要保障。</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en-US" w:bidi="ar-SA"/>
              </w:rPr>
              <w:t>项目营造林建设拟在槐花镇、文井镇建设大径材用材林培育示范林1万亩。</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cs="Times New Roman"/>
                <w:b/>
                <w:bCs/>
                <w:snapToGrid/>
                <w:color w:val="auto"/>
                <w:kern w:val="2"/>
                <w:sz w:val="24"/>
                <w:szCs w:val="24"/>
                <w:lang w:val="en-US" w:eastAsia="zh-CN" w:bidi="ar-SA"/>
              </w:rPr>
            </w:pPr>
            <w:r>
              <w:rPr>
                <w:rFonts w:hint="eastAsia" w:ascii="Times New Roman" w:hAnsi="Times New Roman" w:cs="Times New Roman"/>
                <w:b/>
                <w:bCs/>
                <w:snapToGrid/>
                <w:color w:val="auto"/>
                <w:kern w:val="2"/>
                <w:sz w:val="24"/>
                <w:szCs w:val="24"/>
                <w:lang w:val="en-US" w:eastAsia="zh-CN" w:bidi="ar-SA"/>
              </w:rPr>
              <w:t>二、林业产业建设方案</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宋体" w:hAnsi="宋体" w:eastAsia="宋体" w:cs="宋体"/>
                <w:snapToGrid w:val="0"/>
                <w:color w:val="auto"/>
                <w:kern w:val="0"/>
                <w:sz w:val="24"/>
                <w:szCs w:val="24"/>
                <w:lang w:eastAsia="en-US"/>
              </w:rPr>
            </w:pPr>
            <w:r>
              <w:rPr>
                <w:rFonts w:hint="eastAsia" w:cs="Times New Roman"/>
                <w:b w:val="0"/>
                <w:bCs w:val="0"/>
                <w:snapToGrid w:val="0"/>
                <w:color w:val="auto"/>
                <w:spacing w:val="-4"/>
                <w:kern w:val="0"/>
                <w:sz w:val="24"/>
                <w:szCs w:val="24"/>
                <w:lang w:val="en-US" w:eastAsia="zh-CN"/>
              </w:rPr>
              <w:t>项目林业产业建设包含林菌种植及林药种植，</w:t>
            </w:r>
            <w:r>
              <w:rPr>
                <w:rFonts w:ascii="宋体" w:hAnsi="宋体" w:eastAsia="宋体" w:cs="宋体"/>
                <w:snapToGrid w:val="0"/>
                <w:color w:val="auto"/>
                <w:spacing w:val="1"/>
                <w:kern w:val="0"/>
                <w:sz w:val="24"/>
                <w:szCs w:val="24"/>
                <w:lang w:eastAsia="en-US"/>
              </w:rPr>
              <w:t>各片区建设规模见表</w:t>
            </w:r>
            <w:r>
              <w:rPr>
                <w:rFonts w:hint="eastAsia" w:eastAsia="宋体" w:cs="Times New Roman"/>
                <w:snapToGrid w:val="0"/>
                <w:color w:val="auto"/>
                <w:spacing w:val="1"/>
                <w:kern w:val="0"/>
                <w:sz w:val="24"/>
                <w:szCs w:val="24"/>
                <w:lang w:val="en-US" w:eastAsia="zh-CN"/>
              </w:rPr>
              <w:t>2</w:t>
            </w:r>
            <w:r>
              <w:rPr>
                <w:rFonts w:ascii="Times New Roman" w:hAnsi="Times New Roman" w:eastAsia="Times New Roman" w:cs="Times New Roman"/>
                <w:snapToGrid w:val="0"/>
                <w:color w:val="auto"/>
                <w:spacing w:val="1"/>
                <w:kern w:val="0"/>
                <w:sz w:val="24"/>
                <w:szCs w:val="24"/>
                <w:lang w:eastAsia="en-US"/>
              </w:rPr>
              <w:t>-1</w:t>
            </w:r>
            <w:r>
              <w:rPr>
                <w:rFonts w:hint="eastAsia" w:cs="Times New Roman"/>
                <w:snapToGrid w:val="0"/>
                <w:color w:val="auto"/>
                <w:spacing w:val="1"/>
                <w:kern w:val="0"/>
                <w:sz w:val="24"/>
                <w:szCs w:val="24"/>
                <w:lang w:val="en-US" w:eastAsia="zh-CN"/>
              </w:rPr>
              <w:t>4</w:t>
            </w:r>
            <w:r>
              <w:rPr>
                <w:rFonts w:ascii="宋体" w:hAnsi="宋体" w:eastAsia="宋体" w:cs="宋体"/>
                <w:snapToGrid w:val="0"/>
                <w:color w:val="auto"/>
                <w:spacing w:val="1"/>
                <w:kern w:val="0"/>
                <w:sz w:val="24"/>
                <w:szCs w:val="24"/>
                <w:lang w:eastAsia="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en-US"/>
              </w:rPr>
            </w:pPr>
            <w:r>
              <w:rPr>
                <w:rFonts w:hint="eastAsia" w:ascii="Times New Roman" w:hAnsi="Times New Roman" w:eastAsia="宋体" w:cs="Times New Roman"/>
                <w:b/>
                <w:bCs/>
                <w:color w:val="auto"/>
                <w:sz w:val="21"/>
                <w:szCs w:val="21"/>
                <w:lang w:val="en-US" w:eastAsia="en-US"/>
              </w:rPr>
              <w:t>表</w:t>
            </w:r>
            <w:r>
              <w:rPr>
                <w:rFonts w:hint="eastAsia" w:ascii="Times New Roman" w:hAnsi="Times New Roman" w:eastAsia="宋体"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en-US"/>
              </w:rPr>
              <w:t>-1</w:t>
            </w:r>
            <w:r>
              <w:rPr>
                <w:rFonts w:hint="eastAsia"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en-US"/>
              </w:rPr>
              <w:t xml:space="preserve">  林菌和林药实施范围与规模简表</w:t>
            </w:r>
          </w:p>
          <w:tbl>
            <w:tblPr>
              <w:tblStyle w:val="55"/>
              <w:tblW w:w="797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08"/>
              <w:gridCol w:w="2004"/>
              <w:gridCol w:w="1982"/>
              <w:gridCol w:w="18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3" w:hRule="atLeast"/>
              </w:trPr>
              <w:tc>
                <w:tcPr>
                  <w:tcW w:w="21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96" w:line="23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b/>
                      <w:bCs/>
                      <w:snapToGrid w:val="0"/>
                      <w:color w:val="auto"/>
                      <w:spacing w:val="-2"/>
                      <w:kern w:val="0"/>
                      <w:sz w:val="21"/>
                      <w:szCs w:val="21"/>
                      <w:lang w:eastAsia="en-US"/>
                    </w:rPr>
                    <w:t>片区</w:t>
                  </w:r>
                </w:p>
              </w:tc>
              <w:tc>
                <w:tcPr>
                  <w:tcW w:w="2004" w:type="dxa"/>
                  <w:vAlign w:val="center"/>
                </w:tcPr>
                <w:p>
                  <w:pPr>
                    <w:keepNext w:val="0"/>
                    <w:keepLines w:val="0"/>
                    <w:pageBreakBefore w:val="0"/>
                    <w:kinsoku w:val="0"/>
                    <w:wordWrap/>
                    <w:overflowPunct/>
                    <w:topLinePunct w:val="0"/>
                    <w:autoSpaceDE w:val="0"/>
                    <w:autoSpaceDN w:val="0"/>
                    <w:bidi w:val="0"/>
                    <w:adjustRightInd w:val="0"/>
                    <w:snapToGrid w:val="0"/>
                    <w:spacing w:before="97" w:line="231"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5"/>
                      <w:kern w:val="0"/>
                      <w:sz w:val="21"/>
                      <w:szCs w:val="21"/>
                      <w:lang w:val="en-US" w:eastAsia="en-US" w:bidi="ar-SA"/>
                    </w:rPr>
                    <w:t>林菌产业（亩）</w:t>
                  </w:r>
                </w:p>
              </w:tc>
              <w:tc>
                <w:tcPr>
                  <w:tcW w:w="1982" w:type="dxa"/>
                  <w:vAlign w:val="center"/>
                </w:tcPr>
                <w:p>
                  <w:pPr>
                    <w:keepNext w:val="0"/>
                    <w:keepLines w:val="0"/>
                    <w:pageBreakBefore w:val="0"/>
                    <w:kinsoku w:val="0"/>
                    <w:wordWrap/>
                    <w:overflowPunct/>
                    <w:topLinePunct w:val="0"/>
                    <w:autoSpaceDE w:val="0"/>
                    <w:autoSpaceDN w:val="0"/>
                    <w:bidi w:val="0"/>
                    <w:adjustRightInd w:val="0"/>
                    <w:snapToGrid w:val="0"/>
                    <w:spacing w:before="97" w:line="231"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5"/>
                      <w:kern w:val="0"/>
                      <w:sz w:val="21"/>
                      <w:szCs w:val="21"/>
                      <w:lang w:val="en-US" w:eastAsia="en-US" w:bidi="ar-SA"/>
                    </w:rPr>
                    <w:t>林药产业（亩）</w:t>
                  </w:r>
                </w:p>
              </w:tc>
              <w:tc>
                <w:tcPr>
                  <w:tcW w:w="1876" w:type="dxa"/>
                  <w:vAlign w:val="center"/>
                </w:tcPr>
                <w:p>
                  <w:pPr>
                    <w:keepNext w:val="0"/>
                    <w:keepLines w:val="0"/>
                    <w:pageBreakBefore w:val="0"/>
                    <w:kinsoku w:val="0"/>
                    <w:wordWrap/>
                    <w:overflowPunct/>
                    <w:topLinePunct w:val="0"/>
                    <w:autoSpaceDE w:val="0"/>
                    <w:autoSpaceDN w:val="0"/>
                    <w:bidi w:val="0"/>
                    <w:adjustRightInd w:val="0"/>
                    <w:snapToGrid w:val="0"/>
                    <w:spacing w:before="97" w:line="231"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snapToGrid w:val="0"/>
                      <w:color w:val="auto"/>
                      <w:spacing w:val="4"/>
                      <w:kern w:val="0"/>
                      <w:sz w:val="21"/>
                      <w:szCs w:val="21"/>
                      <w:lang w:val="en-US" w:eastAsia="en-US" w:bidi="ar-SA"/>
                    </w:rPr>
                    <w:t>面积合计（亩）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21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23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芝溪片区</w:t>
                  </w:r>
                </w:p>
              </w:tc>
              <w:tc>
                <w:tcPr>
                  <w:tcW w:w="20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9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8" w:line="19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1490.8</w:t>
                  </w:r>
                </w:p>
              </w:tc>
              <w:tc>
                <w:tcPr>
                  <w:tcW w:w="18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8" w:line="19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1490.8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21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5" w:line="231"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常乐天福红江片区</w:t>
                  </w:r>
                </w:p>
              </w:tc>
              <w:tc>
                <w:tcPr>
                  <w:tcW w:w="20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9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517.32</w:t>
                  </w:r>
                </w:p>
              </w:tc>
              <w:tc>
                <w:tcPr>
                  <w:tcW w:w="19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9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2021.84</w:t>
                  </w:r>
                </w:p>
              </w:tc>
              <w:tc>
                <w:tcPr>
                  <w:tcW w:w="18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9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2539.16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21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231"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5"/>
                      <w:kern w:val="0"/>
                      <w:sz w:val="21"/>
                      <w:szCs w:val="21"/>
                      <w:lang w:eastAsia="en-US"/>
                    </w:rPr>
                    <w:t>高峰山片区</w:t>
                  </w:r>
                </w:p>
              </w:tc>
              <w:tc>
                <w:tcPr>
                  <w:tcW w:w="20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9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2" w:line="19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175.4</w:t>
                  </w:r>
                </w:p>
              </w:tc>
              <w:tc>
                <w:tcPr>
                  <w:tcW w:w="18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2" w:line="19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175.4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2" w:hRule="atLeast"/>
              </w:trPr>
              <w:tc>
                <w:tcPr>
                  <w:tcW w:w="21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231"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7"/>
                      <w:kern w:val="0"/>
                      <w:sz w:val="21"/>
                      <w:szCs w:val="21"/>
                      <w:lang w:eastAsia="en-US"/>
                    </w:rPr>
                    <w:t>遂潼一体化片区</w:t>
                  </w:r>
                </w:p>
              </w:tc>
              <w:tc>
                <w:tcPr>
                  <w:tcW w:w="20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3" w:line="19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482.74</w:t>
                  </w:r>
                </w:p>
              </w:tc>
              <w:tc>
                <w:tcPr>
                  <w:tcW w:w="19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3" w:line="19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1311.9</w:t>
                  </w:r>
                </w:p>
              </w:tc>
              <w:tc>
                <w:tcPr>
                  <w:tcW w:w="18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3" w:line="19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1794.64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7" w:hRule="atLeast"/>
              </w:trPr>
              <w:tc>
                <w:tcPr>
                  <w:tcW w:w="2108"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231"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合计</w:t>
                  </w:r>
                </w:p>
              </w:tc>
              <w:tc>
                <w:tcPr>
                  <w:tcW w:w="20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3" w:line="19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1000.06</w:t>
                  </w:r>
                </w:p>
              </w:tc>
              <w:tc>
                <w:tcPr>
                  <w:tcW w:w="198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3" w:line="19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4999.94</w:t>
                  </w:r>
                </w:p>
              </w:tc>
              <w:tc>
                <w:tcPr>
                  <w:tcW w:w="18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3" w:line="19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6000</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outlineLvl w:val="2"/>
              <w:rPr>
                <w:rFonts w:hint="default" w:cs="Times New Roman"/>
                <w:b w:val="0"/>
                <w:bCs w:val="0"/>
                <w:snapToGrid w:val="0"/>
                <w:color w:val="auto"/>
                <w:spacing w:val="-4"/>
                <w:kern w:val="0"/>
                <w:sz w:val="24"/>
                <w:szCs w:val="2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left"/>
              <w:textAlignment w:val="baseline"/>
              <w:outlineLvl w:val="2"/>
              <w:rPr>
                <w:rFonts w:hint="default" w:ascii="Times New Roman" w:hAnsi="Times New Roman" w:eastAsia="宋体" w:cs="Times New Roman"/>
                <w:b/>
                <w:bCs/>
                <w:snapToGrid w:val="0"/>
                <w:color w:val="auto"/>
                <w:spacing w:val="-4"/>
                <w:kern w:val="0"/>
                <w:sz w:val="24"/>
                <w:szCs w:val="24"/>
                <w:lang w:eastAsia="en-US"/>
              </w:rPr>
            </w:pPr>
            <w:r>
              <w:rPr>
                <w:rFonts w:hint="eastAsia" w:cs="Times New Roman"/>
                <w:b/>
                <w:bCs/>
                <w:snapToGrid w:val="0"/>
                <w:color w:val="auto"/>
                <w:spacing w:val="-4"/>
                <w:kern w:val="0"/>
                <w:sz w:val="24"/>
                <w:szCs w:val="24"/>
                <w:lang w:val="en-US" w:eastAsia="zh-CN"/>
              </w:rPr>
              <w:t>1、</w:t>
            </w:r>
            <w:r>
              <w:rPr>
                <w:rFonts w:hint="default" w:ascii="Times New Roman" w:hAnsi="Times New Roman" w:eastAsia="宋体" w:cs="Times New Roman"/>
                <w:b/>
                <w:bCs/>
                <w:snapToGrid w:val="0"/>
                <w:color w:val="auto"/>
                <w:spacing w:val="-4"/>
                <w:kern w:val="0"/>
                <w:sz w:val="24"/>
                <w:szCs w:val="24"/>
                <w:lang w:eastAsia="en-US"/>
              </w:rPr>
              <w:t>林菌种植建设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left"/>
              <w:textAlignment w:val="baseline"/>
              <w:outlineLvl w:val="2"/>
              <w:rPr>
                <w:rFonts w:ascii="宋体" w:hAnsi="宋体" w:eastAsia="宋体" w:cs="宋体"/>
                <w:snapToGrid w:val="0"/>
                <w:color w:val="auto"/>
                <w:kern w:val="0"/>
                <w:sz w:val="24"/>
                <w:szCs w:val="24"/>
                <w:lang w:eastAsia="en-US"/>
              </w:rPr>
            </w:pPr>
            <w:r>
              <w:rPr>
                <w:rFonts w:ascii="宋体" w:hAnsi="宋体" w:eastAsia="宋体" w:cs="宋体"/>
                <w:b/>
                <w:bCs/>
                <w:snapToGrid w:val="0"/>
                <w:color w:val="auto"/>
                <w:spacing w:val="-4"/>
                <w:kern w:val="0"/>
                <w:sz w:val="24"/>
                <w:szCs w:val="24"/>
                <w:lang w:eastAsia="en-US"/>
              </w:rPr>
              <w:t>（</w:t>
            </w:r>
            <w:r>
              <w:rPr>
                <w:rFonts w:ascii="Times New Roman" w:hAnsi="Times New Roman" w:eastAsia="Times New Roman" w:cs="Times New Roman"/>
                <w:b/>
                <w:bCs/>
                <w:snapToGrid w:val="0"/>
                <w:color w:val="auto"/>
                <w:spacing w:val="-4"/>
                <w:kern w:val="0"/>
                <w:sz w:val="24"/>
                <w:szCs w:val="24"/>
                <w:lang w:eastAsia="en-US"/>
              </w:rPr>
              <w:t>1</w:t>
            </w:r>
            <w:r>
              <w:rPr>
                <w:rFonts w:ascii="宋体" w:hAnsi="宋体" w:eastAsia="宋体" w:cs="宋体"/>
                <w:b/>
                <w:bCs/>
                <w:snapToGrid w:val="0"/>
                <w:color w:val="auto"/>
                <w:spacing w:val="-4"/>
                <w:kern w:val="0"/>
                <w:sz w:val="24"/>
                <w:szCs w:val="24"/>
                <w:lang w:eastAsia="en-US"/>
              </w:rPr>
              <w:t>）实施范围与规模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outlineLvl w:val="2"/>
              <w:rPr>
                <w:rFonts w:hint="eastAsia" w:ascii="宋体" w:hAnsi="宋体" w:eastAsia="宋体" w:cs="宋体"/>
                <w:snapToGrid w:val="0"/>
                <w:color w:val="auto"/>
                <w:spacing w:val="1"/>
                <w:kern w:val="0"/>
                <w:sz w:val="24"/>
                <w:szCs w:val="24"/>
                <w:lang w:eastAsia="zh-CN"/>
              </w:rPr>
            </w:pPr>
            <w:r>
              <w:rPr>
                <w:rFonts w:ascii="宋体" w:hAnsi="宋体" w:eastAsia="宋体" w:cs="宋体"/>
                <w:snapToGrid w:val="0"/>
                <w:color w:val="auto"/>
                <w:spacing w:val="-2"/>
                <w:kern w:val="0"/>
                <w:sz w:val="24"/>
                <w:szCs w:val="24"/>
                <w:lang w:eastAsia="en-US"/>
              </w:rPr>
              <w:t>林业产业中林菌主要发展食药用菌，球盖菇</w:t>
            </w:r>
            <w:r>
              <w:rPr>
                <w:rFonts w:ascii="宋体" w:hAnsi="宋体" w:eastAsia="宋体" w:cs="宋体"/>
                <w:snapToGrid w:val="0"/>
                <w:color w:val="auto"/>
                <w:spacing w:val="-3"/>
                <w:kern w:val="0"/>
                <w:sz w:val="24"/>
                <w:szCs w:val="24"/>
                <w:lang w:eastAsia="en-US"/>
              </w:rPr>
              <w:t>、羊肚菌等（发展种类可</w:t>
            </w:r>
            <w:r>
              <w:rPr>
                <w:rFonts w:ascii="宋体" w:hAnsi="宋体" w:eastAsia="宋体" w:cs="宋体"/>
                <w:snapToGrid w:val="0"/>
                <w:color w:val="auto"/>
                <w:spacing w:val="2"/>
                <w:kern w:val="0"/>
                <w:sz w:val="24"/>
                <w:szCs w:val="24"/>
                <w:lang w:eastAsia="en-US"/>
              </w:rPr>
              <w:t>根据市场调研、供需、发展意愿等调整）</w:t>
            </w:r>
            <w:r>
              <w:rPr>
                <w:rFonts w:ascii="Times New Roman" w:hAnsi="Times New Roman" w:eastAsia="Times New Roman" w:cs="Times New Roman"/>
                <w:snapToGrid w:val="0"/>
                <w:color w:val="auto"/>
                <w:spacing w:val="2"/>
                <w:kern w:val="0"/>
                <w:sz w:val="24"/>
                <w:szCs w:val="24"/>
                <w:lang w:eastAsia="en-US"/>
              </w:rPr>
              <w:t>1000.06</w:t>
            </w:r>
            <w:r>
              <w:rPr>
                <w:rFonts w:ascii="宋体" w:hAnsi="宋体" w:eastAsia="宋体" w:cs="宋体"/>
                <w:snapToGrid w:val="0"/>
                <w:color w:val="auto"/>
                <w:spacing w:val="2"/>
                <w:kern w:val="0"/>
                <w:sz w:val="24"/>
                <w:szCs w:val="24"/>
                <w:lang w:eastAsia="en-US"/>
              </w:rPr>
              <w:t>亩。涉及常乐天</w:t>
            </w:r>
            <w:r>
              <w:rPr>
                <w:rFonts w:ascii="宋体" w:hAnsi="宋体" w:eastAsia="宋体" w:cs="宋体"/>
                <w:snapToGrid w:val="0"/>
                <w:color w:val="auto"/>
                <w:spacing w:val="1"/>
                <w:kern w:val="0"/>
                <w:sz w:val="24"/>
                <w:szCs w:val="24"/>
                <w:lang w:eastAsia="en-US"/>
              </w:rPr>
              <w:t>福红江片区、遂潼一体化片区</w:t>
            </w:r>
            <w:r>
              <w:rPr>
                <w:rFonts w:ascii="Times New Roman" w:hAnsi="Times New Roman" w:eastAsia="Times New Roman" w:cs="Times New Roman"/>
                <w:snapToGrid w:val="0"/>
                <w:color w:val="auto"/>
                <w:spacing w:val="1"/>
                <w:kern w:val="0"/>
                <w:sz w:val="24"/>
                <w:szCs w:val="24"/>
                <w:lang w:eastAsia="en-US"/>
              </w:rPr>
              <w:t>2</w:t>
            </w:r>
            <w:r>
              <w:rPr>
                <w:rFonts w:ascii="宋体" w:hAnsi="宋体" w:eastAsia="宋体" w:cs="宋体"/>
                <w:snapToGrid w:val="0"/>
                <w:color w:val="auto"/>
                <w:spacing w:val="1"/>
                <w:kern w:val="0"/>
                <w:sz w:val="24"/>
                <w:szCs w:val="24"/>
                <w:lang w:eastAsia="en-US"/>
              </w:rPr>
              <w:t>个片区</w:t>
            </w:r>
            <w:r>
              <w:rPr>
                <w:rFonts w:ascii="Times New Roman" w:hAnsi="Times New Roman" w:eastAsia="Times New Roman" w:cs="Times New Roman"/>
                <w:snapToGrid w:val="0"/>
                <w:color w:val="auto"/>
                <w:spacing w:val="1"/>
                <w:kern w:val="0"/>
                <w:sz w:val="24"/>
                <w:szCs w:val="24"/>
                <w:lang w:eastAsia="en-US"/>
              </w:rPr>
              <w:t>37</w:t>
            </w:r>
            <w:r>
              <w:rPr>
                <w:rFonts w:ascii="宋体" w:hAnsi="宋体" w:eastAsia="宋体" w:cs="宋体"/>
                <w:snapToGrid w:val="0"/>
                <w:color w:val="auto"/>
                <w:spacing w:val="1"/>
                <w:kern w:val="0"/>
                <w:sz w:val="24"/>
                <w:szCs w:val="24"/>
                <w:lang w:eastAsia="en-US"/>
              </w:rPr>
              <w:t>个小班</w:t>
            </w:r>
            <w:r>
              <w:rPr>
                <w:rFonts w:hint="eastAsia" w:ascii="宋体" w:hAnsi="宋体" w:cs="宋体"/>
                <w:snapToGrid w:val="0"/>
                <w:color w:val="auto"/>
                <w:spacing w:val="1"/>
                <w:kern w:val="0"/>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2" w:firstLineChars="200"/>
              <w:jc w:val="left"/>
              <w:textAlignment w:val="baseline"/>
              <w:outlineLvl w:val="2"/>
              <w:rPr>
                <w:rFonts w:ascii="宋体" w:hAnsi="宋体" w:eastAsia="宋体" w:cs="宋体"/>
                <w:snapToGrid w:val="0"/>
                <w:color w:val="auto"/>
                <w:kern w:val="0"/>
                <w:sz w:val="24"/>
                <w:szCs w:val="24"/>
                <w:lang w:eastAsia="en-US"/>
              </w:rPr>
            </w:pPr>
            <w:r>
              <w:rPr>
                <w:rFonts w:ascii="宋体" w:hAnsi="宋体" w:eastAsia="宋体" w:cs="宋体"/>
                <w:b/>
                <w:bCs/>
                <w:snapToGrid w:val="0"/>
                <w:color w:val="auto"/>
                <w:spacing w:val="-5"/>
                <w:kern w:val="0"/>
                <w:sz w:val="24"/>
                <w:szCs w:val="24"/>
                <w:lang w:eastAsia="en-US"/>
              </w:rPr>
              <w:t>（</w:t>
            </w:r>
            <w:r>
              <w:rPr>
                <w:rFonts w:ascii="Times New Roman" w:hAnsi="Times New Roman" w:eastAsia="Times New Roman" w:cs="Times New Roman"/>
                <w:b/>
                <w:bCs/>
                <w:snapToGrid w:val="0"/>
                <w:color w:val="auto"/>
                <w:spacing w:val="-5"/>
                <w:kern w:val="0"/>
                <w:sz w:val="24"/>
                <w:szCs w:val="24"/>
                <w:lang w:eastAsia="en-US"/>
              </w:rPr>
              <w:t>2</w:t>
            </w:r>
            <w:r>
              <w:rPr>
                <w:rFonts w:ascii="宋体" w:hAnsi="宋体" w:eastAsia="宋体" w:cs="宋体"/>
                <w:b/>
                <w:bCs/>
                <w:snapToGrid w:val="0"/>
                <w:color w:val="auto"/>
                <w:spacing w:val="-5"/>
                <w:kern w:val="0"/>
                <w:sz w:val="24"/>
                <w:szCs w:val="24"/>
                <w:lang w:eastAsia="en-US"/>
              </w:rPr>
              <w:t>）实施对象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利用营造林地块中</w:t>
            </w:r>
            <w:r>
              <w:rPr>
                <w:rFonts w:hint="eastAsia" w:ascii="宋体" w:hAnsi="宋体" w:cs="宋体"/>
                <w:snapToGrid w:val="0"/>
                <w:color w:val="auto"/>
                <w:spacing w:val="-2"/>
                <w:kern w:val="0"/>
                <w:sz w:val="24"/>
                <w:szCs w:val="24"/>
                <w:lang w:eastAsia="zh-CN"/>
              </w:rPr>
              <w:t>的</w:t>
            </w:r>
            <w:r>
              <w:rPr>
                <w:rFonts w:ascii="宋体" w:hAnsi="宋体" w:eastAsia="宋体" w:cs="宋体"/>
                <w:snapToGrid w:val="0"/>
                <w:color w:val="auto"/>
                <w:spacing w:val="-2"/>
                <w:kern w:val="0"/>
                <w:sz w:val="24"/>
                <w:szCs w:val="24"/>
                <w:lang w:eastAsia="en-US"/>
              </w:rPr>
              <w:t>中幼龄林抚育地块、现有</w:t>
            </w:r>
            <w:r>
              <w:rPr>
                <w:rFonts w:ascii="宋体" w:hAnsi="宋体" w:eastAsia="宋体" w:cs="宋体"/>
                <w:snapToGrid w:val="0"/>
                <w:color w:val="auto"/>
                <w:spacing w:val="-3"/>
                <w:kern w:val="0"/>
                <w:sz w:val="24"/>
                <w:szCs w:val="24"/>
                <w:lang w:eastAsia="en-US"/>
              </w:rPr>
              <w:t>林改培地块，以及未纳入</w:t>
            </w:r>
            <w:r>
              <w:rPr>
                <w:rFonts w:ascii="宋体" w:hAnsi="宋体" w:eastAsia="宋体" w:cs="宋体"/>
                <w:snapToGrid w:val="0"/>
                <w:color w:val="auto"/>
                <w:spacing w:val="-1"/>
                <w:kern w:val="0"/>
                <w:sz w:val="24"/>
                <w:szCs w:val="24"/>
                <w:lang w:eastAsia="en-US"/>
              </w:rPr>
              <w:t>营造林地块林地开展。地块选择要充分考虑如下情况：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1"/>
                <w:kern w:val="0"/>
                <w:sz w:val="24"/>
                <w:szCs w:val="24"/>
                <w:lang w:eastAsia="en-US"/>
              </w:rPr>
              <w:t>1</w:t>
            </w:r>
            <w:r>
              <w:rPr>
                <w:rFonts w:ascii="宋体" w:hAnsi="宋体" w:eastAsia="宋体" w:cs="宋体"/>
                <w:snapToGrid w:val="0"/>
                <w:color w:val="auto"/>
                <w:spacing w:val="1"/>
                <w:kern w:val="0"/>
                <w:sz w:val="24"/>
                <w:szCs w:val="24"/>
                <w:lang w:eastAsia="en-US"/>
              </w:rPr>
              <w:t>）土地适宜性。必须具备适合林菌生长的</w:t>
            </w:r>
            <w:r>
              <w:rPr>
                <w:rFonts w:hint="eastAsia" w:ascii="宋体" w:hAnsi="宋体" w:cs="宋体"/>
                <w:snapToGrid w:val="0"/>
                <w:color w:val="auto"/>
                <w:spacing w:val="1"/>
                <w:kern w:val="0"/>
                <w:sz w:val="24"/>
                <w:szCs w:val="24"/>
                <w:lang w:eastAsia="zh-CN"/>
              </w:rPr>
              <w:t>土壤</w:t>
            </w:r>
            <w:r>
              <w:rPr>
                <w:rFonts w:ascii="宋体" w:hAnsi="宋体" w:eastAsia="宋体" w:cs="宋体"/>
                <w:snapToGrid w:val="0"/>
                <w:color w:val="auto"/>
                <w:spacing w:val="1"/>
                <w:kern w:val="0"/>
                <w:sz w:val="24"/>
                <w:szCs w:val="24"/>
                <w:lang w:eastAsia="en-US"/>
              </w:rPr>
              <w:t>、气候、地形等自然</w:t>
            </w:r>
            <w:r>
              <w:rPr>
                <w:rFonts w:ascii="宋体" w:hAnsi="宋体" w:eastAsia="宋体" w:cs="宋体"/>
                <w:snapToGrid w:val="0"/>
                <w:color w:val="auto"/>
                <w:spacing w:val="-2"/>
                <w:kern w:val="0"/>
                <w:sz w:val="24"/>
                <w:szCs w:val="24"/>
                <w:lang w:eastAsia="en-US"/>
              </w:rPr>
              <w:t>条件。在考虑土地适宜性时，需要对土地的立地条件</w:t>
            </w:r>
            <w:r>
              <w:rPr>
                <w:rFonts w:ascii="宋体" w:hAnsi="宋体" w:eastAsia="宋体" w:cs="宋体"/>
                <w:snapToGrid w:val="0"/>
                <w:color w:val="auto"/>
                <w:spacing w:val="-3"/>
                <w:kern w:val="0"/>
                <w:sz w:val="24"/>
                <w:szCs w:val="24"/>
                <w:lang w:eastAsia="en-US"/>
              </w:rPr>
              <w:t>、植被状况、土壤类</w:t>
            </w:r>
            <w:r>
              <w:rPr>
                <w:rFonts w:ascii="宋体" w:hAnsi="宋体" w:eastAsia="宋体" w:cs="宋体"/>
                <w:snapToGrid w:val="0"/>
                <w:color w:val="auto"/>
                <w:spacing w:val="-8"/>
                <w:kern w:val="0"/>
                <w:sz w:val="24"/>
                <w:szCs w:val="24"/>
                <w:lang w:eastAsia="en-US"/>
              </w:rPr>
              <w:t>型、气候特点等因素进行综合评估，以确保林菌能够在该土地上正常生长。</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2</w:t>
            </w:r>
            <w:r>
              <w:rPr>
                <w:rFonts w:ascii="宋体" w:hAnsi="宋体" w:eastAsia="宋体" w:cs="宋体"/>
                <w:snapToGrid w:val="0"/>
                <w:color w:val="auto"/>
                <w:spacing w:val="2"/>
                <w:kern w:val="0"/>
                <w:sz w:val="24"/>
                <w:szCs w:val="24"/>
                <w:lang w:eastAsia="en-US"/>
              </w:rPr>
              <w:t>）土地权属清晰。林菌产业实施用地的土地权属必须清晰，必须确</w:t>
            </w:r>
            <w:r>
              <w:rPr>
                <w:rFonts w:ascii="宋体" w:hAnsi="宋体" w:eastAsia="宋体" w:cs="宋体"/>
                <w:snapToGrid w:val="0"/>
                <w:color w:val="auto"/>
                <w:spacing w:val="-1"/>
                <w:kern w:val="0"/>
                <w:sz w:val="24"/>
                <w:szCs w:val="24"/>
                <w:lang w:eastAsia="en-US"/>
              </w:rPr>
              <w:t>保土地权属的合法性和明确性，以避免权属纠纷和利益冲突。</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3</w:t>
            </w:r>
            <w:r>
              <w:rPr>
                <w:rFonts w:ascii="宋体" w:hAnsi="宋体" w:eastAsia="宋体" w:cs="宋体"/>
                <w:snapToGrid w:val="0"/>
                <w:color w:val="auto"/>
                <w:spacing w:val="2"/>
                <w:kern w:val="0"/>
                <w:sz w:val="24"/>
                <w:szCs w:val="24"/>
                <w:lang w:eastAsia="en-US"/>
              </w:rPr>
              <w:t>）土地规模。林菌产业实施用地需要具备一定的规模、大小和集中</w:t>
            </w:r>
            <w:r>
              <w:rPr>
                <w:rFonts w:ascii="宋体" w:hAnsi="宋体" w:eastAsia="宋体" w:cs="宋体"/>
                <w:snapToGrid w:val="0"/>
                <w:color w:val="auto"/>
                <w:spacing w:val="-2"/>
                <w:kern w:val="0"/>
                <w:sz w:val="24"/>
                <w:szCs w:val="24"/>
                <w:lang w:eastAsia="en-US"/>
              </w:rPr>
              <w:t>程度。需要根据当地的气候、地形、植被等自然条件，以及林菌产</w:t>
            </w:r>
            <w:r>
              <w:rPr>
                <w:rFonts w:ascii="宋体" w:hAnsi="宋体" w:eastAsia="宋体" w:cs="宋体"/>
                <w:snapToGrid w:val="0"/>
                <w:color w:val="auto"/>
                <w:spacing w:val="-3"/>
                <w:kern w:val="0"/>
                <w:sz w:val="24"/>
                <w:szCs w:val="24"/>
                <w:lang w:eastAsia="en-US"/>
              </w:rPr>
              <w:t>业的发</w:t>
            </w:r>
            <w:r>
              <w:rPr>
                <w:rFonts w:ascii="宋体" w:hAnsi="宋体" w:eastAsia="宋体" w:cs="宋体"/>
                <w:snapToGrid w:val="0"/>
                <w:color w:val="auto"/>
                <w:spacing w:val="-2"/>
                <w:kern w:val="0"/>
                <w:sz w:val="24"/>
                <w:szCs w:val="24"/>
                <w:lang w:eastAsia="en-US"/>
              </w:rPr>
              <w:t>展需求和市场状况等因素进行综合评估，以确保林菌产业的可持续发展。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4</w:t>
            </w:r>
            <w:r>
              <w:rPr>
                <w:rFonts w:ascii="宋体" w:hAnsi="宋体" w:eastAsia="宋体" w:cs="宋体"/>
                <w:snapToGrid w:val="0"/>
                <w:color w:val="auto"/>
                <w:spacing w:val="2"/>
                <w:kern w:val="0"/>
                <w:sz w:val="24"/>
                <w:szCs w:val="24"/>
                <w:lang w:eastAsia="en-US"/>
              </w:rPr>
              <w:t>）土地可持续性。林菌产业实施用地必须具备可持续性。林菌产业</w:t>
            </w:r>
            <w:r>
              <w:rPr>
                <w:rFonts w:ascii="宋体" w:hAnsi="宋体" w:eastAsia="宋体" w:cs="宋体"/>
                <w:snapToGrid w:val="0"/>
                <w:color w:val="auto"/>
                <w:spacing w:val="-2"/>
                <w:kern w:val="0"/>
                <w:sz w:val="24"/>
                <w:szCs w:val="24"/>
                <w:lang w:eastAsia="en-US"/>
              </w:rPr>
              <w:t>实施用地时，必须采取科学合理的经营措施和技</w:t>
            </w:r>
            <w:r>
              <w:rPr>
                <w:rFonts w:ascii="宋体" w:hAnsi="宋体" w:eastAsia="宋体" w:cs="宋体"/>
                <w:snapToGrid w:val="0"/>
                <w:color w:val="auto"/>
                <w:spacing w:val="-3"/>
                <w:kern w:val="0"/>
                <w:sz w:val="24"/>
                <w:szCs w:val="24"/>
                <w:lang w:eastAsia="en-US"/>
              </w:rPr>
              <w:t>术手段，以确保土地资源</w:t>
            </w:r>
            <w:r>
              <w:rPr>
                <w:rFonts w:ascii="宋体" w:hAnsi="宋体" w:eastAsia="宋体" w:cs="宋体"/>
                <w:snapToGrid w:val="0"/>
                <w:color w:val="auto"/>
                <w:spacing w:val="-1"/>
                <w:kern w:val="0"/>
                <w:sz w:val="24"/>
                <w:szCs w:val="24"/>
                <w:lang w:eastAsia="en-US"/>
              </w:rPr>
              <w:t>的可持续利用和生态环境的可持续维护。</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5</w:t>
            </w:r>
            <w:r>
              <w:rPr>
                <w:rFonts w:ascii="宋体" w:hAnsi="宋体" w:eastAsia="宋体" w:cs="宋体"/>
                <w:snapToGrid w:val="0"/>
                <w:color w:val="auto"/>
                <w:spacing w:val="2"/>
                <w:kern w:val="0"/>
                <w:sz w:val="24"/>
                <w:szCs w:val="24"/>
                <w:lang w:eastAsia="en-US"/>
              </w:rPr>
              <w:t>）土地改良。林菌产业实施用地需要进行必要的土地改良。需要根</w:t>
            </w:r>
            <w:r>
              <w:rPr>
                <w:rFonts w:ascii="宋体" w:hAnsi="宋体" w:eastAsia="宋体" w:cs="宋体"/>
                <w:snapToGrid w:val="0"/>
                <w:color w:val="auto"/>
                <w:kern w:val="0"/>
                <w:sz w:val="24"/>
                <w:szCs w:val="24"/>
                <w:lang w:eastAsia="en-US"/>
              </w:rPr>
              <w:t>据实际情况采取相应的土地改良措施，以提高</w:t>
            </w:r>
            <w:r>
              <w:rPr>
                <w:rFonts w:ascii="宋体" w:hAnsi="宋体" w:eastAsia="宋体" w:cs="宋体"/>
                <w:snapToGrid w:val="0"/>
                <w:color w:val="auto"/>
                <w:spacing w:val="-1"/>
                <w:kern w:val="0"/>
                <w:sz w:val="24"/>
                <w:szCs w:val="24"/>
                <w:lang w:eastAsia="en-US"/>
              </w:rPr>
              <w:t>林菌的生长质量和产量。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spacing w:val="-2"/>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6</w:t>
            </w:r>
            <w:r>
              <w:rPr>
                <w:rFonts w:ascii="宋体" w:hAnsi="宋体" w:eastAsia="宋体" w:cs="宋体"/>
                <w:snapToGrid w:val="0"/>
                <w:color w:val="auto"/>
                <w:spacing w:val="2"/>
                <w:kern w:val="0"/>
                <w:sz w:val="24"/>
                <w:szCs w:val="24"/>
                <w:lang w:eastAsia="en-US"/>
              </w:rPr>
              <w:t>）防止水土流失。必须采取有效措施防止</w:t>
            </w:r>
            <w:r>
              <w:rPr>
                <w:rFonts w:hint="eastAsia" w:ascii="宋体" w:hAnsi="宋体" w:cs="宋体"/>
                <w:snapToGrid w:val="0"/>
                <w:color w:val="auto"/>
                <w:spacing w:val="2"/>
                <w:kern w:val="0"/>
                <w:sz w:val="24"/>
                <w:szCs w:val="24"/>
                <w:lang w:eastAsia="zh-CN"/>
              </w:rPr>
              <w:t>水土流失</w:t>
            </w:r>
            <w:r>
              <w:rPr>
                <w:rFonts w:ascii="宋体" w:hAnsi="宋体" w:eastAsia="宋体" w:cs="宋体"/>
                <w:snapToGrid w:val="0"/>
                <w:color w:val="auto"/>
                <w:spacing w:val="2"/>
                <w:kern w:val="0"/>
                <w:sz w:val="24"/>
                <w:szCs w:val="24"/>
                <w:lang w:eastAsia="en-US"/>
              </w:rPr>
              <w:t>。必须采取科学</w:t>
            </w:r>
            <w:r>
              <w:rPr>
                <w:rFonts w:ascii="宋体" w:hAnsi="宋体" w:eastAsia="宋体" w:cs="宋体"/>
                <w:snapToGrid w:val="0"/>
                <w:color w:val="auto"/>
                <w:spacing w:val="-2"/>
                <w:kern w:val="0"/>
                <w:sz w:val="24"/>
                <w:szCs w:val="24"/>
                <w:lang w:eastAsia="en-US"/>
              </w:rPr>
              <w:t>合理的造林技术和管理措施，以防止</w:t>
            </w:r>
            <w:r>
              <w:rPr>
                <w:rFonts w:hint="eastAsia" w:ascii="宋体" w:hAnsi="宋体" w:cs="宋体"/>
                <w:snapToGrid w:val="0"/>
                <w:color w:val="auto"/>
                <w:spacing w:val="-2"/>
                <w:kern w:val="0"/>
                <w:sz w:val="24"/>
                <w:szCs w:val="24"/>
                <w:lang w:eastAsia="zh-CN"/>
              </w:rPr>
              <w:t>水土流失</w:t>
            </w:r>
            <w:r>
              <w:rPr>
                <w:rFonts w:ascii="宋体" w:hAnsi="宋体" w:eastAsia="宋体" w:cs="宋体"/>
                <w:snapToGrid w:val="0"/>
                <w:color w:val="auto"/>
                <w:spacing w:val="-2"/>
                <w:kern w:val="0"/>
                <w:sz w:val="24"/>
                <w:szCs w:val="24"/>
                <w:lang w:eastAsia="en-US"/>
              </w:rPr>
              <w:t>的发生和发展。</w:t>
            </w:r>
            <w:r>
              <w:rPr>
                <w:rFonts w:ascii="宋体" w:hAnsi="宋体" w:eastAsia="宋体" w:cs="宋体"/>
                <w:snapToGrid w:val="0"/>
                <w:color w:val="auto"/>
                <w:spacing w:val="-3"/>
                <w:kern w:val="0"/>
                <w:sz w:val="24"/>
                <w:szCs w:val="24"/>
                <w:lang w:eastAsia="en-US"/>
              </w:rPr>
              <w:t>这不仅有助</w:t>
            </w:r>
            <w:r>
              <w:rPr>
                <w:rFonts w:ascii="宋体" w:hAnsi="宋体" w:eastAsia="宋体" w:cs="宋体"/>
                <w:snapToGrid w:val="0"/>
                <w:color w:val="auto"/>
                <w:spacing w:val="-2"/>
                <w:kern w:val="0"/>
                <w:sz w:val="24"/>
                <w:szCs w:val="24"/>
                <w:lang w:eastAsia="en-US"/>
              </w:rPr>
              <w:t>于保护和改善当地的生态环境，还有利于林业产业的可持续发展。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在充分考虑以上情况的同时，还应考虑以下条件：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12"/>
                <w:kern w:val="0"/>
                <w:sz w:val="24"/>
                <w:szCs w:val="24"/>
                <w:lang w:eastAsia="en-US"/>
              </w:rPr>
              <w:t>1</w:t>
            </w:r>
            <w:r>
              <w:rPr>
                <w:rFonts w:ascii="宋体" w:hAnsi="宋体" w:eastAsia="宋体" w:cs="宋体"/>
                <w:snapToGrid w:val="0"/>
                <w:color w:val="auto"/>
                <w:spacing w:val="-12"/>
                <w:kern w:val="0"/>
                <w:sz w:val="24"/>
                <w:szCs w:val="24"/>
                <w:lang w:eastAsia="en-US"/>
              </w:rPr>
              <w:t>）林地位置。郁闭度</w:t>
            </w:r>
            <w:r>
              <w:rPr>
                <w:rFonts w:ascii="Times New Roman" w:hAnsi="Times New Roman" w:eastAsia="Times New Roman" w:cs="Times New Roman"/>
                <w:snapToGrid w:val="0"/>
                <w:color w:val="auto"/>
                <w:spacing w:val="-12"/>
                <w:kern w:val="0"/>
                <w:sz w:val="24"/>
                <w:szCs w:val="24"/>
                <w:lang w:eastAsia="en-US"/>
              </w:rPr>
              <w:t>0.6</w:t>
            </w:r>
            <w:r>
              <w:rPr>
                <w:rFonts w:ascii="宋体" w:hAnsi="宋体" w:eastAsia="宋体" w:cs="宋体"/>
                <w:snapToGrid w:val="0"/>
                <w:color w:val="auto"/>
                <w:spacing w:val="-12"/>
                <w:kern w:val="0"/>
                <w:sz w:val="24"/>
                <w:szCs w:val="24"/>
                <w:lang w:eastAsia="en-US"/>
              </w:rPr>
              <w:t>以上的人工林，避让自然保护区、天然林区、</w:t>
            </w:r>
            <w:r>
              <w:rPr>
                <w:rFonts w:ascii="宋体" w:hAnsi="宋体" w:eastAsia="宋体" w:cs="宋体"/>
                <w:snapToGrid w:val="0"/>
                <w:color w:val="auto"/>
                <w:kern w:val="0"/>
                <w:sz w:val="24"/>
                <w:szCs w:val="24"/>
                <w:lang w:eastAsia="en-US"/>
              </w:rPr>
              <w:t>国家级森林公园、风景名胜区和其它重点保护或生态红线范围内的林地，</w:t>
            </w:r>
            <w:r>
              <w:rPr>
                <w:rFonts w:ascii="宋体" w:hAnsi="宋体" w:eastAsia="宋体" w:cs="宋体"/>
                <w:snapToGrid w:val="0"/>
                <w:color w:val="auto"/>
                <w:spacing w:val="-1"/>
                <w:kern w:val="0"/>
                <w:sz w:val="24"/>
                <w:szCs w:val="24"/>
                <w:lang w:eastAsia="en-US"/>
              </w:rPr>
              <w:t>不应对现有森林、林木、林地及野生动物、植物造成不利影响。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1"/>
                <w:kern w:val="0"/>
                <w:sz w:val="24"/>
                <w:szCs w:val="24"/>
                <w:lang w:eastAsia="en-US"/>
              </w:rPr>
              <w:t>2</w:t>
            </w:r>
            <w:r>
              <w:rPr>
                <w:rFonts w:ascii="宋体" w:hAnsi="宋体" w:eastAsia="宋体" w:cs="宋体"/>
                <w:snapToGrid w:val="0"/>
                <w:color w:val="auto"/>
                <w:spacing w:val="-1"/>
                <w:kern w:val="0"/>
                <w:sz w:val="24"/>
                <w:szCs w:val="24"/>
                <w:lang w:eastAsia="en-US"/>
              </w:rPr>
              <w:t>）地块要求。地势平坦，土质疏松，交通完善。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3</w:t>
            </w:r>
            <w:r>
              <w:rPr>
                <w:rFonts w:ascii="宋体" w:hAnsi="宋体" w:eastAsia="宋体" w:cs="宋体"/>
                <w:snapToGrid w:val="0"/>
                <w:color w:val="auto"/>
                <w:spacing w:val="2"/>
                <w:kern w:val="0"/>
                <w:sz w:val="24"/>
                <w:szCs w:val="24"/>
                <w:lang w:eastAsia="en-US"/>
              </w:rPr>
              <w:t>）周边环境。场地应有清洁水源，排水良好，生态环境良好，周围</w:t>
            </w:r>
            <w:r>
              <w:rPr>
                <w:rFonts w:ascii="Times New Roman" w:hAnsi="Times New Roman" w:eastAsia="Times New Roman" w:cs="Times New Roman"/>
                <w:snapToGrid w:val="0"/>
                <w:color w:val="auto"/>
                <w:spacing w:val="5"/>
                <w:kern w:val="0"/>
                <w:sz w:val="24"/>
                <w:szCs w:val="24"/>
                <w:lang w:eastAsia="en-US"/>
              </w:rPr>
              <w:t>5</w:t>
            </w:r>
            <w:r>
              <w:rPr>
                <w:rFonts w:ascii="Times New Roman" w:hAnsi="Times New Roman" w:eastAsia="Times New Roman" w:cs="Times New Roman"/>
                <w:snapToGrid w:val="0"/>
                <w:color w:val="auto"/>
                <w:kern w:val="0"/>
                <w:sz w:val="24"/>
                <w:szCs w:val="24"/>
                <w:lang w:eastAsia="en-US"/>
              </w:rPr>
              <w:t>km</w:t>
            </w:r>
            <w:r>
              <w:rPr>
                <w:rFonts w:ascii="宋体" w:hAnsi="宋体" w:eastAsia="宋体" w:cs="宋体"/>
                <w:snapToGrid w:val="0"/>
                <w:color w:val="auto"/>
                <w:spacing w:val="5"/>
                <w:kern w:val="0"/>
                <w:sz w:val="24"/>
                <w:szCs w:val="24"/>
                <w:lang w:eastAsia="en-US"/>
              </w:rPr>
              <w:t>以内无工矿企业污染源；</w:t>
            </w:r>
            <w:r>
              <w:rPr>
                <w:rFonts w:ascii="Times New Roman" w:hAnsi="Times New Roman" w:eastAsia="Times New Roman" w:cs="Times New Roman"/>
                <w:snapToGrid w:val="0"/>
                <w:color w:val="auto"/>
                <w:spacing w:val="5"/>
                <w:kern w:val="0"/>
                <w:sz w:val="24"/>
                <w:szCs w:val="24"/>
                <w:lang w:eastAsia="en-US"/>
              </w:rPr>
              <w:t>2</w:t>
            </w:r>
            <w:r>
              <w:rPr>
                <w:rFonts w:ascii="Times New Roman" w:hAnsi="Times New Roman" w:eastAsia="Times New Roman" w:cs="Times New Roman"/>
                <w:snapToGrid w:val="0"/>
                <w:color w:val="auto"/>
                <w:kern w:val="0"/>
                <w:sz w:val="24"/>
                <w:szCs w:val="24"/>
                <w:lang w:eastAsia="en-US"/>
              </w:rPr>
              <w:t>km</w:t>
            </w:r>
            <w:r>
              <w:rPr>
                <w:rFonts w:ascii="宋体" w:hAnsi="宋体" w:eastAsia="宋体" w:cs="宋体"/>
                <w:snapToGrid w:val="0"/>
                <w:color w:val="auto"/>
                <w:spacing w:val="5"/>
                <w:kern w:val="0"/>
                <w:sz w:val="24"/>
                <w:szCs w:val="24"/>
                <w:lang w:eastAsia="en-US"/>
              </w:rPr>
              <w:t>之内无生活垃圾</w:t>
            </w:r>
            <w:r>
              <w:rPr>
                <w:rFonts w:ascii="宋体" w:hAnsi="宋体" w:eastAsia="宋体" w:cs="宋体"/>
                <w:snapToGrid w:val="0"/>
                <w:color w:val="auto"/>
                <w:spacing w:val="4"/>
                <w:kern w:val="0"/>
                <w:sz w:val="24"/>
                <w:szCs w:val="24"/>
                <w:lang w:eastAsia="en-US"/>
              </w:rPr>
              <w:t>堆放和各类填埋场；</w:t>
            </w:r>
            <w:r>
              <w:rPr>
                <w:rFonts w:ascii="Times New Roman" w:hAnsi="Times New Roman" w:eastAsia="Times New Roman" w:cs="Times New Roman"/>
                <w:snapToGrid w:val="0"/>
                <w:color w:val="auto"/>
                <w:spacing w:val="-5"/>
                <w:kern w:val="0"/>
                <w:sz w:val="24"/>
                <w:szCs w:val="24"/>
                <w:lang w:eastAsia="en-US"/>
              </w:rPr>
              <w:t>200m</w:t>
            </w:r>
            <w:r>
              <w:rPr>
                <w:rFonts w:ascii="宋体" w:hAnsi="宋体" w:eastAsia="宋体" w:cs="宋体"/>
                <w:snapToGrid w:val="0"/>
                <w:color w:val="auto"/>
                <w:spacing w:val="-5"/>
                <w:kern w:val="0"/>
                <w:sz w:val="24"/>
                <w:szCs w:val="24"/>
                <w:lang w:eastAsia="en-US"/>
              </w:rPr>
              <w:t>内无集市、水泥厂、石灰厂、木材加工厂等扬尘源；</w:t>
            </w:r>
            <w:r>
              <w:rPr>
                <w:rFonts w:ascii="Times New Roman" w:hAnsi="Times New Roman" w:eastAsia="Times New Roman" w:cs="Times New Roman"/>
                <w:snapToGrid w:val="0"/>
                <w:color w:val="auto"/>
                <w:spacing w:val="-5"/>
                <w:kern w:val="0"/>
                <w:sz w:val="24"/>
                <w:szCs w:val="24"/>
                <w:lang w:eastAsia="en-US"/>
              </w:rPr>
              <w:t>100m</w:t>
            </w:r>
            <w:r>
              <w:rPr>
                <w:rFonts w:ascii="宋体" w:hAnsi="宋体" w:eastAsia="宋体" w:cs="宋体"/>
                <w:snapToGrid w:val="0"/>
                <w:color w:val="auto"/>
                <w:spacing w:val="-5"/>
                <w:kern w:val="0"/>
                <w:sz w:val="24"/>
                <w:szCs w:val="24"/>
                <w:lang w:eastAsia="en-US"/>
              </w:rPr>
              <w:t>内无禽畜</w:t>
            </w:r>
            <w:r>
              <w:rPr>
                <w:rFonts w:ascii="宋体" w:hAnsi="宋体" w:eastAsia="宋体" w:cs="宋体"/>
                <w:snapToGrid w:val="0"/>
                <w:color w:val="auto"/>
                <w:spacing w:val="-2"/>
                <w:kern w:val="0"/>
                <w:sz w:val="24"/>
                <w:szCs w:val="24"/>
                <w:lang w:eastAsia="en-US"/>
              </w:rPr>
              <w:t>养殖场。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left"/>
              <w:textAlignment w:val="baseline"/>
              <w:outlineLvl w:val="2"/>
              <w:rPr>
                <w:rFonts w:ascii="宋体" w:hAnsi="宋体" w:eastAsia="宋体" w:cs="宋体"/>
                <w:snapToGrid w:val="0"/>
                <w:color w:val="auto"/>
                <w:kern w:val="0"/>
                <w:sz w:val="24"/>
                <w:szCs w:val="24"/>
                <w:lang w:eastAsia="en-US"/>
              </w:rPr>
            </w:pPr>
            <w:r>
              <w:rPr>
                <w:rFonts w:ascii="宋体" w:hAnsi="宋体" w:eastAsia="宋体" w:cs="宋体"/>
                <w:b/>
                <w:bCs/>
                <w:snapToGrid w:val="0"/>
                <w:color w:val="auto"/>
                <w:spacing w:val="-4"/>
                <w:kern w:val="0"/>
                <w:sz w:val="24"/>
                <w:szCs w:val="24"/>
                <w:lang w:eastAsia="en-US"/>
              </w:rPr>
              <w:t>（</w:t>
            </w:r>
            <w:r>
              <w:rPr>
                <w:rFonts w:ascii="Times New Roman" w:hAnsi="Times New Roman" w:eastAsia="Times New Roman" w:cs="Times New Roman"/>
                <w:b/>
                <w:bCs/>
                <w:snapToGrid w:val="0"/>
                <w:color w:val="auto"/>
                <w:spacing w:val="-4"/>
                <w:kern w:val="0"/>
                <w:sz w:val="24"/>
                <w:szCs w:val="24"/>
                <w:lang w:eastAsia="en-US"/>
              </w:rPr>
              <w:t>3</w:t>
            </w:r>
            <w:r>
              <w:rPr>
                <w:rFonts w:ascii="宋体" w:hAnsi="宋体" w:eastAsia="宋体" w:cs="宋体"/>
                <w:b/>
                <w:bCs/>
                <w:snapToGrid w:val="0"/>
                <w:color w:val="auto"/>
                <w:spacing w:val="-4"/>
                <w:kern w:val="0"/>
                <w:sz w:val="24"/>
                <w:szCs w:val="24"/>
                <w:lang w:eastAsia="en-US"/>
              </w:rPr>
              <w:t>）主要技术要点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4"/>
                <w:kern w:val="0"/>
                <w:sz w:val="24"/>
                <w:szCs w:val="24"/>
                <w:lang w:eastAsia="en-US"/>
              </w:rPr>
              <w:t>1</w:t>
            </w:r>
            <w:r>
              <w:rPr>
                <w:rFonts w:ascii="宋体" w:hAnsi="宋体" w:eastAsia="宋体" w:cs="宋体"/>
                <w:snapToGrid w:val="0"/>
                <w:color w:val="auto"/>
                <w:spacing w:val="-4"/>
                <w:kern w:val="0"/>
                <w:sz w:val="24"/>
                <w:szCs w:val="24"/>
                <w:lang w:eastAsia="en-US"/>
              </w:rPr>
              <w:t>）林地清理。要避免选择病虫害严重、土壤贫</w:t>
            </w:r>
            <w:r>
              <w:rPr>
                <w:rFonts w:ascii="宋体" w:hAnsi="宋体" w:eastAsia="宋体" w:cs="宋体"/>
                <w:snapToGrid w:val="0"/>
                <w:color w:val="auto"/>
                <w:spacing w:val="-5"/>
                <w:kern w:val="0"/>
                <w:sz w:val="24"/>
                <w:szCs w:val="24"/>
                <w:lang w:eastAsia="en-US"/>
              </w:rPr>
              <w:t>瘠或过于</w:t>
            </w:r>
            <w:r>
              <w:rPr>
                <w:rFonts w:hint="eastAsia" w:ascii="宋体" w:hAnsi="宋体" w:cs="宋体"/>
                <w:snapToGrid w:val="0"/>
                <w:color w:val="auto"/>
                <w:spacing w:val="-5"/>
                <w:kern w:val="0"/>
                <w:sz w:val="24"/>
                <w:szCs w:val="24"/>
                <w:lang w:eastAsia="zh-CN"/>
              </w:rPr>
              <w:t>黏重</w:t>
            </w:r>
            <w:r>
              <w:rPr>
                <w:rFonts w:ascii="宋体" w:hAnsi="宋体" w:eastAsia="宋体" w:cs="宋体"/>
                <w:snapToGrid w:val="0"/>
                <w:color w:val="auto"/>
                <w:spacing w:val="-5"/>
                <w:kern w:val="0"/>
                <w:sz w:val="24"/>
                <w:szCs w:val="24"/>
                <w:lang w:eastAsia="en-US"/>
              </w:rPr>
              <w:t>的林地。</w:t>
            </w:r>
            <w:r>
              <w:rPr>
                <w:rFonts w:ascii="宋体" w:hAnsi="宋体" w:eastAsia="宋体" w:cs="宋体"/>
                <w:snapToGrid w:val="0"/>
                <w:color w:val="auto"/>
                <w:spacing w:val="-2"/>
                <w:kern w:val="0"/>
                <w:sz w:val="24"/>
                <w:szCs w:val="24"/>
                <w:lang w:eastAsia="en-US"/>
              </w:rPr>
              <w:t>栽培前应清除场地杂草、枯枝等，挖好畦床和排水沟，清洁整</w:t>
            </w:r>
            <w:r>
              <w:rPr>
                <w:rFonts w:ascii="宋体" w:hAnsi="宋体" w:eastAsia="宋体" w:cs="宋体"/>
                <w:snapToGrid w:val="0"/>
                <w:color w:val="auto"/>
                <w:spacing w:val="-3"/>
                <w:kern w:val="0"/>
                <w:sz w:val="24"/>
                <w:szCs w:val="24"/>
                <w:lang w:eastAsia="en-US"/>
              </w:rPr>
              <w:t>理后应进行</w:t>
            </w:r>
            <w:r>
              <w:rPr>
                <w:rFonts w:ascii="宋体" w:hAnsi="宋体" w:eastAsia="宋体" w:cs="宋体"/>
                <w:snapToGrid w:val="0"/>
                <w:color w:val="auto"/>
                <w:spacing w:val="-2"/>
                <w:kern w:val="0"/>
                <w:sz w:val="24"/>
                <w:szCs w:val="24"/>
                <w:lang w:eastAsia="en-US"/>
              </w:rPr>
              <w:t>灭虫和消毒处理，保持栽培场地及周边的清洁。根据不同的菌</w:t>
            </w:r>
            <w:r>
              <w:rPr>
                <w:rFonts w:ascii="宋体" w:hAnsi="宋体" w:eastAsia="宋体" w:cs="宋体"/>
                <w:snapToGrid w:val="0"/>
                <w:color w:val="auto"/>
                <w:spacing w:val="-3"/>
                <w:kern w:val="0"/>
                <w:sz w:val="24"/>
                <w:szCs w:val="24"/>
                <w:lang w:eastAsia="en-US"/>
              </w:rPr>
              <w:t>种需求，还</w:t>
            </w:r>
            <w:r>
              <w:rPr>
                <w:rFonts w:ascii="宋体" w:hAnsi="宋体" w:eastAsia="宋体" w:cs="宋体"/>
                <w:snapToGrid w:val="0"/>
                <w:color w:val="auto"/>
                <w:spacing w:val="-1"/>
                <w:kern w:val="0"/>
                <w:sz w:val="24"/>
                <w:szCs w:val="24"/>
                <w:lang w:eastAsia="en-US"/>
              </w:rPr>
              <w:t>需搭建相应的遮荫设施和保湿设备。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2</w:t>
            </w:r>
            <w:r>
              <w:rPr>
                <w:rFonts w:ascii="宋体" w:hAnsi="宋体" w:eastAsia="宋体" w:cs="宋体"/>
                <w:snapToGrid w:val="0"/>
                <w:color w:val="auto"/>
                <w:spacing w:val="2"/>
                <w:kern w:val="0"/>
                <w:sz w:val="24"/>
                <w:szCs w:val="24"/>
                <w:lang w:eastAsia="en-US"/>
              </w:rPr>
              <w:t>）菌种。选择适宜当地环境特点的高产、抗逆性强、种性稳定、商</w:t>
            </w:r>
            <w:r>
              <w:rPr>
                <w:rFonts w:ascii="宋体" w:hAnsi="宋体" w:eastAsia="宋体" w:cs="宋体"/>
                <w:snapToGrid w:val="0"/>
                <w:color w:val="auto"/>
                <w:spacing w:val="-2"/>
                <w:kern w:val="0"/>
                <w:sz w:val="24"/>
                <w:szCs w:val="24"/>
                <w:lang w:eastAsia="en-US"/>
              </w:rPr>
              <w:t>品性能好的优良菌种进行栽培。三级菌种（母种、原种和</w:t>
            </w:r>
            <w:r>
              <w:rPr>
                <w:rFonts w:ascii="宋体" w:hAnsi="宋体" w:eastAsia="宋体" w:cs="宋体"/>
                <w:snapToGrid w:val="0"/>
                <w:color w:val="auto"/>
                <w:spacing w:val="-3"/>
                <w:kern w:val="0"/>
                <w:sz w:val="24"/>
                <w:szCs w:val="24"/>
                <w:lang w:eastAsia="en-US"/>
              </w:rPr>
              <w:t>栽培种）应使用</w:t>
            </w:r>
            <w:r>
              <w:rPr>
                <w:rFonts w:ascii="宋体" w:hAnsi="宋体" w:eastAsia="宋体" w:cs="宋体"/>
                <w:snapToGrid w:val="0"/>
                <w:color w:val="auto"/>
                <w:spacing w:val="-2"/>
                <w:kern w:val="0"/>
                <w:sz w:val="24"/>
                <w:szCs w:val="24"/>
                <w:lang w:eastAsia="en-US"/>
              </w:rPr>
              <w:t>经省级以上农作物品种审定委员会登记的品种，并从有相应资质</w:t>
            </w:r>
            <w:r>
              <w:rPr>
                <w:rFonts w:ascii="宋体" w:hAnsi="宋体" w:eastAsia="宋体" w:cs="宋体"/>
                <w:snapToGrid w:val="0"/>
                <w:color w:val="auto"/>
                <w:spacing w:val="-3"/>
                <w:kern w:val="0"/>
                <w:sz w:val="24"/>
                <w:szCs w:val="24"/>
                <w:lang w:eastAsia="en-US"/>
              </w:rPr>
              <w:t>的供种单位引种。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3</w:t>
            </w:r>
            <w:r>
              <w:rPr>
                <w:rFonts w:ascii="宋体" w:hAnsi="宋体" w:eastAsia="宋体" w:cs="宋体"/>
                <w:snapToGrid w:val="0"/>
                <w:color w:val="auto"/>
                <w:spacing w:val="2"/>
                <w:kern w:val="0"/>
                <w:sz w:val="24"/>
                <w:szCs w:val="24"/>
                <w:lang w:eastAsia="en-US"/>
              </w:rPr>
              <w:t>）栽培基质。栽培基质的主料可选择除桉、樟、槐、苦楝等含有害</w:t>
            </w:r>
            <w:r>
              <w:rPr>
                <w:rFonts w:ascii="宋体" w:hAnsi="宋体" w:eastAsia="宋体" w:cs="宋体"/>
                <w:snapToGrid w:val="0"/>
                <w:color w:val="auto"/>
                <w:spacing w:val="-2"/>
                <w:kern w:val="0"/>
                <w:sz w:val="24"/>
                <w:szCs w:val="24"/>
                <w:lang w:eastAsia="en-US"/>
              </w:rPr>
              <w:t>物质树种外的阔叶树及针叶树种的木屑，棉籽壳、玉米芯、稻草</w:t>
            </w:r>
            <w:r>
              <w:rPr>
                <w:rFonts w:ascii="宋体" w:hAnsi="宋体" w:eastAsia="宋体" w:cs="宋体"/>
                <w:snapToGrid w:val="0"/>
                <w:color w:val="auto"/>
                <w:spacing w:val="-3"/>
                <w:kern w:val="0"/>
                <w:sz w:val="24"/>
                <w:szCs w:val="24"/>
                <w:lang w:eastAsia="en-US"/>
              </w:rPr>
              <w:t>等，基质</w:t>
            </w:r>
            <w:r>
              <w:rPr>
                <w:rFonts w:ascii="宋体" w:hAnsi="宋体" w:eastAsia="宋体" w:cs="宋体"/>
                <w:snapToGrid w:val="0"/>
                <w:color w:val="auto"/>
                <w:spacing w:val="-2"/>
                <w:kern w:val="0"/>
                <w:sz w:val="24"/>
                <w:szCs w:val="24"/>
                <w:lang w:eastAsia="en-US"/>
              </w:rPr>
              <w:t>主料和辅料要求无病虫害、无霉烂、无违禁农药和添加剂等，不</w:t>
            </w:r>
            <w:r>
              <w:rPr>
                <w:rFonts w:ascii="宋体" w:hAnsi="宋体" w:eastAsia="宋体" w:cs="宋体"/>
                <w:snapToGrid w:val="0"/>
                <w:color w:val="auto"/>
                <w:spacing w:val="-3"/>
                <w:kern w:val="0"/>
                <w:sz w:val="24"/>
                <w:szCs w:val="24"/>
                <w:lang w:eastAsia="en-US"/>
              </w:rPr>
              <w:t>得使用转</w:t>
            </w:r>
            <w:r>
              <w:rPr>
                <w:rFonts w:ascii="宋体" w:hAnsi="宋体" w:eastAsia="宋体" w:cs="宋体"/>
                <w:snapToGrid w:val="0"/>
                <w:color w:val="auto"/>
                <w:spacing w:val="-1"/>
                <w:kern w:val="0"/>
                <w:sz w:val="24"/>
                <w:szCs w:val="24"/>
                <w:lang w:eastAsia="en-US"/>
              </w:rPr>
              <w:t>基因作物的秸秆及籽壳。</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4</w:t>
            </w:r>
            <w:r>
              <w:rPr>
                <w:rFonts w:ascii="宋体" w:hAnsi="宋体" w:eastAsia="宋体" w:cs="宋体"/>
                <w:snapToGrid w:val="0"/>
                <w:color w:val="auto"/>
                <w:spacing w:val="2"/>
                <w:kern w:val="0"/>
                <w:sz w:val="24"/>
                <w:szCs w:val="24"/>
                <w:lang w:eastAsia="en-US"/>
              </w:rPr>
              <w:t>）搭棚与做床。根据选择的林菌品种和林下郁闭度选择是否搭棚。</w:t>
            </w:r>
            <w:r>
              <w:rPr>
                <w:rFonts w:ascii="宋体" w:hAnsi="宋体" w:eastAsia="宋体" w:cs="宋体"/>
                <w:snapToGrid w:val="0"/>
                <w:color w:val="auto"/>
                <w:spacing w:val="-3"/>
                <w:kern w:val="0"/>
                <w:sz w:val="24"/>
                <w:szCs w:val="24"/>
                <w:lang w:eastAsia="en-US"/>
              </w:rPr>
              <w:t>如需要搭棚，搭棚依据郁闭度调节搭棚高度。对于未成林地选择用</w:t>
            </w:r>
            <w:r>
              <w:rPr>
                <w:rFonts w:ascii="Times New Roman" w:hAnsi="Times New Roman" w:eastAsia="Times New Roman" w:cs="Times New Roman"/>
                <w:snapToGrid w:val="0"/>
                <w:color w:val="auto"/>
                <w:spacing w:val="-3"/>
                <w:kern w:val="0"/>
                <w:sz w:val="24"/>
                <w:szCs w:val="24"/>
                <w:lang w:eastAsia="en-US"/>
              </w:rPr>
              <w:t>U</w:t>
            </w:r>
            <w:r>
              <w:rPr>
                <w:rFonts w:ascii="宋体" w:hAnsi="宋体" w:eastAsia="宋体" w:cs="宋体"/>
                <w:snapToGrid w:val="0"/>
                <w:color w:val="auto"/>
                <w:spacing w:val="-3"/>
                <w:kern w:val="0"/>
                <w:sz w:val="24"/>
                <w:szCs w:val="24"/>
                <w:lang w:eastAsia="en-US"/>
              </w:rPr>
              <w:t>型拱</w:t>
            </w:r>
            <w:r>
              <w:rPr>
                <w:rFonts w:ascii="宋体" w:hAnsi="宋体" w:eastAsia="宋体" w:cs="宋体"/>
                <w:snapToGrid w:val="0"/>
                <w:color w:val="auto"/>
                <w:spacing w:val="-1"/>
                <w:kern w:val="0"/>
                <w:sz w:val="24"/>
                <w:szCs w:val="24"/>
                <w:lang w:eastAsia="en-US"/>
              </w:rPr>
              <w:t>搭矮棚，棚高不低于</w:t>
            </w:r>
            <w:r>
              <w:rPr>
                <w:rFonts w:ascii="Times New Roman" w:hAnsi="Times New Roman" w:eastAsia="Times New Roman" w:cs="Times New Roman"/>
                <w:snapToGrid w:val="0"/>
                <w:color w:val="auto"/>
                <w:spacing w:val="-1"/>
                <w:kern w:val="0"/>
                <w:sz w:val="24"/>
                <w:szCs w:val="24"/>
                <w:lang w:eastAsia="en-US"/>
              </w:rPr>
              <w:t>1m</w:t>
            </w:r>
            <w:r>
              <w:rPr>
                <w:rFonts w:ascii="宋体" w:hAnsi="宋体" w:eastAsia="宋体" w:cs="宋体"/>
                <w:snapToGrid w:val="0"/>
                <w:color w:val="auto"/>
                <w:spacing w:val="-1"/>
                <w:kern w:val="0"/>
                <w:sz w:val="24"/>
                <w:szCs w:val="24"/>
                <w:lang w:eastAsia="en-US"/>
              </w:rPr>
              <w:t>，选择</w:t>
            </w:r>
            <w:r>
              <w:rPr>
                <w:rFonts w:ascii="Times New Roman" w:hAnsi="Times New Roman" w:eastAsia="Times New Roman" w:cs="Times New Roman"/>
                <w:snapToGrid w:val="0"/>
                <w:color w:val="auto"/>
                <w:spacing w:val="-1"/>
                <w:kern w:val="0"/>
                <w:sz w:val="24"/>
                <w:szCs w:val="24"/>
                <w:lang w:eastAsia="en-US"/>
              </w:rPr>
              <w:t>4</w:t>
            </w:r>
            <w:r>
              <w:rPr>
                <w:rFonts w:ascii="宋体" w:hAnsi="宋体" w:eastAsia="宋体" w:cs="宋体"/>
                <w:snapToGrid w:val="0"/>
                <w:color w:val="auto"/>
                <w:spacing w:val="-1"/>
                <w:kern w:val="0"/>
                <w:sz w:val="24"/>
                <w:szCs w:val="24"/>
                <w:lang w:eastAsia="en-US"/>
              </w:rPr>
              <w:t>针遮阳网。对于成林地选择高棚，棚高</w:t>
            </w:r>
            <w:r>
              <w:rPr>
                <w:rFonts w:ascii="宋体" w:hAnsi="宋体" w:eastAsia="宋体" w:cs="宋体"/>
                <w:snapToGrid w:val="0"/>
                <w:color w:val="auto"/>
                <w:spacing w:val="-3"/>
                <w:kern w:val="0"/>
                <w:sz w:val="24"/>
                <w:szCs w:val="24"/>
                <w:lang w:eastAsia="en-US"/>
              </w:rPr>
              <w:t>依据郁闭度与树高调整，高度</w:t>
            </w:r>
            <w:r>
              <w:rPr>
                <w:rFonts w:ascii="Times New Roman" w:hAnsi="Times New Roman" w:eastAsia="Times New Roman" w:cs="Times New Roman"/>
                <w:snapToGrid w:val="0"/>
                <w:color w:val="auto"/>
                <w:spacing w:val="-3"/>
                <w:kern w:val="0"/>
                <w:sz w:val="24"/>
                <w:szCs w:val="24"/>
                <w:lang w:eastAsia="en-US"/>
              </w:rPr>
              <w:t>1.5m~2.5m</w:t>
            </w:r>
            <w:r>
              <w:rPr>
                <w:rFonts w:ascii="宋体" w:hAnsi="宋体" w:eastAsia="宋体" w:cs="宋体"/>
                <w:snapToGrid w:val="0"/>
                <w:color w:val="auto"/>
                <w:spacing w:val="-4"/>
                <w:kern w:val="0"/>
                <w:sz w:val="24"/>
                <w:szCs w:val="24"/>
                <w:lang w:eastAsia="en-US"/>
              </w:rPr>
              <w:t>之间。对于常绿阔叶林郁闭度大</w:t>
            </w:r>
            <w:r>
              <w:rPr>
                <w:rFonts w:ascii="宋体" w:hAnsi="宋体" w:eastAsia="宋体" w:cs="宋体"/>
                <w:snapToGrid w:val="0"/>
                <w:color w:val="auto"/>
                <w:spacing w:val="-1"/>
                <w:kern w:val="0"/>
                <w:sz w:val="24"/>
                <w:szCs w:val="24"/>
                <w:lang w:eastAsia="en-US"/>
              </w:rPr>
              <w:t>于</w:t>
            </w:r>
            <w:r>
              <w:rPr>
                <w:rFonts w:ascii="Times New Roman" w:hAnsi="Times New Roman" w:eastAsia="Times New Roman" w:cs="Times New Roman"/>
                <w:snapToGrid w:val="0"/>
                <w:color w:val="auto"/>
                <w:spacing w:val="-1"/>
                <w:kern w:val="0"/>
                <w:sz w:val="24"/>
                <w:szCs w:val="24"/>
                <w:lang w:eastAsia="en-US"/>
              </w:rPr>
              <w:t>0.7</w:t>
            </w:r>
            <w:r>
              <w:rPr>
                <w:rFonts w:ascii="宋体" w:hAnsi="宋体" w:eastAsia="宋体" w:cs="宋体"/>
                <w:snapToGrid w:val="0"/>
                <w:color w:val="auto"/>
                <w:spacing w:val="-1"/>
                <w:kern w:val="0"/>
                <w:sz w:val="24"/>
                <w:szCs w:val="24"/>
                <w:lang w:eastAsia="en-US"/>
              </w:rPr>
              <w:t>的用</w:t>
            </w:r>
            <w:r>
              <w:rPr>
                <w:rFonts w:ascii="Times New Roman" w:hAnsi="Times New Roman" w:eastAsia="Times New Roman" w:cs="Times New Roman"/>
                <w:snapToGrid w:val="0"/>
                <w:color w:val="auto"/>
                <w:spacing w:val="-1"/>
                <w:kern w:val="0"/>
                <w:sz w:val="24"/>
                <w:szCs w:val="24"/>
                <w:lang w:eastAsia="en-US"/>
              </w:rPr>
              <w:t>3</w:t>
            </w:r>
            <w:r>
              <w:rPr>
                <w:rFonts w:ascii="宋体" w:hAnsi="宋体" w:eastAsia="宋体" w:cs="宋体"/>
                <w:snapToGrid w:val="0"/>
                <w:color w:val="auto"/>
                <w:spacing w:val="-1"/>
                <w:kern w:val="0"/>
                <w:sz w:val="24"/>
                <w:szCs w:val="24"/>
                <w:lang w:eastAsia="en-US"/>
              </w:rPr>
              <w:t>针遮阳网搭棚且棚高</w:t>
            </w:r>
            <w:r>
              <w:rPr>
                <w:rFonts w:ascii="Times New Roman" w:hAnsi="Times New Roman" w:eastAsia="Times New Roman" w:cs="Times New Roman"/>
                <w:snapToGrid w:val="0"/>
                <w:color w:val="auto"/>
                <w:spacing w:val="-1"/>
                <w:kern w:val="0"/>
                <w:sz w:val="24"/>
                <w:szCs w:val="24"/>
                <w:lang w:eastAsia="en-US"/>
              </w:rPr>
              <w:t>1.8~2.2m</w:t>
            </w:r>
            <w:r>
              <w:rPr>
                <w:rFonts w:ascii="宋体" w:hAnsi="宋体" w:eastAsia="宋体" w:cs="宋体"/>
                <w:snapToGrid w:val="0"/>
                <w:color w:val="auto"/>
                <w:spacing w:val="-1"/>
                <w:kern w:val="0"/>
                <w:sz w:val="24"/>
                <w:szCs w:val="24"/>
                <w:lang w:eastAsia="en-US"/>
              </w:rPr>
              <w:t>，</w:t>
            </w:r>
            <w:r>
              <w:rPr>
                <w:rFonts w:ascii="宋体" w:hAnsi="宋体" w:eastAsia="宋体" w:cs="宋体"/>
                <w:snapToGrid w:val="0"/>
                <w:color w:val="auto"/>
                <w:spacing w:val="-2"/>
                <w:kern w:val="0"/>
                <w:sz w:val="24"/>
                <w:szCs w:val="24"/>
                <w:lang w:eastAsia="en-US"/>
              </w:rPr>
              <w:t>郁闭度小于</w:t>
            </w:r>
            <w:r>
              <w:rPr>
                <w:rFonts w:ascii="Times New Roman" w:hAnsi="Times New Roman" w:eastAsia="Times New Roman" w:cs="Times New Roman"/>
                <w:snapToGrid w:val="0"/>
                <w:color w:val="auto"/>
                <w:spacing w:val="-2"/>
                <w:kern w:val="0"/>
                <w:sz w:val="24"/>
                <w:szCs w:val="24"/>
                <w:lang w:eastAsia="en-US"/>
              </w:rPr>
              <w:t>0.7</w:t>
            </w:r>
            <w:r>
              <w:rPr>
                <w:rFonts w:ascii="宋体" w:hAnsi="宋体" w:eastAsia="宋体" w:cs="宋体"/>
                <w:snapToGrid w:val="0"/>
                <w:color w:val="auto"/>
                <w:spacing w:val="-2"/>
                <w:kern w:val="0"/>
                <w:sz w:val="24"/>
                <w:szCs w:val="24"/>
                <w:lang w:eastAsia="en-US"/>
              </w:rPr>
              <w:t>的用</w:t>
            </w:r>
            <w:r>
              <w:rPr>
                <w:rFonts w:ascii="Times New Roman" w:hAnsi="Times New Roman" w:eastAsia="Times New Roman" w:cs="Times New Roman"/>
                <w:snapToGrid w:val="0"/>
                <w:color w:val="auto"/>
                <w:spacing w:val="-2"/>
                <w:kern w:val="0"/>
                <w:sz w:val="24"/>
                <w:szCs w:val="24"/>
                <w:lang w:eastAsia="en-US"/>
              </w:rPr>
              <w:t>4</w:t>
            </w:r>
            <w:r>
              <w:rPr>
                <w:rFonts w:ascii="宋体" w:hAnsi="宋体" w:eastAsia="宋体" w:cs="宋体"/>
                <w:snapToGrid w:val="0"/>
                <w:color w:val="auto"/>
                <w:spacing w:val="-2"/>
                <w:kern w:val="0"/>
                <w:sz w:val="24"/>
                <w:szCs w:val="24"/>
                <w:lang w:eastAsia="en-US"/>
              </w:rPr>
              <w:t>针遮</w:t>
            </w:r>
            <w:r>
              <w:rPr>
                <w:rFonts w:ascii="宋体" w:hAnsi="宋体" w:eastAsia="宋体" w:cs="宋体"/>
                <w:snapToGrid w:val="0"/>
                <w:color w:val="auto"/>
                <w:spacing w:val="2"/>
                <w:kern w:val="0"/>
                <w:sz w:val="24"/>
                <w:szCs w:val="24"/>
                <w:lang w:eastAsia="en-US"/>
              </w:rPr>
              <w:t>阳网搭棚且棚高</w:t>
            </w:r>
            <w:r>
              <w:rPr>
                <w:rFonts w:ascii="Times New Roman" w:hAnsi="Times New Roman" w:eastAsia="Times New Roman" w:cs="Times New Roman"/>
                <w:snapToGrid w:val="0"/>
                <w:color w:val="auto"/>
                <w:spacing w:val="2"/>
                <w:kern w:val="0"/>
                <w:sz w:val="24"/>
                <w:szCs w:val="24"/>
                <w:lang w:eastAsia="en-US"/>
              </w:rPr>
              <w:t>1.5~1.8m</w:t>
            </w:r>
            <w:r>
              <w:rPr>
                <w:rFonts w:ascii="宋体" w:hAnsi="宋体" w:eastAsia="宋体" w:cs="宋体"/>
                <w:snapToGrid w:val="0"/>
                <w:color w:val="auto"/>
                <w:spacing w:val="2"/>
                <w:kern w:val="0"/>
                <w:sz w:val="24"/>
                <w:szCs w:val="24"/>
                <w:lang w:eastAsia="en-US"/>
              </w:rPr>
              <w:t>。对于落叶阔叶林，用</w:t>
            </w:r>
            <w:r>
              <w:rPr>
                <w:rFonts w:ascii="Times New Roman" w:hAnsi="Times New Roman" w:eastAsia="Times New Roman" w:cs="Times New Roman"/>
                <w:snapToGrid w:val="0"/>
                <w:color w:val="auto"/>
                <w:spacing w:val="2"/>
                <w:kern w:val="0"/>
                <w:sz w:val="24"/>
                <w:szCs w:val="24"/>
                <w:lang w:eastAsia="en-US"/>
              </w:rPr>
              <w:t>4</w:t>
            </w:r>
            <w:r>
              <w:rPr>
                <w:rFonts w:ascii="宋体" w:hAnsi="宋体" w:eastAsia="宋体" w:cs="宋体"/>
                <w:snapToGrid w:val="0"/>
                <w:color w:val="auto"/>
                <w:spacing w:val="1"/>
                <w:kern w:val="0"/>
                <w:sz w:val="24"/>
                <w:szCs w:val="24"/>
                <w:lang w:eastAsia="en-US"/>
              </w:rPr>
              <w:t>针遮阳网搭棚且棚高</w:t>
            </w:r>
            <w:r>
              <w:rPr>
                <w:rFonts w:ascii="Times New Roman" w:hAnsi="Times New Roman" w:eastAsia="Times New Roman" w:cs="Times New Roman"/>
                <w:snapToGrid w:val="0"/>
                <w:color w:val="auto"/>
                <w:spacing w:val="-4"/>
                <w:kern w:val="0"/>
                <w:sz w:val="24"/>
                <w:szCs w:val="24"/>
                <w:lang w:eastAsia="en-US"/>
              </w:rPr>
              <w:t>1.8</w:t>
            </w:r>
            <w:r>
              <w:rPr>
                <w:rFonts w:ascii="宋体" w:hAnsi="宋体" w:eastAsia="宋体" w:cs="宋体"/>
                <w:snapToGrid w:val="0"/>
                <w:color w:val="auto"/>
                <w:spacing w:val="-4"/>
                <w:kern w:val="0"/>
                <w:sz w:val="24"/>
                <w:szCs w:val="24"/>
                <w:lang w:eastAsia="en-US"/>
              </w:rPr>
              <w:t>～</w:t>
            </w:r>
            <w:r>
              <w:rPr>
                <w:rFonts w:ascii="Times New Roman" w:hAnsi="Times New Roman" w:eastAsia="Times New Roman" w:cs="Times New Roman"/>
                <w:snapToGrid w:val="0"/>
                <w:color w:val="auto"/>
                <w:spacing w:val="-4"/>
                <w:kern w:val="0"/>
                <w:sz w:val="24"/>
                <w:szCs w:val="24"/>
                <w:lang w:eastAsia="en-US"/>
              </w:rPr>
              <w:t>2.2m</w:t>
            </w:r>
            <w:r>
              <w:rPr>
                <w:rFonts w:ascii="宋体" w:hAnsi="宋体" w:eastAsia="宋体" w:cs="宋体"/>
                <w:snapToGrid w:val="0"/>
                <w:color w:val="auto"/>
                <w:spacing w:val="-4"/>
                <w:kern w:val="0"/>
                <w:sz w:val="24"/>
                <w:szCs w:val="24"/>
                <w:lang w:eastAsia="en-US"/>
              </w:rPr>
              <w:t>。如需做床，菌床宽依林间距而定选择</w:t>
            </w:r>
            <w:r>
              <w:rPr>
                <w:rFonts w:ascii="Times New Roman" w:hAnsi="Times New Roman" w:eastAsia="Times New Roman" w:cs="Times New Roman"/>
                <w:snapToGrid w:val="0"/>
                <w:color w:val="auto"/>
                <w:spacing w:val="-4"/>
                <w:kern w:val="0"/>
                <w:sz w:val="24"/>
                <w:szCs w:val="24"/>
                <w:lang w:eastAsia="en-US"/>
              </w:rPr>
              <w:t>0.6m~1.2m</w:t>
            </w:r>
            <w:r>
              <w:rPr>
                <w:rFonts w:ascii="宋体" w:hAnsi="宋体" w:eastAsia="宋体" w:cs="宋体"/>
                <w:snapToGrid w:val="0"/>
                <w:color w:val="auto"/>
                <w:spacing w:val="-4"/>
                <w:kern w:val="0"/>
                <w:sz w:val="24"/>
                <w:szCs w:val="24"/>
                <w:lang w:eastAsia="en-US"/>
              </w:rPr>
              <w:t>，床长依地形</w:t>
            </w:r>
            <w:r>
              <w:rPr>
                <w:rFonts w:ascii="宋体" w:hAnsi="宋体" w:eastAsia="宋体" w:cs="宋体"/>
                <w:snapToGrid w:val="0"/>
                <w:color w:val="auto"/>
                <w:spacing w:val="-3"/>
                <w:kern w:val="0"/>
                <w:sz w:val="24"/>
                <w:szCs w:val="24"/>
                <w:lang w:eastAsia="en-US"/>
              </w:rPr>
              <w:t>而定，床高不小于</w:t>
            </w:r>
            <w:r>
              <w:rPr>
                <w:rFonts w:ascii="Times New Roman" w:hAnsi="Times New Roman" w:eastAsia="Times New Roman" w:cs="Times New Roman"/>
                <w:snapToGrid w:val="0"/>
                <w:color w:val="auto"/>
                <w:spacing w:val="-3"/>
                <w:kern w:val="0"/>
                <w:sz w:val="24"/>
                <w:szCs w:val="24"/>
                <w:lang w:eastAsia="en-US"/>
              </w:rPr>
              <w:t>30cm</w:t>
            </w:r>
            <w:r>
              <w:rPr>
                <w:rFonts w:ascii="宋体" w:hAnsi="宋体" w:eastAsia="宋体" w:cs="宋体"/>
                <w:snapToGrid w:val="0"/>
                <w:color w:val="auto"/>
                <w:spacing w:val="-3"/>
                <w:kern w:val="0"/>
                <w:sz w:val="24"/>
                <w:szCs w:val="24"/>
                <w:lang w:eastAsia="en-US"/>
              </w:rPr>
              <w:t>，步道宽</w:t>
            </w:r>
            <w:r>
              <w:rPr>
                <w:rFonts w:ascii="Times New Roman" w:hAnsi="Times New Roman" w:eastAsia="Times New Roman" w:cs="Times New Roman"/>
                <w:snapToGrid w:val="0"/>
                <w:color w:val="auto"/>
                <w:spacing w:val="-3"/>
                <w:kern w:val="0"/>
                <w:sz w:val="24"/>
                <w:szCs w:val="24"/>
                <w:lang w:eastAsia="en-US"/>
              </w:rPr>
              <w:t>20cm~30cm</w:t>
            </w:r>
            <w:r>
              <w:rPr>
                <w:rFonts w:ascii="宋体" w:hAnsi="宋体" w:eastAsia="宋体" w:cs="宋体"/>
                <w:snapToGrid w:val="0"/>
                <w:color w:val="auto"/>
                <w:spacing w:val="-3"/>
                <w:kern w:val="0"/>
                <w:sz w:val="24"/>
                <w:szCs w:val="24"/>
                <w:lang w:eastAsia="en-US"/>
              </w:rPr>
              <w:t>。周围挖排水沟。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5</w:t>
            </w:r>
            <w:r>
              <w:rPr>
                <w:rFonts w:ascii="宋体" w:hAnsi="宋体" w:eastAsia="宋体" w:cs="宋体"/>
                <w:snapToGrid w:val="0"/>
                <w:color w:val="auto"/>
                <w:spacing w:val="2"/>
                <w:kern w:val="0"/>
                <w:sz w:val="24"/>
                <w:szCs w:val="24"/>
                <w:lang w:eastAsia="en-US"/>
              </w:rPr>
              <w:t>）栽培方式。包括林下地表栽培、林下覆土栽培、林下播种栽培、</w:t>
            </w:r>
            <w:r>
              <w:rPr>
                <w:rFonts w:ascii="宋体" w:hAnsi="宋体" w:eastAsia="宋体" w:cs="宋体"/>
                <w:snapToGrid w:val="0"/>
                <w:color w:val="auto"/>
                <w:spacing w:val="-2"/>
                <w:kern w:val="0"/>
                <w:sz w:val="24"/>
                <w:szCs w:val="24"/>
                <w:lang w:eastAsia="en-US"/>
              </w:rPr>
              <w:t>林下接种栽培、林下仿野生栽培等，根据实际选择的林菌种类</w:t>
            </w:r>
            <w:r>
              <w:rPr>
                <w:rFonts w:ascii="宋体" w:hAnsi="宋体" w:eastAsia="宋体" w:cs="宋体"/>
                <w:snapToGrid w:val="0"/>
                <w:color w:val="auto"/>
                <w:spacing w:val="-3"/>
                <w:kern w:val="0"/>
                <w:sz w:val="24"/>
                <w:szCs w:val="24"/>
                <w:lang w:eastAsia="en-US"/>
              </w:rPr>
              <w:t>选择对应的</w:t>
            </w:r>
            <w:r>
              <w:rPr>
                <w:rFonts w:ascii="宋体" w:hAnsi="宋体" w:eastAsia="宋体" w:cs="宋体"/>
                <w:snapToGrid w:val="0"/>
                <w:color w:val="auto"/>
                <w:spacing w:val="-4"/>
                <w:kern w:val="0"/>
                <w:sz w:val="24"/>
                <w:szCs w:val="24"/>
                <w:lang w:eastAsia="en-US"/>
              </w:rPr>
              <w:t>方式。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jc w:val="both"/>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3"/>
                <w:kern w:val="0"/>
                <w:sz w:val="24"/>
                <w:szCs w:val="24"/>
                <w:lang w:eastAsia="en-US"/>
              </w:rPr>
              <w:t>a.</w:t>
            </w:r>
            <w:r>
              <w:rPr>
                <w:rFonts w:ascii="宋体" w:hAnsi="宋体" w:eastAsia="宋体" w:cs="宋体"/>
                <w:snapToGrid w:val="0"/>
                <w:color w:val="auto"/>
                <w:spacing w:val="3"/>
                <w:kern w:val="0"/>
                <w:sz w:val="24"/>
                <w:szCs w:val="24"/>
                <w:lang w:eastAsia="en-US"/>
              </w:rPr>
              <w:t>林下地表栽培。将发好菌的菌棒</w:t>
            </w:r>
            <w:r>
              <w:rPr>
                <w:rFonts w:ascii="Times New Roman" w:hAnsi="Times New Roman" w:eastAsia="Times New Roman" w:cs="Times New Roman"/>
                <w:snapToGrid w:val="0"/>
                <w:color w:val="auto"/>
                <w:spacing w:val="3"/>
                <w:kern w:val="0"/>
                <w:sz w:val="24"/>
                <w:szCs w:val="24"/>
                <w:lang w:eastAsia="en-US"/>
              </w:rPr>
              <w:t>(</w:t>
            </w:r>
            <w:r>
              <w:rPr>
                <w:rFonts w:ascii="宋体" w:hAnsi="宋体" w:eastAsia="宋体" w:cs="宋体"/>
                <w:snapToGrid w:val="0"/>
                <w:color w:val="auto"/>
                <w:spacing w:val="3"/>
                <w:kern w:val="0"/>
                <w:sz w:val="24"/>
                <w:szCs w:val="24"/>
                <w:lang w:eastAsia="en-US"/>
              </w:rPr>
              <w:t>菌包</w:t>
            </w:r>
            <w:r>
              <w:rPr>
                <w:rFonts w:ascii="Times New Roman" w:hAnsi="Times New Roman" w:eastAsia="Times New Roman" w:cs="Times New Roman"/>
                <w:snapToGrid w:val="0"/>
                <w:color w:val="auto"/>
                <w:spacing w:val="3"/>
                <w:kern w:val="0"/>
                <w:sz w:val="24"/>
                <w:szCs w:val="24"/>
                <w:lang w:eastAsia="en-US"/>
              </w:rPr>
              <w:t>)</w:t>
            </w:r>
            <w:r>
              <w:rPr>
                <w:rFonts w:ascii="宋体" w:hAnsi="宋体" w:eastAsia="宋体" w:cs="宋体"/>
                <w:snapToGrid w:val="0"/>
                <w:color w:val="auto"/>
                <w:spacing w:val="3"/>
                <w:kern w:val="0"/>
                <w:sz w:val="24"/>
                <w:szCs w:val="24"/>
                <w:lang w:eastAsia="en-US"/>
              </w:rPr>
              <w:t>直接摆放在林下地表，为避</w:t>
            </w:r>
            <w:r>
              <w:rPr>
                <w:rFonts w:ascii="宋体" w:hAnsi="宋体" w:eastAsia="宋体" w:cs="宋体"/>
                <w:snapToGrid w:val="0"/>
                <w:color w:val="auto"/>
                <w:spacing w:val="-2"/>
                <w:kern w:val="0"/>
                <w:sz w:val="24"/>
                <w:szCs w:val="24"/>
                <w:lang w:eastAsia="en-US"/>
              </w:rPr>
              <w:t>免菌棒与地面之间接触引起污染，可在地表上铺膜后再摆</w:t>
            </w:r>
            <w:r>
              <w:rPr>
                <w:rFonts w:ascii="宋体" w:hAnsi="宋体" w:eastAsia="宋体" w:cs="宋体"/>
                <w:snapToGrid w:val="0"/>
                <w:color w:val="auto"/>
                <w:spacing w:val="-3"/>
                <w:kern w:val="0"/>
                <w:sz w:val="24"/>
                <w:szCs w:val="24"/>
                <w:lang w:eastAsia="en-US"/>
              </w:rPr>
              <w:t>放菌棒，或将菌</w:t>
            </w:r>
            <w:r>
              <w:rPr>
                <w:rFonts w:ascii="宋体" w:hAnsi="宋体" w:eastAsia="宋体" w:cs="宋体"/>
                <w:snapToGrid w:val="0"/>
                <w:color w:val="auto"/>
                <w:spacing w:val="-2"/>
                <w:kern w:val="0"/>
                <w:sz w:val="24"/>
                <w:szCs w:val="24"/>
                <w:lang w:eastAsia="en-US"/>
              </w:rPr>
              <w:t>棒摆放在排架上。</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3"/>
                <w:kern w:val="0"/>
                <w:sz w:val="24"/>
                <w:szCs w:val="24"/>
                <w:lang w:eastAsia="en-US"/>
              </w:rPr>
              <w:t>b.</w:t>
            </w:r>
            <w:r>
              <w:rPr>
                <w:rFonts w:ascii="宋体" w:hAnsi="宋体" w:eastAsia="宋体" w:cs="宋体"/>
                <w:snapToGrid w:val="0"/>
                <w:color w:val="auto"/>
                <w:spacing w:val="3"/>
                <w:kern w:val="0"/>
                <w:sz w:val="24"/>
                <w:szCs w:val="24"/>
                <w:lang w:eastAsia="en-US"/>
              </w:rPr>
              <w:t>林下覆土栽培。建好畦或坑后将菌棒</w:t>
            </w:r>
            <w:r>
              <w:rPr>
                <w:rFonts w:ascii="Times New Roman" w:hAnsi="Times New Roman" w:eastAsia="Times New Roman" w:cs="Times New Roman"/>
                <w:snapToGrid w:val="0"/>
                <w:color w:val="auto"/>
                <w:spacing w:val="3"/>
                <w:kern w:val="0"/>
                <w:sz w:val="24"/>
                <w:szCs w:val="24"/>
                <w:lang w:eastAsia="en-US"/>
              </w:rPr>
              <w:t>(</w:t>
            </w:r>
            <w:r>
              <w:rPr>
                <w:rFonts w:ascii="宋体" w:hAnsi="宋体" w:eastAsia="宋体" w:cs="宋体"/>
                <w:snapToGrid w:val="0"/>
                <w:color w:val="auto"/>
                <w:spacing w:val="3"/>
                <w:kern w:val="0"/>
                <w:sz w:val="24"/>
                <w:szCs w:val="24"/>
                <w:lang w:eastAsia="en-US"/>
              </w:rPr>
              <w:t>菌包</w:t>
            </w:r>
            <w:r>
              <w:rPr>
                <w:rFonts w:ascii="Times New Roman" w:hAnsi="Times New Roman" w:eastAsia="Times New Roman" w:cs="Times New Roman"/>
                <w:snapToGrid w:val="0"/>
                <w:color w:val="auto"/>
                <w:spacing w:val="3"/>
                <w:kern w:val="0"/>
                <w:sz w:val="24"/>
                <w:szCs w:val="24"/>
                <w:lang w:eastAsia="en-US"/>
              </w:rPr>
              <w:t>)</w:t>
            </w:r>
            <w:r>
              <w:rPr>
                <w:rFonts w:ascii="宋体" w:hAnsi="宋体" w:eastAsia="宋体" w:cs="宋体"/>
                <w:snapToGrid w:val="0"/>
                <w:color w:val="auto"/>
                <w:spacing w:val="3"/>
                <w:kern w:val="0"/>
                <w:sz w:val="24"/>
                <w:szCs w:val="24"/>
                <w:lang w:eastAsia="en-US"/>
              </w:rPr>
              <w:t>脱袋后摆放在畦坑内，</w:t>
            </w:r>
            <w:r>
              <w:rPr>
                <w:rFonts w:ascii="宋体" w:hAnsi="宋体" w:eastAsia="宋体" w:cs="宋体"/>
                <w:snapToGrid w:val="0"/>
                <w:color w:val="auto"/>
                <w:spacing w:val="-2"/>
                <w:kern w:val="0"/>
                <w:sz w:val="24"/>
                <w:szCs w:val="24"/>
                <w:lang w:eastAsia="en-US"/>
              </w:rPr>
              <w:t>菌棒紧密排列或留有空隙，回填土后浇透水，在上面</w:t>
            </w:r>
            <w:r>
              <w:rPr>
                <w:rFonts w:ascii="宋体" w:hAnsi="宋体" w:eastAsia="宋体" w:cs="宋体"/>
                <w:snapToGrid w:val="0"/>
                <w:color w:val="auto"/>
                <w:spacing w:val="-3"/>
                <w:kern w:val="0"/>
                <w:sz w:val="24"/>
                <w:szCs w:val="24"/>
                <w:lang w:eastAsia="en-US"/>
              </w:rPr>
              <w:t>覆土。畦坑深度一般</w:t>
            </w:r>
            <w:r>
              <w:rPr>
                <w:rFonts w:ascii="宋体" w:hAnsi="宋体" w:eastAsia="宋体" w:cs="宋体"/>
                <w:snapToGrid w:val="0"/>
                <w:color w:val="auto"/>
                <w:kern w:val="0"/>
                <w:sz w:val="24"/>
                <w:szCs w:val="24"/>
                <w:lang w:eastAsia="en-US"/>
              </w:rPr>
              <w:t>高于菌棒</w:t>
            </w:r>
            <w:r>
              <w:rPr>
                <w:rFonts w:ascii="Times New Roman" w:hAnsi="Times New Roman" w:eastAsia="Times New Roman" w:cs="Times New Roman"/>
                <w:snapToGrid w:val="0"/>
                <w:color w:val="auto"/>
                <w:kern w:val="0"/>
                <w:sz w:val="24"/>
                <w:szCs w:val="24"/>
                <w:lang w:eastAsia="en-US"/>
              </w:rPr>
              <w:t>2-3cm</w:t>
            </w:r>
            <w:r>
              <w:rPr>
                <w:rFonts w:ascii="宋体" w:hAnsi="宋体" w:eastAsia="宋体" w:cs="宋体"/>
                <w:snapToGrid w:val="0"/>
                <w:color w:val="auto"/>
                <w:kern w:val="0"/>
                <w:sz w:val="24"/>
                <w:szCs w:val="24"/>
                <w:lang w:eastAsia="en-US"/>
              </w:rPr>
              <w:t>；覆土厚度一般高于菌棒表面</w:t>
            </w:r>
            <w:r>
              <w:rPr>
                <w:rFonts w:ascii="Times New Roman" w:hAnsi="Times New Roman" w:eastAsia="Times New Roman" w:cs="Times New Roman"/>
                <w:snapToGrid w:val="0"/>
                <w:color w:val="auto"/>
                <w:kern w:val="0"/>
                <w:sz w:val="24"/>
                <w:szCs w:val="24"/>
                <w:lang w:eastAsia="en-US"/>
              </w:rPr>
              <w:t>2</w:t>
            </w:r>
            <w:r>
              <w:rPr>
                <w:rFonts w:ascii="Times New Roman" w:hAnsi="Times New Roman" w:eastAsia="Times New Roman" w:cs="Times New Roman"/>
                <w:snapToGrid w:val="0"/>
                <w:color w:val="auto"/>
                <w:spacing w:val="-1"/>
                <w:kern w:val="0"/>
                <w:sz w:val="24"/>
                <w:szCs w:val="24"/>
                <w:lang w:eastAsia="en-US"/>
              </w:rPr>
              <w:t>-3cm</w:t>
            </w:r>
            <w:r>
              <w:rPr>
                <w:rFonts w:ascii="宋体" w:hAnsi="宋体" w:eastAsia="宋体" w:cs="宋体"/>
                <w:snapToGrid w:val="0"/>
                <w:color w:val="auto"/>
                <w:spacing w:val="-1"/>
                <w:kern w:val="0"/>
                <w:sz w:val="24"/>
                <w:szCs w:val="24"/>
                <w:lang w:eastAsia="en-US"/>
              </w:rPr>
              <w:t>，平齐略高于地面，</w:t>
            </w:r>
            <w:r>
              <w:rPr>
                <w:rFonts w:ascii="宋体" w:hAnsi="宋体" w:eastAsia="宋体" w:cs="宋体"/>
                <w:snapToGrid w:val="0"/>
                <w:color w:val="auto"/>
                <w:spacing w:val="-2"/>
                <w:kern w:val="0"/>
                <w:sz w:val="24"/>
                <w:szCs w:val="24"/>
                <w:lang w:eastAsia="en-US"/>
              </w:rPr>
              <w:t>呈龟背状，覆土层上盖</w:t>
            </w:r>
            <w:r>
              <w:rPr>
                <w:rFonts w:ascii="Times New Roman" w:hAnsi="Times New Roman" w:eastAsia="Times New Roman" w:cs="Times New Roman"/>
                <w:snapToGrid w:val="0"/>
                <w:color w:val="auto"/>
                <w:spacing w:val="-2"/>
                <w:kern w:val="0"/>
                <w:sz w:val="24"/>
                <w:szCs w:val="24"/>
                <w:lang w:eastAsia="en-US"/>
              </w:rPr>
              <w:t>1-3</w:t>
            </w:r>
            <w:r>
              <w:rPr>
                <w:rFonts w:ascii="宋体" w:hAnsi="宋体" w:eastAsia="宋体" w:cs="宋体"/>
                <w:snapToGrid w:val="0"/>
                <w:color w:val="auto"/>
                <w:spacing w:val="-2"/>
                <w:kern w:val="0"/>
                <w:sz w:val="24"/>
                <w:szCs w:val="24"/>
                <w:lang w:eastAsia="en-US"/>
              </w:rPr>
              <w:t>层落叶，促进土层内菌丝透气保水。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kern w:val="0"/>
                <w:sz w:val="24"/>
                <w:szCs w:val="24"/>
                <w:lang w:eastAsia="en-US"/>
              </w:rPr>
              <w:t>c.</w:t>
            </w:r>
            <w:r>
              <w:rPr>
                <w:rFonts w:ascii="宋体" w:hAnsi="宋体" w:eastAsia="宋体" w:cs="宋体"/>
                <w:snapToGrid w:val="0"/>
                <w:color w:val="auto"/>
                <w:kern w:val="0"/>
                <w:sz w:val="24"/>
                <w:szCs w:val="24"/>
                <w:lang w:eastAsia="en-US"/>
              </w:rPr>
              <w:t>林下播种栽培。将发酵好的料或生料堆放于适宜规格的畦床上，逐</w:t>
            </w:r>
            <w:r>
              <w:rPr>
                <w:rFonts w:ascii="宋体" w:hAnsi="宋体" w:eastAsia="宋体" w:cs="宋体"/>
                <w:snapToGrid w:val="0"/>
                <w:color w:val="auto"/>
                <w:spacing w:val="-8"/>
                <w:kern w:val="0"/>
                <w:sz w:val="24"/>
                <w:szCs w:val="24"/>
                <w:lang w:eastAsia="en-US"/>
              </w:rPr>
              <w:t>层播种，播种后用稻草或树叶等覆盖在畦床上，防止雨水冲刷，同时保水、</w:t>
            </w:r>
            <w:r>
              <w:rPr>
                <w:rFonts w:ascii="宋体" w:hAnsi="宋体" w:eastAsia="宋体" w:cs="宋体"/>
                <w:snapToGrid w:val="0"/>
                <w:color w:val="auto"/>
                <w:spacing w:val="-2"/>
                <w:kern w:val="0"/>
                <w:sz w:val="24"/>
                <w:szCs w:val="24"/>
                <w:lang w:eastAsia="en-US"/>
              </w:rPr>
              <w:t>遮阳；干旱地区可在畦床上覆盖塑料膜或扣拱棚，调节温度和湿度</w:t>
            </w:r>
            <w:r>
              <w:rPr>
                <w:rFonts w:ascii="宋体" w:hAnsi="宋体" w:eastAsia="宋体" w:cs="宋体"/>
                <w:snapToGrid w:val="0"/>
                <w:color w:val="auto"/>
                <w:spacing w:val="-3"/>
                <w:kern w:val="0"/>
                <w:sz w:val="24"/>
                <w:szCs w:val="24"/>
                <w:lang w:eastAsia="en-US"/>
              </w:rPr>
              <w:t>，再管理出菇。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kern w:val="0"/>
                <w:sz w:val="24"/>
                <w:szCs w:val="24"/>
                <w:lang w:eastAsia="en-US"/>
              </w:rPr>
              <w:t>d.</w:t>
            </w:r>
            <w:r>
              <w:rPr>
                <w:rFonts w:ascii="宋体" w:hAnsi="宋体" w:eastAsia="宋体" w:cs="宋体"/>
                <w:snapToGrid w:val="0"/>
                <w:color w:val="auto"/>
                <w:kern w:val="0"/>
                <w:sz w:val="24"/>
                <w:szCs w:val="24"/>
                <w:lang w:eastAsia="en-US"/>
              </w:rPr>
              <w:t>林下接种栽培。将菌丝人工接种到特定树木的根部，组成互供养分</w:t>
            </w:r>
            <w:r>
              <w:rPr>
                <w:rFonts w:ascii="宋体" w:hAnsi="宋体" w:eastAsia="宋体" w:cs="宋体"/>
                <w:snapToGrid w:val="0"/>
                <w:color w:val="auto"/>
                <w:spacing w:val="-2"/>
                <w:kern w:val="0"/>
                <w:sz w:val="24"/>
                <w:szCs w:val="24"/>
                <w:lang w:eastAsia="en-US"/>
              </w:rPr>
              <w:t>的共生体菌根，再将感染后的树苗进行移植造林。</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kern w:val="0"/>
                <w:sz w:val="24"/>
                <w:szCs w:val="24"/>
                <w:lang w:eastAsia="en-US"/>
              </w:rPr>
              <w:t>e.</w:t>
            </w:r>
            <w:r>
              <w:rPr>
                <w:rFonts w:ascii="宋体" w:hAnsi="宋体" w:eastAsia="宋体" w:cs="宋体"/>
                <w:snapToGrid w:val="0"/>
                <w:color w:val="auto"/>
                <w:kern w:val="0"/>
                <w:sz w:val="24"/>
                <w:szCs w:val="24"/>
                <w:lang w:eastAsia="en-US"/>
              </w:rPr>
              <w:t>林下仿野生栽培。根据栽培季节、菌种确定适宜的栽培方式，畦栽</w:t>
            </w:r>
            <w:r>
              <w:rPr>
                <w:rFonts w:ascii="宋体" w:hAnsi="宋体" w:eastAsia="宋体" w:cs="宋体"/>
                <w:snapToGrid w:val="0"/>
                <w:color w:val="auto"/>
                <w:spacing w:val="-2"/>
                <w:kern w:val="0"/>
                <w:sz w:val="24"/>
                <w:szCs w:val="24"/>
                <w:lang w:eastAsia="en-US"/>
              </w:rPr>
              <w:t>的畦宽和畦长依据立地条件决定，畦建好后，将在室内培养</w:t>
            </w:r>
            <w:r>
              <w:rPr>
                <w:rFonts w:ascii="宋体" w:hAnsi="宋体" w:eastAsia="宋体" w:cs="宋体"/>
                <w:snapToGrid w:val="0"/>
                <w:color w:val="auto"/>
                <w:spacing w:val="-3"/>
                <w:kern w:val="0"/>
                <w:sz w:val="24"/>
                <w:szCs w:val="24"/>
                <w:lang w:eastAsia="en-US"/>
              </w:rPr>
              <w:t>的菌丝体播种</w:t>
            </w:r>
            <w:r>
              <w:rPr>
                <w:rFonts w:ascii="宋体" w:hAnsi="宋体" w:eastAsia="宋体" w:cs="宋体"/>
                <w:snapToGrid w:val="0"/>
                <w:color w:val="auto"/>
                <w:spacing w:val="-8"/>
                <w:kern w:val="0"/>
                <w:sz w:val="24"/>
                <w:szCs w:val="24"/>
                <w:lang w:eastAsia="en-US"/>
              </w:rPr>
              <w:t>在林下畦床上，播种后盖上薄膜，在薄膜上打出气孔，再覆盖适量的泥土。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3"/>
                <w:kern w:val="0"/>
                <w:sz w:val="24"/>
                <w:szCs w:val="24"/>
                <w:lang w:eastAsia="en-US"/>
              </w:rPr>
              <w:t>6</w:t>
            </w:r>
            <w:r>
              <w:rPr>
                <w:rFonts w:ascii="宋体" w:hAnsi="宋体" w:eastAsia="宋体" w:cs="宋体"/>
                <w:snapToGrid w:val="0"/>
                <w:color w:val="auto"/>
                <w:spacing w:val="3"/>
                <w:kern w:val="0"/>
                <w:sz w:val="24"/>
                <w:szCs w:val="24"/>
                <w:lang w:eastAsia="en-US"/>
              </w:rPr>
              <w:t>）温度和湿度管理。根据林下食用菌种类和生长发育的不同阶段，</w:t>
            </w:r>
            <w:r>
              <w:rPr>
                <w:rFonts w:ascii="宋体" w:hAnsi="宋体" w:eastAsia="宋体" w:cs="宋体"/>
                <w:snapToGrid w:val="0"/>
                <w:color w:val="auto"/>
                <w:spacing w:val="-2"/>
                <w:kern w:val="0"/>
                <w:sz w:val="24"/>
                <w:szCs w:val="24"/>
                <w:lang w:eastAsia="en-US"/>
              </w:rPr>
              <w:t>适度调整温度和湿度，在菌丝体生长期，多数林下食用菌要求培养</w:t>
            </w:r>
            <w:r>
              <w:rPr>
                <w:rFonts w:ascii="宋体" w:hAnsi="宋体" w:eastAsia="宋体" w:cs="宋体"/>
                <w:snapToGrid w:val="0"/>
                <w:color w:val="auto"/>
                <w:spacing w:val="-3"/>
                <w:kern w:val="0"/>
                <w:sz w:val="24"/>
                <w:szCs w:val="24"/>
                <w:lang w:eastAsia="en-US"/>
              </w:rPr>
              <w:t>料含水</w:t>
            </w:r>
            <w:r>
              <w:rPr>
                <w:rFonts w:ascii="宋体" w:hAnsi="宋体" w:eastAsia="宋体" w:cs="宋体"/>
                <w:snapToGrid w:val="0"/>
                <w:color w:val="auto"/>
                <w:spacing w:val="-12"/>
                <w:kern w:val="0"/>
                <w:sz w:val="24"/>
                <w:szCs w:val="24"/>
                <w:lang w:eastAsia="en-US"/>
              </w:rPr>
              <w:t>量为</w:t>
            </w:r>
            <w:r>
              <w:rPr>
                <w:rFonts w:ascii="Times New Roman" w:hAnsi="Times New Roman" w:eastAsia="Times New Roman" w:cs="Times New Roman"/>
                <w:snapToGrid w:val="0"/>
                <w:color w:val="auto"/>
                <w:spacing w:val="-12"/>
                <w:kern w:val="0"/>
                <w:sz w:val="24"/>
                <w:szCs w:val="24"/>
                <w:lang w:eastAsia="en-US"/>
              </w:rPr>
              <w:t>60%-65%</w:t>
            </w:r>
            <w:r>
              <w:rPr>
                <w:rFonts w:ascii="宋体" w:hAnsi="宋体" w:eastAsia="宋体" w:cs="宋体"/>
                <w:snapToGrid w:val="0"/>
                <w:color w:val="auto"/>
                <w:spacing w:val="-12"/>
                <w:kern w:val="0"/>
                <w:sz w:val="24"/>
                <w:szCs w:val="24"/>
                <w:lang w:eastAsia="en-US"/>
              </w:rPr>
              <w:t>、空气湿度为</w:t>
            </w:r>
            <w:r>
              <w:rPr>
                <w:rFonts w:ascii="Times New Roman" w:hAnsi="Times New Roman" w:eastAsia="Times New Roman" w:cs="Times New Roman"/>
                <w:snapToGrid w:val="0"/>
                <w:color w:val="auto"/>
                <w:spacing w:val="-12"/>
                <w:kern w:val="0"/>
                <w:sz w:val="24"/>
                <w:szCs w:val="24"/>
                <w:lang w:eastAsia="en-US"/>
              </w:rPr>
              <w:t>60%-70%</w:t>
            </w:r>
            <w:r>
              <w:rPr>
                <w:rFonts w:ascii="宋体" w:hAnsi="宋体" w:eastAsia="宋体" w:cs="宋体"/>
                <w:snapToGrid w:val="0"/>
                <w:color w:val="auto"/>
                <w:spacing w:val="-12"/>
                <w:kern w:val="0"/>
                <w:sz w:val="24"/>
                <w:szCs w:val="24"/>
                <w:lang w:eastAsia="en-US"/>
              </w:rPr>
              <w:t>；在子实体发育期，湿度为</w:t>
            </w:r>
            <w:r>
              <w:rPr>
                <w:rFonts w:ascii="Times New Roman" w:hAnsi="Times New Roman" w:eastAsia="Times New Roman" w:cs="Times New Roman"/>
                <w:snapToGrid w:val="0"/>
                <w:color w:val="auto"/>
                <w:spacing w:val="-12"/>
                <w:kern w:val="0"/>
                <w:sz w:val="24"/>
                <w:szCs w:val="24"/>
                <w:lang w:eastAsia="en-US"/>
              </w:rPr>
              <w:t>85%-90%</w:t>
            </w:r>
            <w:r>
              <w:rPr>
                <w:rFonts w:ascii="宋体" w:hAnsi="宋体" w:eastAsia="宋体" w:cs="宋体"/>
                <w:snapToGrid w:val="0"/>
                <w:color w:val="auto"/>
                <w:spacing w:val="-12"/>
                <w:kern w:val="0"/>
                <w:sz w:val="24"/>
                <w:szCs w:val="24"/>
                <w:lang w:eastAsia="en-US"/>
              </w:rPr>
              <w:t>。</w:t>
            </w:r>
            <w:r>
              <w:rPr>
                <w:rFonts w:ascii="宋体" w:hAnsi="宋体" w:eastAsia="宋体" w:cs="宋体"/>
                <w:snapToGrid w:val="0"/>
                <w:color w:val="auto"/>
                <w:spacing w:val="-1"/>
                <w:kern w:val="0"/>
                <w:sz w:val="24"/>
                <w:szCs w:val="24"/>
                <w:lang w:eastAsia="en-US"/>
              </w:rPr>
              <w:t>在干旱或缺水时可采用林下食用菌微喷系统或人工补水。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kern w:val="0"/>
                <w:sz w:val="24"/>
                <w:szCs w:val="24"/>
                <w:lang w:eastAsia="en-US"/>
              </w:rPr>
              <w:t>7</w:t>
            </w:r>
            <w:r>
              <w:rPr>
                <w:rFonts w:ascii="宋体" w:hAnsi="宋体" w:eastAsia="宋体" w:cs="宋体"/>
                <w:snapToGrid w:val="0"/>
                <w:color w:val="auto"/>
                <w:kern w:val="0"/>
                <w:sz w:val="24"/>
                <w:szCs w:val="24"/>
                <w:lang w:eastAsia="en-US"/>
              </w:rPr>
              <w:t>）通风管理。良好的通风条件对于菌类的生长至关重要。在种植过</w:t>
            </w:r>
            <w:r>
              <w:rPr>
                <w:rFonts w:ascii="宋体" w:hAnsi="宋体" w:eastAsia="宋体" w:cs="宋体"/>
                <w:snapToGrid w:val="0"/>
                <w:color w:val="auto"/>
                <w:spacing w:val="-2"/>
                <w:kern w:val="0"/>
                <w:sz w:val="24"/>
                <w:szCs w:val="24"/>
                <w:lang w:eastAsia="en-US"/>
              </w:rPr>
              <w:t>程中，应注意保持林地的通风状况良好，避免出现厌氧发酵和病害</w:t>
            </w:r>
            <w:r>
              <w:rPr>
                <w:rFonts w:ascii="宋体" w:hAnsi="宋体" w:eastAsia="宋体" w:cs="宋体"/>
                <w:snapToGrid w:val="0"/>
                <w:color w:val="auto"/>
                <w:spacing w:val="-3"/>
                <w:kern w:val="0"/>
                <w:sz w:val="24"/>
                <w:szCs w:val="24"/>
                <w:lang w:eastAsia="en-US"/>
              </w:rPr>
              <w:t>滋生的</w:t>
            </w:r>
            <w:r>
              <w:rPr>
                <w:rFonts w:ascii="宋体" w:hAnsi="宋体" w:eastAsia="宋体" w:cs="宋体"/>
                <w:snapToGrid w:val="0"/>
                <w:color w:val="auto"/>
                <w:spacing w:val="-2"/>
                <w:kern w:val="0"/>
                <w:sz w:val="24"/>
                <w:szCs w:val="24"/>
                <w:lang w:eastAsia="en-US"/>
              </w:rPr>
              <w:t>情况。可通过适时通风换气、控制遮荫设施的透风性等措施来提高</w:t>
            </w:r>
            <w:r>
              <w:rPr>
                <w:rFonts w:ascii="宋体" w:hAnsi="宋体" w:eastAsia="宋体" w:cs="宋体"/>
                <w:snapToGrid w:val="0"/>
                <w:color w:val="auto"/>
                <w:spacing w:val="-3"/>
                <w:kern w:val="0"/>
                <w:sz w:val="24"/>
                <w:szCs w:val="24"/>
                <w:lang w:eastAsia="en-US"/>
              </w:rPr>
              <w:t>林下的</w:t>
            </w:r>
            <w:r>
              <w:rPr>
                <w:rFonts w:ascii="宋体" w:hAnsi="宋体" w:eastAsia="宋体" w:cs="宋体"/>
                <w:snapToGrid w:val="0"/>
                <w:color w:val="auto"/>
                <w:spacing w:val="-2"/>
                <w:kern w:val="0"/>
                <w:sz w:val="24"/>
                <w:szCs w:val="24"/>
                <w:lang w:eastAsia="en-US"/>
              </w:rPr>
              <w:t>通风效果。</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8</w:t>
            </w:r>
            <w:r>
              <w:rPr>
                <w:rFonts w:ascii="宋体" w:hAnsi="宋体" w:eastAsia="宋体" w:cs="宋体"/>
                <w:snapToGrid w:val="0"/>
                <w:color w:val="auto"/>
                <w:spacing w:val="2"/>
                <w:kern w:val="0"/>
                <w:sz w:val="24"/>
                <w:szCs w:val="24"/>
                <w:lang w:eastAsia="en-US"/>
              </w:rPr>
              <w:t>）病虫害防治。应贯彻预防为主，综合防治的植保方针，优先使用</w:t>
            </w:r>
            <w:r>
              <w:rPr>
                <w:rFonts w:ascii="宋体" w:hAnsi="宋体" w:eastAsia="宋体" w:cs="宋体"/>
                <w:snapToGrid w:val="0"/>
                <w:color w:val="auto"/>
                <w:spacing w:val="-2"/>
                <w:kern w:val="0"/>
                <w:sz w:val="24"/>
                <w:szCs w:val="24"/>
                <w:lang w:eastAsia="en-US"/>
              </w:rPr>
              <w:t>生物和物理防控措施，安全用药，合理用药。宜选用国家</w:t>
            </w:r>
            <w:r>
              <w:rPr>
                <w:rFonts w:ascii="宋体" w:hAnsi="宋体" w:eastAsia="宋体" w:cs="宋体"/>
                <w:snapToGrid w:val="0"/>
                <w:color w:val="auto"/>
                <w:spacing w:val="-3"/>
                <w:kern w:val="0"/>
                <w:sz w:val="24"/>
                <w:szCs w:val="24"/>
                <w:lang w:eastAsia="en-US"/>
              </w:rPr>
              <w:t>登记可在食用菌</w:t>
            </w:r>
            <w:r>
              <w:rPr>
                <w:rFonts w:ascii="宋体" w:hAnsi="宋体" w:eastAsia="宋体" w:cs="宋体"/>
                <w:snapToGrid w:val="0"/>
                <w:color w:val="auto"/>
                <w:spacing w:val="-2"/>
                <w:kern w:val="0"/>
                <w:sz w:val="24"/>
                <w:szCs w:val="24"/>
                <w:lang w:eastAsia="en-US"/>
              </w:rPr>
              <w:t>生产使用的农药；不应使用剧毒、高毒、高残留农药。严格按照</w:t>
            </w:r>
            <w:r>
              <w:rPr>
                <w:rFonts w:ascii="宋体" w:hAnsi="宋体" w:eastAsia="宋体" w:cs="宋体"/>
                <w:snapToGrid w:val="0"/>
                <w:color w:val="auto"/>
                <w:spacing w:val="-3"/>
                <w:kern w:val="0"/>
                <w:sz w:val="24"/>
                <w:szCs w:val="24"/>
                <w:lang w:eastAsia="en-US"/>
              </w:rPr>
              <w:t>使用方法</w:t>
            </w:r>
            <w:r>
              <w:rPr>
                <w:rFonts w:ascii="宋体" w:hAnsi="宋体" w:eastAsia="宋体" w:cs="宋体"/>
                <w:snapToGrid w:val="0"/>
                <w:color w:val="auto"/>
                <w:spacing w:val="-2"/>
                <w:kern w:val="0"/>
                <w:sz w:val="24"/>
                <w:szCs w:val="24"/>
                <w:lang w:eastAsia="en-US"/>
              </w:rPr>
              <w:t>喷施，禁止采后向菇体上喷药。在林地畦床准备前要清理杂草、</w:t>
            </w:r>
            <w:r>
              <w:rPr>
                <w:rFonts w:ascii="宋体" w:hAnsi="宋体" w:eastAsia="宋体" w:cs="宋体"/>
                <w:snapToGrid w:val="0"/>
                <w:color w:val="auto"/>
                <w:spacing w:val="-3"/>
                <w:kern w:val="0"/>
                <w:sz w:val="24"/>
                <w:szCs w:val="24"/>
                <w:lang w:eastAsia="en-US"/>
              </w:rPr>
              <w:t>枯枝、积</w:t>
            </w:r>
            <w:r>
              <w:rPr>
                <w:rFonts w:ascii="宋体" w:hAnsi="宋体" w:eastAsia="宋体" w:cs="宋体"/>
                <w:snapToGrid w:val="0"/>
                <w:color w:val="auto"/>
                <w:spacing w:val="-2"/>
                <w:kern w:val="0"/>
                <w:sz w:val="24"/>
                <w:szCs w:val="24"/>
                <w:lang w:eastAsia="en-US"/>
              </w:rPr>
              <w:t>水和有机残体；杜绝污染物。畦床林地及四周撒石灰粉，或喷石</w:t>
            </w:r>
            <w:r>
              <w:rPr>
                <w:rFonts w:ascii="宋体" w:hAnsi="宋体" w:eastAsia="宋体" w:cs="宋体"/>
                <w:snapToGrid w:val="0"/>
                <w:color w:val="auto"/>
                <w:spacing w:val="-3"/>
                <w:kern w:val="0"/>
                <w:sz w:val="24"/>
                <w:szCs w:val="24"/>
                <w:lang w:eastAsia="en-US"/>
              </w:rPr>
              <w:t>灰水，喷</w:t>
            </w:r>
            <w:r>
              <w:rPr>
                <w:rFonts w:ascii="宋体" w:hAnsi="宋体" w:eastAsia="宋体" w:cs="宋体"/>
                <w:snapToGrid w:val="0"/>
                <w:color w:val="auto"/>
                <w:spacing w:val="-2"/>
                <w:kern w:val="0"/>
                <w:sz w:val="24"/>
                <w:szCs w:val="24"/>
                <w:lang w:eastAsia="en-US"/>
              </w:rPr>
              <w:t>波尔多液用于杀菌消毒。在菌株感染部位撒石灰粉，去除腐烂菇</w:t>
            </w:r>
            <w:r>
              <w:rPr>
                <w:rFonts w:ascii="宋体" w:hAnsi="宋体" w:eastAsia="宋体" w:cs="宋体"/>
                <w:snapToGrid w:val="0"/>
                <w:color w:val="auto"/>
                <w:spacing w:val="-3"/>
                <w:kern w:val="0"/>
                <w:sz w:val="24"/>
                <w:szCs w:val="24"/>
                <w:lang w:eastAsia="en-US"/>
              </w:rPr>
              <w:t>和病菇，</w:t>
            </w:r>
            <w:r>
              <w:rPr>
                <w:rFonts w:ascii="宋体" w:hAnsi="宋体" w:eastAsia="宋体" w:cs="宋体"/>
                <w:snapToGrid w:val="0"/>
                <w:color w:val="auto"/>
                <w:spacing w:val="-2"/>
                <w:kern w:val="0"/>
                <w:sz w:val="24"/>
                <w:szCs w:val="24"/>
                <w:lang w:eastAsia="en-US"/>
              </w:rPr>
              <w:t>减少侵染源。出菇期不宜使用化学农药，应将菇体全部采收，然</w:t>
            </w:r>
            <w:r>
              <w:rPr>
                <w:rFonts w:ascii="宋体" w:hAnsi="宋体" w:eastAsia="宋体" w:cs="宋体"/>
                <w:snapToGrid w:val="0"/>
                <w:color w:val="auto"/>
                <w:spacing w:val="-3"/>
                <w:kern w:val="0"/>
                <w:sz w:val="24"/>
                <w:szCs w:val="24"/>
                <w:lang w:eastAsia="en-US"/>
              </w:rPr>
              <w:t>后进行药剂防治。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9</w:t>
            </w:r>
            <w:r>
              <w:rPr>
                <w:rFonts w:ascii="宋体" w:hAnsi="宋体" w:eastAsia="宋体" w:cs="宋体"/>
                <w:snapToGrid w:val="0"/>
                <w:color w:val="auto"/>
                <w:spacing w:val="2"/>
                <w:kern w:val="0"/>
                <w:sz w:val="24"/>
                <w:szCs w:val="24"/>
                <w:lang w:eastAsia="en-US"/>
              </w:rPr>
              <w:t>）采收加工。采收时应根据不同菌类的生长周期和特点，选择适宜</w:t>
            </w:r>
            <w:r>
              <w:rPr>
                <w:rFonts w:ascii="宋体" w:hAnsi="宋体" w:eastAsia="宋体" w:cs="宋体"/>
                <w:snapToGrid w:val="0"/>
                <w:color w:val="auto"/>
                <w:spacing w:val="-8"/>
                <w:kern w:val="0"/>
                <w:sz w:val="24"/>
                <w:szCs w:val="24"/>
                <w:lang w:eastAsia="en-US"/>
              </w:rPr>
              <w:t>的采收方式和时间。一般来说，当菌盖发育到八分成熟时为最佳采收时机。</w:t>
            </w:r>
            <w:r>
              <w:rPr>
                <w:rFonts w:ascii="宋体" w:hAnsi="宋体" w:eastAsia="宋体" w:cs="宋体"/>
                <w:snapToGrid w:val="0"/>
                <w:color w:val="auto"/>
                <w:spacing w:val="-2"/>
                <w:kern w:val="0"/>
                <w:sz w:val="24"/>
                <w:szCs w:val="24"/>
                <w:lang w:eastAsia="en-US"/>
              </w:rPr>
              <w:t>采收时要用手指轻轻掐住菌柄中部，连同基质一起采下，保持菌盖</w:t>
            </w:r>
            <w:r>
              <w:rPr>
                <w:rFonts w:ascii="宋体" w:hAnsi="宋体" w:eastAsia="宋体" w:cs="宋体"/>
                <w:snapToGrid w:val="0"/>
                <w:color w:val="auto"/>
                <w:spacing w:val="-3"/>
                <w:kern w:val="0"/>
                <w:sz w:val="24"/>
                <w:szCs w:val="24"/>
                <w:lang w:eastAsia="en-US"/>
              </w:rPr>
              <w:t>和菌柄</w:t>
            </w:r>
            <w:r>
              <w:rPr>
                <w:rFonts w:ascii="宋体" w:hAnsi="宋体" w:eastAsia="宋体" w:cs="宋体"/>
                <w:snapToGrid w:val="0"/>
                <w:color w:val="auto"/>
                <w:spacing w:val="-2"/>
                <w:kern w:val="0"/>
                <w:sz w:val="24"/>
                <w:szCs w:val="24"/>
                <w:lang w:eastAsia="en-US"/>
              </w:rPr>
              <w:t>的完整性。采收后的菌类应及时进行加工处理，以提高其附加值和</w:t>
            </w:r>
            <w:r>
              <w:rPr>
                <w:rFonts w:ascii="宋体" w:hAnsi="宋体" w:eastAsia="宋体" w:cs="宋体"/>
                <w:snapToGrid w:val="0"/>
                <w:color w:val="auto"/>
                <w:spacing w:val="-3"/>
                <w:kern w:val="0"/>
                <w:sz w:val="24"/>
                <w:szCs w:val="24"/>
                <w:lang w:eastAsia="en-US"/>
              </w:rPr>
              <w:t>市场竞</w:t>
            </w:r>
            <w:r>
              <w:rPr>
                <w:rFonts w:ascii="宋体" w:hAnsi="宋体" w:eastAsia="宋体" w:cs="宋体"/>
                <w:snapToGrid w:val="0"/>
                <w:color w:val="auto"/>
                <w:spacing w:val="-2"/>
                <w:kern w:val="0"/>
                <w:sz w:val="24"/>
                <w:szCs w:val="24"/>
                <w:lang w:eastAsia="en-US"/>
              </w:rPr>
              <w:t>争力。加工方式可根据市场需求进行烘干、保鲜、盐渍、糖渍等处</w:t>
            </w:r>
            <w:r>
              <w:rPr>
                <w:rFonts w:ascii="宋体" w:hAnsi="宋体" w:eastAsia="宋体" w:cs="宋体"/>
                <w:snapToGrid w:val="0"/>
                <w:color w:val="auto"/>
                <w:spacing w:val="-3"/>
                <w:kern w:val="0"/>
                <w:sz w:val="24"/>
                <w:szCs w:val="24"/>
                <w:lang w:eastAsia="en-US"/>
              </w:rPr>
              <w:t>理。无</w:t>
            </w:r>
            <w:r>
              <w:rPr>
                <w:rFonts w:ascii="宋体" w:hAnsi="宋体" w:eastAsia="宋体" w:cs="宋体"/>
                <w:snapToGrid w:val="0"/>
                <w:color w:val="auto"/>
                <w:spacing w:val="-2"/>
                <w:kern w:val="0"/>
                <w:sz w:val="24"/>
                <w:szCs w:val="24"/>
                <w:lang w:eastAsia="en-US"/>
              </w:rPr>
              <w:t>论采用何种加工方式，都应注意保持卫生条件，防止二次污染。同</w:t>
            </w:r>
            <w:r>
              <w:rPr>
                <w:rFonts w:ascii="宋体" w:hAnsi="宋体" w:eastAsia="宋体" w:cs="宋体"/>
                <w:snapToGrid w:val="0"/>
                <w:color w:val="auto"/>
                <w:spacing w:val="-3"/>
                <w:kern w:val="0"/>
                <w:sz w:val="24"/>
                <w:szCs w:val="24"/>
                <w:lang w:eastAsia="en-US"/>
              </w:rPr>
              <w:t>时，要</w:t>
            </w:r>
            <w:r>
              <w:rPr>
                <w:rFonts w:ascii="宋体" w:hAnsi="宋体" w:eastAsia="宋体" w:cs="宋体"/>
                <w:snapToGrid w:val="0"/>
                <w:color w:val="auto"/>
                <w:spacing w:val="-8"/>
                <w:kern w:val="0"/>
                <w:sz w:val="24"/>
                <w:szCs w:val="24"/>
                <w:lang w:eastAsia="en-US"/>
              </w:rPr>
              <w:t>合理控制加工过程中的温度、湿度等参数，以保证产品质量和口感。加工、</w:t>
            </w:r>
            <w:r>
              <w:rPr>
                <w:rFonts w:ascii="宋体" w:hAnsi="宋体" w:eastAsia="宋体" w:cs="宋体"/>
                <w:snapToGrid w:val="0"/>
                <w:color w:val="auto"/>
                <w:spacing w:val="-2"/>
                <w:kern w:val="0"/>
                <w:sz w:val="24"/>
                <w:szCs w:val="24"/>
                <w:lang w:eastAsia="en-US"/>
              </w:rPr>
              <w:t>保鲜和贮藏过程中使用食品添加剂时，应符合国家标准，不应使用</w:t>
            </w:r>
            <w:r>
              <w:rPr>
                <w:rFonts w:ascii="宋体" w:hAnsi="宋体" w:eastAsia="宋体" w:cs="宋体"/>
                <w:snapToGrid w:val="0"/>
                <w:color w:val="auto"/>
                <w:spacing w:val="-3"/>
                <w:kern w:val="0"/>
                <w:sz w:val="24"/>
                <w:szCs w:val="24"/>
                <w:lang w:eastAsia="en-US"/>
              </w:rPr>
              <w:t>非食品</w:t>
            </w:r>
            <w:r>
              <w:rPr>
                <w:rFonts w:ascii="宋体" w:hAnsi="宋体" w:eastAsia="宋体" w:cs="宋体"/>
                <w:snapToGrid w:val="0"/>
                <w:color w:val="auto"/>
                <w:spacing w:val="-1"/>
                <w:kern w:val="0"/>
                <w:sz w:val="24"/>
                <w:szCs w:val="24"/>
                <w:lang w:eastAsia="en-US"/>
              </w:rPr>
              <w:t>级化学品和有毒有害物质。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left"/>
              <w:textAlignment w:val="baseline"/>
              <w:outlineLvl w:val="2"/>
              <w:rPr>
                <w:rFonts w:hint="default" w:ascii="Times New Roman" w:hAnsi="Times New Roman" w:eastAsia="宋体" w:cs="Times New Roman"/>
                <w:b/>
                <w:bCs/>
                <w:snapToGrid w:val="0"/>
                <w:color w:val="auto"/>
                <w:spacing w:val="-4"/>
                <w:kern w:val="0"/>
                <w:sz w:val="24"/>
                <w:szCs w:val="24"/>
                <w:lang w:eastAsia="en-US"/>
              </w:rPr>
            </w:pPr>
            <w:bookmarkStart w:id="5" w:name="bookmark75"/>
            <w:bookmarkEnd w:id="5"/>
            <w:bookmarkStart w:id="6" w:name="bookmark76"/>
            <w:bookmarkEnd w:id="6"/>
            <w:r>
              <w:rPr>
                <w:rFonts w:hint="eastAsia" w:ascii="Times New Roman" w:hAnsi="Times New Roman" w:eastAsia="宋体" w:cs="Times New Roman"/>
                <w:b/>
                <w:bCs/>
                <w:snapToGrid w:val="0"/>
                <w:color w:val="auto"/>
                <w:spacing w:val="-4"/>
                <w:kern w:val="0"/>
                <w:sz w:val="24"/>
                <w:szCs w:val="24"/>
                <w:lang w:val="en-US" w:eastAsia="zh-CN"/>
              </w:rPr>
              <w:t>2、</w:t>
            </w:r>
            <w:r>
              <w:rPr>
                <w:rFonts w:hint="default" w:ascii="Times New Roman" w:hAnsi="Times New Roman" w:eastAsia="宋体" w:cs="Times New Roman"/>
                <w:b/>
                <w:bCs/>
                <w:snapToGrid w:val="0"/>
                <w:color w:val="auto"/>
                <w:spacing w:val="-4"/>
                <w:kern w:val="0"/>
                <w:sz w:val="24"/>
                <w:szCs w:val="24"/>
                <w:lang w:eastAsia="en-US"/>
              </w:rPr>
              <w:t>林药种植建设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left"/>
              <w:textAlignment w:val="baseline"/>
              <w:outlineLvl w:val="2"/>
              <w:rPr>
                <w:rFonts w:ascii="宋体" w:hAnsi="宋体" w:eastAsia="宋体" w:cs="宋体"/>
                <w:snapToGrid w:val="0"/>
                <w:color w:val="auto"/>
                <w:kern w:val="0"/>
                <w:sz w:val="24"/>
                <w:szCs w:val="24"/>
                <w:lang w:eastAsia="en-US"/>
              </w:rPr>
            </w:pPr>
            <w:r>
              <w:rPr>
                <w:rFonts w:ascii="宋体" w:hAnsi="宋体" w:eastAsia="宋体" w:cs="宋体"/>
                <w:b/>
                <w:bCs/>
                <w:snapToGrid w:val="0"/>
                <w:color w:val="auto"/>
                <w:spacing w:val="-4"/>
                <w:kern w:val="0"/>
                <w:sz w:val="24"/>
                <w:szCs w:val="24"/>
                <w:lang w:eastAsia="en-US"/>
              </w:rPr>
              <w:t>（</w:t>
            </w:r>
            <w:r>
              <w:rPr>
                <w:rFonts w:ascii="Times New Roman" w:hAnsi="Times New Roman" w:eastAsia="Times New Roman" w:cs="Times New Roman"/>
                <w:b/>
                <w:bCs/>
                <w:snapToGrid w:val="0"/>
                <w:color w:val="auto"/>
                <w:spacing w:val="-4"/>
                <w:kern w:val="0"/>
                <w:sz w:val="24"/>
                <w:szCs w:val="24"/>
                <w:lang w:eastAsia="en-US"/>
              </w:rPr>
              <w:t>1</w:t>
            </w:r>
            <w:r>
              <w:rPr>
                <w:rFonts w:ascii="宋体" w:hAnsi="宋体" w:eastAsia="宋体" w:cs="宋体"/>
                <w:b/>
                <w:bCs/>
                <w:snapToGrid w:val="0"/>
                <w:color w:val="auto"/>
                <w:spacing w:val="-4"/>
                <w:kern w:val="0"/>
                <w:sz w:val="24"/>
                <w:szCs w:val="24"/>
                <w:lang w:eastAsia="en-US"/>
              </w:rPr>
              <w:t>）实施范围与规模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林业产业中林药主要发展矮地菜、艾草、百部、巴豆、百合、菊花、</w:t>
            </w:r>
            <w:r>
              <w:rPr>
                <w:rFonts w:ascii="宋体" w:hAnsi="宋体" w:eastAsia="宋体" w:cs="宋体"/>
                <w:snapToGrid w:val="0"/>
                <w:color w:val="auto"/>
                <w:spacing w:val="-11"/>
                <w:kern w:val="0"/>
                <w:sz w:val="24"/>
                <w:szCs w:val="24"/>
                <w:lang w:eastAsia="en-US"/>
              </w:rPr>
              <w:t>葛根、苦参等（发展种类可根据市场调研、供需、发展</w:t>
            </w:r>
            <w:r>
              <w:rPr>
                <w:rFonts w:ascii="宋体" w:hAnsi="宋体" w:eastAsia="宋体" w:cs="宋体"/>
                <w:snapToGrid w:val="0"/>
                <w:color w:val="auto"/>
                <w:spacing w:val="-12"/>
                <w:kern w:val="0"/>
                <w:sz w:val="24"/>
                <w:szCs w:val="24"/>
                <w:lang w:eastAsia="en-US"/>
              </w:rPr>
              <w:t>意愿等调整）</w:t>
            </w:r>
            <w:r>
              <w:rPr>
                <w:rFonts w:ascii="Times New Roman" w:hAnsi="Times New Roman" w:eastAsia="Times New Roman" w:cs="Times New Roman"/>
                <w:snapToGrid w:val="0"/>
                <w:color w:val="auto"/>
                <w:spacing w:val="-12"/>
                <w:kern w:val="0"/>
                <w:sz w:val="24"/>
                <w:szCs w:val="24"/>
                <w:lang w:eastAsia="en-US"/>
              </w:rPr>
              <w:t>4999.94</w:t>
            </w:r>
            <w:r>
              <w:rPr>
                <w:rFonts w:ascii="宋体" w:hAnsi="宋体" w:eastAsia="宋体" w:cs="宋体"/>
                <w:snapToGrid w:val="0"/>
                <w:color w:val="auto"/>
                <w:spacing w:val="-1"/>
                <w:kern w:val="0"/>
                <w:sz w:val="24"/>
                <w:szCs w:val="24"/>
                <w:lang w:eastAsia="en-US"/>
              </w:rPr>
              <w:t>亩。涉及芝溪片区、常乐天福红江片区、高峰山片区、遂潼一体化片区</w:t>
            </w:r>
            <w:r>
              <w:rPr>
                <w:rFonts w:ascii="Times New Roman" w:hAnsi="Times New Roman" w:eastAsia="Times New Roman" w:cs="Times New Roman"/>
                <w:snapToGrid w:val="0"/>
                <w:color w:val="auto"/>
                <w:spacing w:val="-1"/>
                <w:kern w:val="0"/>
                <w:sz w:val="24"/>
                <w:szCs w:val="24"/>
                <w:lang w:eastAsia="en-US"/>
              </w:rPr>
              <w:t>4</w:t>
            </w:r>
            <w:r>
              <w:rPr>
                <w:rFonts w:ascii="宋体" w:hAnsi="宋体" w:eastAsia="宋体" w:cs="宋体"/>
                <w:snapToGrid w:val="0"/>
                <w:color w:val="auto"/>
                <w:spacing w:val="2"/>
                <w:kern w:val="0"/>
                <w:sz w:val="24"/>
                <w:szCs w:val="24"/>
                <w:lang w:eastAsia="en-US"/>
              </w:rPr>
              <w:t>个片区</w:t>
            </w:r>
            <w:r>
              <w:rPr>
                <w:rFonts w:ascii="Times New Roman" w:hAnsi="Times New Roman" w:eastAsia="Times New Roman" w:cs="Times New Roman"/>
                <w:snapToGrid w:val="0"/>
                <w:color w:val="auto"/>
                <w:spacing w:val="2"/>
                <w:kern w:val="0"/>
                <w:sz w:val="24"/>
                <w:szCs w:val="24"/>
                <w:lang w:eastAsia="en-US"/>
              </w:rPr>
              <w:t>690</w:t>
            </w:r>
            <w:r>
              <w:rPr>
                <w:rFonts w:ascii="宋体" w:hAnsi="宋体" w:eastAsia="宋体" w:cs="宋体"/>
                <w:snapToGrid w:val="0"/>
                <w:color w:val="auto"/>
                <w:spacing w:val="2"/>
                <w:kern w:val="0"/>
                <w:sz w:val="24"/>
                <w:szCs w:val="24"/>
                <w:lang w:eastAsia="en-US"/>
              </w:rPr>
              <w:t>个小班</w:t>
            </w:r>
            <w:r>
              <w:rPr>
                <w:rFonts w:ascii="宋体" w:hAnsi="宋体" w:eastAsia="宋体" w:cs="宋体"/>
                <w:snapToGrid w:val="0"/>
                <w:color w:val="auto"/>
                <w:spacing w:val="1"/>
                <w:kern w:val="0"/>
                <w:sz w:val="24"/>
                <w:szCs w:val="24"/>
                <w:lang w:eastAsia="en-US"/>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2" w:firstLineChars="200"/>
              <w:jc w:val="left"/>
              <w:textAlignment w:val="baseline"/>
              <w:outlineLvl w:val="2"/>
              <w:rPr>
                <w:rFonts w:ascii="宋体" w:hAnsi="宋体" w:eastAsia="宋体" w:cs="宋体"/>
                <w:snapToGrid w:val="0"/>
                <w:color w:val="auto"/>
                <w:kern w:val="0"/>
                <w:sz w:val="24"/>
                <w:szCs w:val="24"/>
                <w:lang w:eastAsia="en-US"/>
              </w:rPr>
            </w:pPr>
            <w:r>
              <w:rPr>
                <w:rFonts w:ascii="宋体" w:hAnsi="宋体" w:eastAsia="宋体" w:cs="宋体"/>
                <w:b/>
                <w:bCs/>
                <w:snapToGrid w:val="0"/>
                <w:color w:val="auto"/>
                <w:spacing w:val="-5"/>
                <w:kern w:val="0"/>
                <w:sz w:val="24"/>
                <w:szCs w:val="24"/>
                <w:lang w:eastAsia="en-US"/>
              </w:rPr>
              <w:t>（</w:t>
            </w:r>
            <w:r>
              <w:rPr>
                <w:rFonts w:ascii="Times New Roman" w:hAnsi="Times New Roman" w:eastAsia="Times New Roman" w:cs="Times New Roman"/>
                <w:b/>
                <w:bCs/>
                <w:snapToGrid w:val="0"/>
                <w:color w:val="auto"/>
                <w:spacing w:val="-5"/>
                <w:kern w:val="0"/>
                <w:sz w:val="24"/>
                <w:szCs w:val="24"/>
                <w:lang w:eastAsia="en-US"/>
              </w:rPr>
              <w:t>2</w:t>
            </w:r>
            <w:r>
              <w:rPr>
                <w:rFonts w:ascii="宋体" w:hAnsi="宋体" w:eastAsia="宋体" w:cs="宋体"/>
                <w:b/>
                <w:bCs/>
                <w:snapToGrid w:val="0"/>
                <w:color w:val="auto"/>
                <w:spacing w:val="-5"/>
                <w:kern w:val="0"/>
                <w:sz w:val="24"/>
                <w:szCs w:val="24"/>
                <w:lang w:eastAsia="en-US"/>
              </w:rPr>
              <w:t>）实施对象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利用营造林地块中集约人工栽培地块、中幼</w:t>
            </w:r>
            <w:r>
              <w:rPr>
                <w:rFonts w:ascii="宋体" w:hAnsi="宋体" w:eastAsia="宋体" w:cs="宋体"/>
                <w:snapToGrid w:val="0"/>
                <w:color w:val="auto"/>
                <w:spacing w:val="-3"/>
                <w:kern w:val="0"/>
                <w:sz w:val="24"/>
                <w:szCs w:val="24"/>
                <w:lang w:eastAsia="en-US"/>
              </w:rPr>
              <w:t>龄林抚育地块、现有林改</w:t>
            </w:r>
            <w:r>
              <w:rPr>
                <w:rFonts w:ascii="宋体" w:hAnsi="宋体" w:eastAsia="宋体" w:cs="宋体"/>
                <w:snapToGrid w:val="0"/>
                <w:color w:val="auto"/>
                <w:spacing w:val="-2"/>
                <w:kern w:val="0"/>
                <w:sz w:val="24"/>
                <w:szCs w:val="24"/>
                <w:lang w:eastAsia="en-US"/>
              </w:rPr>
              <w:t>培地块，以及未纳入营造林地块林地开展。在充分考虑</w:t>
            </w:r>
            <w:r>
              <w:rPr>
                <w:rFonts w:ascii="宋体" w:hAnsi="宋体" w:eastAsia="宋体" w:cs="宋体"/>
                <w:snapToGrid w:val="0"/>
                <w:color w:val="auto"/>
                <w:spacing w:val="-3"/>
                <w:kern w:val="0"/>
                <w:sz w:val="24"/>
                <w:szCs w:val="24"/>
                <w:lang w:eastAsia="en-US"/>
              </w:rPr>
              <w:t>地块选择</w:t>
            </w:r>
            <w:r>
              <w:rPr>
                <w:rFonts w:ascii="宋体" w:hAnsi="宋体" w:eastAsia="宋体" w:cs="宋体"/>
                <w:snapToGrid w:val="0"/>
                <w:color w:val="auto"/>
                <w:spacing w:val="-1"/>
                <w:kern w:val="0"/>
                <w:sz w:val="24"/>
                <w:szCs w:val="24"/>
                <w:lang w:eastAsia="en-US"/>
              </w:rPr>
              <w:t>的相关要求的同时，还应考虑要求条件如下：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2"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7"/>
                <w:kern w:val="0"/>
                <w:sz w:val="24"/>
                <w:szCs w:val="24"/>
                <w:lang w:eastAsia="en-US"/>
              </w:rPr>
              <w:t>1</w:t>
            </w:r>
            <w:r>
              <w:rPr>
                <w:rFonts w:ascii="宋体" w:hAnsi="宋体" w:eastAsia="宋体" w:cs="宋体"/>
                <w:snapToGrid w:val="0"/>
                <w:color w:val="auto"/>
                <w:spacing w:val="-7"/>
                <w:kern w:val="0"/>
                <w:sz w:val="24"/>
                <w:szCs w:val="24"/>
                <w:lang w:eastAsia="en-US"/>
              </w:rPr>
              <w:t>）林地位置。郁闭度</w:t>
            </w:r>
            <w:r>
              <w:rPr>
                <w:rFonts w:ascii="Times New Roman" w:hAnsi="Times New Roman" w:eastAsia="Times New Roman" w:cs="Times New Roman"/>
                <w:snapToGrid w:val="0"/>
                <w:color w:val="auto"/>
                <w:spacing w:val="-7"/>
                <w:kern w:val="0"/>
                <w:sz w:val="24"/>
                <w:szCs w:val="24"/>
                <w:lang w:eastAsia="en-US"/>
              </w:rPr>
              <w:t>0.5</w:t>
            </w:r>
            <w:r>
              <w:rPr>
                <w:rFonts w:ascii="宋体" w:hAnsi="宋体" w:eastAsia="宋体" w:cs="宋体"/>
                <w:snapToGrid w:val="0"/>
                <w:color w:val="auto"/>
                <w:spacing w:val="-7"/>
                <w:kern w:val="0"/>
                <w:sz w:val="24"/>
                <w:szCs w:val="24"/>
                <w:lang w:eastAsia="en-US"/>
              </w:rPr>
              <w:t>以下林地，避让自然保护区、天然林区、国</w:t>
            </w:r>
            <w:r>
              <w:rPr>
                <w:rFonts w:ascii="宋体" w:hAnsi="宋体" w:eastAsia="宋体" w:cs="宋体"/>
                <w:snapToGrid w:val="0"/>
                <w:color w:val="auto"/>
                <w:spacing w:val="-2"/>
                <w:kern w:val="0"/>
                <w:sz w:val="24"/>
                <w:szCs w:val="24"/>
                <w:lang w:eastAsia="en-US"/>
              </w:rPr>
              <w:t>家级森林公园、风景名胜区和其它重点保护或生态红线范围内的</w:t>
            </w:r>
            <w:r>
              <w:rPr>
                <w:rFonts w:ascii="宋体" w:hAnsi="宋体" w:eastAsia="宋体" w:cs="宋体"/>
                <w:snapToGrid w:val="0"/>
                <w:color w:val="auto"/>
                <w:spacing w:val="-3"/>
                <w:kern w:val="0"/>
                <w:sz w:val="24"/>
                <w:szCs w:val="24"/>
                <w:lang w:eastAsia="en-US"/>
              </w:rPr>
              <w:t>林地，不</w:t>
            </w:r>
            <w:r>
              <w:rPr>
                <w:rFonts w:ascii="宋体" w:hAnsi="宋体" w:eastAsia="宋体" w:cs="宋体"/>
                <w:snapToGrid w:val="0"/>
                <w:color w:val="auto"/>
                <w:spacing w:val="-1"/>
                <w:kern w:val="0"/>
                <w:sz w:val="24"/>
                <w:szCs w:val="24"/>
                <w:lang w:eastAsia="en-US"/>
              </w:rPr>
              <w:t>应对现有森林、林木、林地及野生动物、植物造成不利影响。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宋体" w:hAnsi="宋体" w:eastAsia="宋体" w:cs="宋体"/>
                <w:snapToGrid w:val="0"/>
                <w:color w:val="auto"/>
                <w:spacing w:val="-1"/>
                <w:kern w:val="0"/>
                <w:sz w:val="24"/>
                <w:szCs w:val="24"/>
                <w:lang w:eastAsia="en-US"/>
              </w:rPr>
            </w:pPr>
            <w:r>
              <w:rPr>
                <w:rFonts w:ascii="Times New Roman" w:hAnsi="Times New Roman" w:eastAsia="Times New Roman" w:cs="Times New Roman"/>
                <w:snapToGrid w:val="0"/>
                <w:color w:val="auto"/>
                <w:spacing w:val="-1"/>
                <w:kern w:val="0"/>
                <w:sz w:val="24"/>
                <w:szCs w:val="24"/>
                <w:lang w:eastAsia="en-US"/>
              </w:rPr>
              <w:t>2</w:t>
            </w:r>
            <w:r>
              <w:rPr>
                <w:rFonts w:ascii="宋体" w:hAnsi="宋体" w:eastAsia="宋体" w:cs="宋体"/>
                <w:snapToGrid w:val="0"/>
                <w:color w:val="auto"/>
                <w:spacing w:val="-1"/>
                <w:kern w:val="0"/>
                <w:sz w:val="24"/>
                <w:szCs w:val="24"/>
                <w:lang w:eastAsia="en-US"/>
              </w:rPr>
              <w:t>）地块要求。地势平坦，土质疏松，交通完善。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2" w:firstLineChars="200"/>
              <w:jc w:val="left"/>
              <w:textAlignment w:val="baseline"/>
              <w:rPr>
                <w:rFonts w:hint="default" w:ascii="Times New Roman" w:hAnsi="Times New Roman" w:eastAsia="宋体" w:cs="Times New Roman"/>
                <w:snapToGrid w:val="0"/>
                <w:color w:val="auto"/>
                <w:spacing w:val="-7"/>
                <w:kern w:val="0"/>
                <w:sz w:val="24"/>
                <w:szCs w:val="24"/>
                <w:lang w:eastAsia="en-US"/>
              </w:rPr>
            </w:pPr>
            <w:r>
              <w:rPr>
                <w:rFonts w:hint="default" w:ascii="Times New Roman" w:hAnsi="Times New Roman" w:eastAsia="宋体" w:cs="Times New Roman"/>
                <w:snapToGrid w:val="0"/>
                <w:color w:val="auto"/>
                <w:spacing w:val="-7"/>
                <w:kern w:val="0"/>
                <w:sz w:val="24"/>
                <w:szCs w:val="24"/>
                <w:lang w:eastAsia="en-US"/>
              </w:rPr>
              <w:t>3）周边环境。大气质量符合国家大气环境质量二级标准（GB3095-1996）；土壤应符合国家土壤质量二级标准（GB15618-1995），每4年检测1次土壤质量；灌溉水应符合国家农田灌溉水质量标准（GB5084-2021），每年检测1次水质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left"/>
              <w:textAlignment w:val="baseline"/>
              <w:outlineLvl w:val="2"/>
              <w:rPr>
                <w:rFonts w:ascii="宋体" w:hAnsi="宋体" w:eastAsia="宋体" w:cs="宋体"/>
                <w:snapToGrid w:val="0"/>
                <w:color w:val="auto"/>
                <w:kern w:val="0"/>
                <w:sz w:val="24"/>
                <w:szCs w:val="24"/>
                <w:lang w:eastAsia="en-US"/>
              </w:rPr>
            </w:pPr>
            <w:r>
              <w:rPr>
                <w:rFonts w:ascii="宋体" w:hAnsi="宋体" w:eastAsia="宋体" w:cs="宋体"/>
                <w:b/>
                <w:bCs/>
                <w:snapToGrid w:val="0"/>
                <w:color w:val="auto"/>
                <w:spacing w:val="-4"/>
                <w:kern w:val="0"/>
                <w:sz w:val="24"/>
                <w:szCs w:val="24"/>
                <w:lang w:eastAsia="en-US"/>
              </w:rPr>
              <w:t>（</w:t>
            </w:r>
            <w:r>
              <w:rPr>
                <w:rFonts w:ascii="Times New Roman" w:hAnsi="Times New Roman" w:eastAsia="Times New Roman" w:cs="Times New Roman"/>
                <w:b/>
                <w:bCs/>
                <w:snapToGrid w:val="0"/>
                <w:color w:val="auto"/>
                <w:spacing w:val="-4"/>
                <w:kern w:val="0"/>
                <w:sz w:val="24"/>
                <w:szCs w:val="24"/>
                <w:lang w:eastAsia="en-US"/>
              </w:rPr>
              <w:t>3</w:t>
            </w:r>
            <w:r>
              <w:rPr>
                <w:rFonts w:ascii="宋体" w:hAnsi="宋体" w:eastAsia="宋体" w:cs="宋体"/>
                <w:b/>
                <w:bCs/>
                <w:snapToGrid w:val="0"/>
                <w:color w:val="auto"/>
                <w:spacing w:val="-4"/>
                <w:kern w:val="0"/>
                <w:sz w:val="24"/>
                <w:szCs w:val="24"/>
                <w:lang w:eastAsia="en-US"/>
              </w:rPr>
              <w:t>）主要技术要点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1"/>
                <w:kern w:val="0"/>
                <w:sz w:val="24"/>
                <w:szCs w:val="24"/>
                <w:lang w:eastAsia="en-US"/>
              </w:rPr>
              <w:t>1</w:t>
            </w:r>
            <w:r>
              <w:rPr>
                <w:rFonts w:ascii="宋体" w:hAnsi="宋体" w:eastAsia="宋体" w:cs="宋体"/>
                <w:snapToGrid w:val="0"/>
                <w:color w:val="auto"/>
                <w:spacing w:val="1"/>
                <w:kern w:val="0"/>
                <w:sz w:val="24"/>
                <w:szCs w:val="24"/>
                <w:lang w:eastAsia="en-US"/>
              </w:rPr>
              <w:t>）种质和繁殖材料。准确鉴定林下中药材的物种，包括亚种、变种</w:t>
            </w:r>
            <w:r>
              <w:rPr>
                <w:rFonts w:ascii="宋体" w:hAnsi="宋体" w:eastAsia="宋体" w:cs="宋体"/>
                <w:snapToGrid w:val="0"/>
                <w:color w:val="auto"/>
                <w:spacing w:val="-2"/>
                <w:kern w:val="0"/>
                <w:sz w:val="24"/>
                <w:szCs w:val="24"/>
                <w:lang w:eastAsia="en-US"/>
              </w:rPr>
              <w:t>或品种。在整个生产过程中，应控制外来物种的混入，严格实</w:t>
            </w:r>
            <w:r>
              <w:rPr>
                <w:rFonts w:ascii="宋体" w:hAnsi="宋体" w:eastAsia="宋体" w:cs="宋体"/>
                <w:snapToGrid w:val="0"/>
                <w:color w:val="auto"/>
                <w:spacing w:val="-3"/>
                <w:kern w:val="0"/>
                <w:sz w:val="24"/>
                <w:szCs w:val="24"/>
                <w:lang w:eastAsia="en-US"/>
              </w:rPr>
              <w:t>行检验和检</w:t>
            </w:r>
            <w:r>
              <w:rPr>
                <w:rFonts w:ascii="宋体" w:hAnsi="宋体" w:eastAsia="宋体" w:cs="宋体"/>
                <w:snapToGrid w:val="0"/>
                <w:color w:val="auto"/>
                <w:spacing w:val="-1"/>
                <w:kern w:val="0"/>
                <w:sz w:val="24"/>
                <w:szCs w:val="24"/>
                <w:lang w:eastAsia="en-US"/>
              </w:rPr>
              <w:t>疫制度。杜绝药农自繁自育、随意引种，保证种源质量。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2</w:t>
            </w:r>
            <w:r>
              <w:rPr>
                <w:rFonts w:ascii="宋体" w:hAnsi="宋体" w:eastAsia="宋体" w:cs="宋体"/>
                <w:snapToGrid w:val="0"/>
                <w:color w:val="auto"/>
                <w:spacing w:val="2"/>
                <w:kern w:val="0"/>
                <w:sz w:val="24"/>
                <w:szCs w:val="24"/>
                <w:lang w:eastAsia="en-US"/>
              </w:rPr>
              <w:t>）地块的选定。根据林下药材的生物学和生态学特性，因地制宜地</w:t>
            </w:r>
            <w:r>
              <w:rPr>
                <w:rFonts w:ascii="宋体" w:hAnsi="宋体" w:eastAsia="宋体" w:cs="宋体"/>
                <w:snapToGrid w:val="0"/>
                <w:color w:val="auto"/>
                <w:spacing w:val="-2"/>
                <w:kern w:val="0"/>
                <w:sz w:val="24"/>
                <w:szCs w:val="24"/>
                <w:lang w:eastAsia="en-US"/>
              </w:rPr>
              <w:t>选择林下药材种类，注重在药材适宜产区建设林下种植基地。在选</w:t>
            </w:r>
            <w:r>
              <w:rPr>
                <w:rFonts w:ascii="宋体" w:hAnsi="宋体" w:eastAsia="宋体" w:cs="宋体"/>
                <w:snapToGrid w:val="0"/>
                <w:color w:val="auto"/>
                <w:spacing w:val="-3"/>
                <w:kern w:val="0"/>
                <w:sz w:val="24"/>
                <w:szCs w:val="24"/>
                <w:lang w:eastAsia="en-US"/>
              </w:rPr>
              <w:t>择林下</w:t>
            </w:r>
            <w:r>
              <w:rPr>
                <w:rFonts w:ascii="宋体" w:hAnsi="宋体" w:eastAsia="宋体" w:cs="宋体"/>
                <w:snapToGrid w:val="0"/>
                <w:color w:val="auto"/>
                <w:spacing w:val="-8"/>
                <w:kern w:val="0"/>
                <w:sz w:val="24"/>
                <w:szCs w:val="24"/>
                <w:lang w:eastAsia="en-US"/>
              </w:rPr>
              <w:t>药材种植地时，应考虑以下因素：适宜的荫蔽环境、土层深厚、土壤肥沃、</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8" w:firstLineChars="200"/>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8"/>
                <w:kern w:val="0"/>
                <w:sz w:val="24"/>
                <w:szCs w:val="24"/>
                <w:lang w:eastAsia="en-US"/>
              </w:rPr>
              <w:t>排水良好等。同时，要避免选择病虫害严重、地势低洼或易于积水的地块。</w:t>
            </w:r>
            <w:r>
              <w:rPr>
                <w:rFonts w:ascii="宋体" w:hAnsi="宋体" w:eastAsia="宋体" w:cs="宋体"/>
                <w:snapToGrid w:val="0"/>
                <w:color w:val="auto"/>
                <w:spacing w:val="-2"/>
                <w:kern w:val="0"/>
                <w:sz w:val="24"/>
                <w:szCs w:val="24"/>
                <w:lang w:eastAsia="en-US"/>
              </w:rPr>
              <w:t>在选地后，需要进行整地工作，包括清理林地、深耕细作等。整地</w:t>
            </w:r>
            <w:r>
              <w:rPr>
                <w:rFonts w:ascii="宋体" w:hAnsi="宋体" w:eastAsia="宋体" w:cs="宋体"/>
                <w:snapToGrid w:val="0"/>
                <w:color w:val="auto"/>
                <w:spacing w:val="-3"/>
                <w:kern w:val="0"/>
                <w:sz w:val="24"/>
                <w:szCs w:val="24"/>
                <w:lang w:eastAsia="en-US"/>
              </w:rPr>
              <w:t>时应将</w:t>
            </w:r>
            <w:r>
              <w:rPr>
                <w:rFonts w:ascii="宋体" w:hAnsi="宋体" w:eastAsia="宋体" w:cs="宋体"/>
                <w:snapToGrid w:val="0"/>
                <w:color w:val="auto"/>
                <w:spacing w:val="-1"/>
                <w:kern w:val="0"/>
                <w:sz w:val="24"/>
                <w:szCs w:val="24"/>
                <w:lang w:eastAsia="en-US"/>
              </w:rPr>
              <w:t>杂草、枯枝败叶等清除干净，以减少病虫害的滋生。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3</w:t>
            </w:r>
            <w:r>
              <w:rPr>
                <w:rFonts w:ascii="宋体" w:hAnsi="宋体" w:eastAsia="宋体" w:cs="宋体"/>
                <w:snapToGrid w:val="0"/>
                <w:color w:val="auto"/>
                <w:spacing w:val="2"/>
                <w:kern w:val="0"/>
                <w:sz w:val="24"/>
                <w:szCs w:val="24"/>
                <w:lang w:eastAsia="en-US"/>
              </w:rPr>
              <w:t>）田间管理。田间管理是保证药材质量和产量的重要环节。应定期</w:t>
            </w:r>
            <w:r>
              <w:rPr>
                <w:rFonts w:ascii="宋体" w:hAnsi="宋体" w:eastAsia="宋体" w:cs="宋体"/>
                <w:snapToGrid w:val="0"/>
                <w:color w:val="auto"/>
                <w:spacing w:val="-2"/>
                <w:kern w:val="0"/>
                <w:sz w:val="24"/>
                <w:szCs w:val="24"/>
                <w:lang w:eastAsia="en-US"/>
              </w:rPr>
              <w:t>检查药材的生长情况，及时调整水肥管理措施，保证其正常生长</w:t>
            </w:r>
            <w:r>
              <w:rPr>
                <w:rFonts w:ascii="宋体" w:hAnsi="宋体" w:eastAsia="宋体" w:cs="宋体"/>
                <w:snapToGrid w:val="0"/>
                <w:color w:val="auto"/>
                <w:spacing w:val="-3"/>
                <w:kern w:val="0"/>
                <w:sz w:val="24"/>
                <w:szCs w:val="24"/>
                <w:lang w:eastAsia="en-US"/>
              </w:rPr>
              <w:t>。同时，</w:t>
            </w:r>
            <w:r>
              <w:rPr>
                <w:rFonts w:ascii="宋体" w:hAnsi="宋体" w:eastAsia="宋体" w:cs="宋体"/>
                <w:snapToGrid w:val="0"/>
                <w:color w:val="auto"/>
                <w:spacing w:val="-2"/>
                <w:kern w:val="0"/>
                <w:sz w:val="24"/>
                <w:szCs w:val="24"/>
                <w:lang w:eastAsia="en-US"/>
              </w:rPr>
              <w:t>要注意保持田间的通风状况良好，防止病虫害的发生。要根据药</w:t>
            </w:r>
            <w:r>
              <w:rPr>
                <w:rFonts w:ascii="宋体" w:hAnsi="宋体" w:eastAsia="宋体" w:cs="宋体"/>
                <w:snapToGrid w:val="0"/>
                <w:color w:val="auto"/>
                <w:spacing w:val="-3"/>
                <w:kern w:val="0"/>
                <w:sz w:val="24"/>
                <w:szCs w:val="24"/>
                <w:lang w:eastAsia="en-US"/>
              </w:rPr>
              <w:t>用植物生</w:t>
            </w:r>
            <w:r>
              <w:rPr>
                <w:rFonts w:ascii="宋体" w:hAnsi="宋体" w:eastAsia="宋体" w:cs="宋体"/>
                <w:snapToGrid w:val="0"/>
                <w:color w:val="auto"/>
                <w:spacing w:val="-2"/>
                <w:kern w:val="0"/>
                <w:sz w:val="24"/>
                <w:szCs w:val="24"/>
                <w:lang w:eastAsia="en-US"/>
              </w:rPr>
              <w:t>长发育特性和不同的药用部位，加强田间管理，及时采取打顶、</w:t>
            </w:r>
            <w:r>
              <w:rPr>
                <w:rFonts w:ascii="宋体" w:hAnsi="宋体" w:eastAsia="宋体" w:cs="宋体"/>
                <w:snapToGrid w:val="0"/>
                <w:color w:val="auto"/>
                <w:spacing w:val="-3"/>
                <w:kern w:val="0"/>
                <w:sz w:val="24"/>
                <w:szCs w:val="24"/>
                <w:lang w:eastAsia="en-US"/>
              </w:rPr>
              <w:t>摘蕾、整</w:t>
            </w:r>
            <w:r>
              <w:rPr>
                <w:rFonts w:ascii="宋体" w:hAnsi="宋体" w:eastAsia="宋体" w:cs="宋体"/>
                <w:snapToGrid w:val="0"/>
                <w:color w:val="auto"/>
                <w:spacing w:val="-2"/>
                <w:kern w:val="0"/>
                <w:sz w:val="24"/>
                <w:szCs w:val="24"/>
                <w:lang w:eastAsia="en-US"/>
              </w:rPr>
              <w:t>枝修剪、覆盖遮荫等栽培措施，调控植株生长发育，提高药材产</w:t>
            </w:r>
            <w:r>
              <w:rPr>
                <w:rFonts w:ascii="宋体" w:hAnsi="宋体" w:eastAsia="宋体" w:cs="宋体"/>
                <w:snapToGrid w:val="0"/>
                <w:color w:val="auto"/>
                <w:spacing w:val="-3"/>
                <w:kern w:val="0"/>
                <w:sz w:val="24"/>
                <w:szCs w:val="24"/>
                <w:lang w:eastAsia="en-US"/>
              </w:rPr>
              <w:t>量，保持</w:t>
            </w:r>
            <w:r>
              <w:rPr>
                <w:rFonts w:ascii="宋体" w:hAnsi="宋体" w:eastAsia="宋体" w:cs="宋体"/>
                <w:snapToGrid w:val="0"/>
                <w:color w:val="auto"/>
                <w:spacing w:val="-2"/>
                <w:kern w:val="0"/>
                <w:sz w:val="24"/>
                <w:szCs w:val="24"/>
                <w:lang w:eastAsia="en-US"/>
              </w:rPr>
              <w:t>质量稳定。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4</w:t>
            </w:r>
            <w:r>
              <w:rPr>
                <w:rFonts w:ascii="宋体" w:hAnsi="宋体" w:eastAsia="宋体" w:cs="宋体"/>
                <w:snapToGrid w:val="0"/>
                <w:color w:val="auto"/>
                <w:spacing w:val="2"/>
                <w:kern w:val="0"/>
                <w:sz w:val="24"/>
                <w:szCs w:val="24"/>
                <w:lang w:eastAsia="en-US"/>
              </w:rPr>
              <w:t>）施肥。根据药用植物的营养特点及土壤的供肥能力，确定最佳施肥种类、时间和数量。参照国家</w:t>
            </w:r>
            <w:r>
              <w:rPr>
                <w:rFonts w:ascii="Times New Roman" w:hAnsi="Times New Roman" w:eastAsia="Times New Roman" w:cs="Times New Roman"/>
                <w:snapToGrid w:val="0"/>
                <w:color w:val="auto"/>
                <w:kern w:val="0"/>
                <w:sz w:val="24"/>
                <w:szCs w:val="24"/>
                <w:lang w:eastAsia="en-US"/>
              </w:rPr>
              <w:t>GAP</w:t>
            </w:r>
            <w:r>
              <w:rPr>
                <w:rFonts w:ascii="宋体" w:hAnsi="宋体" w:eastAsia="宋体" w:cs="宋体"/>
                <w:snapToGrid w:val="0"/>
                <w:color w:val="auto"/>
                <w:spacing w:val="2"/>
                <w:kern w:val="0"/>
                <w:sz w:val="24"/>
                <w:szCs w:val="24"/>
                <w:lang w:eastAsia="en-US"/>
              </w:rPr>
              <w:t>认证要求，施肥应以有机肥为主，</w:t>
            </w:r>
            <w:r>
              <w:rPr>
                <w:rFonts w:ascii="宋体" w:hAnsi="宋体" w:eastAsia="宋体" w:cs="宋体"/>
                <w:snapToGrid w:val="0"/>
                <w:color w:val="auto"/>
                <w:spacing w:val="-2"/>
                <w:kern w:val="0"/>
                <w:sz w:val="24"/>
                <w:szCs w:val="24"/>
                <w:lang w:eastAsia="en-US"/>
              </w:rPr>
              <w:t>农家肥应达到充分腐熟无害化的卫生标准，严禁以城市生</w:t>
            </w:r>
            <w:r>
              <w:rPr>
                <w:rFonts w:ascii="宋体" w:hAnsi="宋体" w:eastAsia="宋体" w:cs="宋体"/>
                <w:snapToGrid w:val="0"/>
                <w:color w:val="auto"/>
                <w:spacing w:val="-3"/>
                <w:kern w:val="0"/>
                <w:sz w:val="24"/>
                <w:szCs w:val="24"/>
                <w:lang w:eastAsia="en-US"/>
              </w:rPr>
              <w:t>活垃圾、工业垃</w:t>
            </w:r>
            <w:r>
              <w:rPr>
                <w:rFonts w:ascii="宋体" w:hAnsi="宋体" w:eastAsia="宋体" w:cs="宋体"/>
                <w:snapToGrid w:val="0"/>
                <w:color w:val="auto"/>
                <w:spacing w:val="-1"/>
                <w:kern w:val="0"/>
                <w:sz w:val="24"/>
                <w:szCs w:val="24"/>
                <w:lang w:eastAsia="en-US"/>
              </w:rPr>
              <w:t>圾及医院垃圾和粪便作为肥料或肥料的原料。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5</w:t>
            </w:r>
            <w:r>
              <w:rPr>
                <w:rFonts w:ascii="宋体" w:hAnsi="宋体" w:eastAsia="宋体" w:cs="宋体"/>
                <w:snapToGrid w:val="0"/>
                <w:color w:val="auto"/>
                <w:spacing w:val="2"/>
                <w:kern w:val="0"/>
                <w:sz w:val="24"/>
                <w:szCs w:val="24"/>
                <w:lang w:eastAsia="en-US"/>
              </w:rPr>
              <w:t>）灌溉和除草。根据林下药材种类、需水规律、基地自然环境，科</w:t>
            </w:r>
            <w:r>
              <w:rPr>
                <w:rFonts w:ascii="宋体" w:hAnsi="宋体" w:eastAsia="宋体" w:cs="宋体"/>
                <w:snapToGrid w:val="0"/>
                <w:color w:val="auto"/>
                <w:spacing w:val="-2"/>
                <w:kern w:val="0"/>
                <w:sz w:val="24"/>
                <w:szCs w:val="24"/>
                <w:lang w:eastAsia="en-US"/>
              </w:rPr>
              <w:t>学制定灌溉时间、次数和方法，适时、适量、合理</w:t>
            </w:r>
            <w:r>
              <w:rPr>
                <w:rFonts w:ascii="宋体" w:hAnsi="宋体" w:eastAsia="宋体" w:cs="宋体"/>
                <w:snapToGrid w:val="0"/>
                <w:color w:val="auto"/>
                <w:spacing w:val="-3"/>
                <w:kern w:val="0"/>
                <w:sz w:val="24"/>
                <w:szCs w:val="24"/>
                <w:lang w:eastAsia="en-US"/>
              </w:rPr>
              <w:t>灌溉和排水。在生长期</w:t>
            </w:r>
            <w:r>
              <w:rPr>
                <w:rFonts w:ascii="宋体" w:hAnsi="宋体" w:eastAsia="宋体" w:cs="宋体"/>
                <w:snapToGrid w:val="0"/>
                <w:color w:val="auto"/>
                <w:spacing w:val="-1"/>
                <w:kern w:val="0"/>
                <w:sz w:val="24"/>
                <w:szCs w:val="24"/>
                <w:lang w:eastAsia="en-US"/>
              </w:rPr>
              <w:t>间要及时清除杂草，避免与药材争抢养分。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6</w:t>
            </w:r>
            <w:r>
              <w:rPr>
                <w:rFonts w:ascii="宋体" w:hAnsi="宋体" w:eastAsia="宋体" w:cs="宋体"/>
                <w:snapToGrid w:val="0"/>
                <w:color w:val="auto"/>
                <w:spacing w:val="2"/>
                <w:kern w:val="0"/>
                <w:sz w:val="24"/>
                <w:szCs w:val="24"/>
                <w:lang w:eastAsia="en-US"/>
              </w:rPr>
              <w:t>）病虫害防治。依据林下药材病虫害发生规律及其防治特点，制定</w:t>
            </w:r>
            <w:r>
              <w:rPr>
                <w:rFonts w:ascii="宋体" w:hAnsi="宋体" w:eastAsia="宋体" w:cs="宋体"/>
                <w:snapToGrid w:val="0"/>
                <w:color w:val="auto"/>
                <w:spacing w:val="-2"/>
                <w:kern w:val="0"/>
                <w:sz w:val="24"/>
                <w:szCs w:val="24"/>
                <w:lang w:eastAsia="en-US"/>
              </w:rPr>
              <w:t>病虫害综合防治策略，严格按照《农药管理</w:t>
            </w:r>
            <w:r>
              <w:rPr>
                <w:rFonts w:ascii="宋体" w:hAnsi="宋体" w:eastAsia="宋体" w:cs="宋体"/>
                <w:snapToGrid w:val="0"/>
                <w:color w:val="auto"/>
                <w:spacing w:val="-3"/>
                <w:kern w:val="0"/>
                <w:sz w:val="24"/>
                <w:szCs w:val="24"/>
                <w:lang w:eastAsia="en-US"/>
              </w:rPr>
              <w:t>条例》操作规</w:t>
            </w:r>
            <w:r>
              <w:rPr>
                <w:rFonts w:ascii="宋体" w:hAnsi="宋体" w:eastAsia="宋体" w:cs="宋体"/>
                <w:snapToGrid w:val="0"/>
                <w:color w:val="auto"/>
                <w:spacing w:val="-2"/>
                <w:kern w:val="0"/>
                <w:sz w:val="24"/>
                <w:szCs w:val="24"/>
                <w:lang w:eastAsia="en-US"/>
              </w:rPr>
              <w:t>程，安全、合理用药。尽量少用化学农药，必须</w:t>
            </w:r>
            <w:r>
              <w:rPr>
                <w:rFonts w:hint="eastAsia" w:ascii="宋体" w:hAnsi="宋体" w:cs="宋体"/>
                <w:snapToGrid w:val="0"/>
                <w:color w:val="auto"/>
                <w:spacing w:val="-2"/>
                <w:kern w:val="0"/>
                <w:sz w:val="24"/>
                <w:szCs w:val="24"/>
                <w:lang w:val="en-US" w:eastAsia="zh-CN"/>
              </w:rPr>
              <w:t>使</w:t>
            </w:r>
            <w:r>
              <w:rPr>
                <w:rFonts w:ascii="宋体" w:hAnsi="宋体" w:eastAsia="宋体" w:cs="宋体"/>
                <w:snapToGrid w:val="0"/>
                <w:color w:val="auto"/>
                <w:spacing w:val="-2"/>
                <w:kern w:val="0"/>
                <w:sz w:val="24"/>
                <w:szCs w:val="24"/>
                <w:lang w:eastAsia="en-US"/>
              </w:rPr>
              <w:t>用时，应选用高</w:t>
            </w:r>
            <w:r>
              <w:rPr>
                <w:rFonts w:ascii="宋体" w:hAnsi="宋体" w:eastAsia="宋体" w:cs="宋体"/>
                <w:snapToGrid w:val="0"/>
                <w:color w:val="auto"/>
                <w:spacing w:val="-3"/>
                <w:kern w:val="0"/>
                <w:sz w:val="24"/>
                <w:szCs w:val="24"/>
                <w:lang w:eastAsia="en-US"/>
              </w:rPr>
              <w:t>效、低</w:t>
            </w:r>
            <w:r>
              <w:rPr>
                <w:rFonts w:ascii="宋体" w:hAnsi="宋体" w:eastAsia="宋体" w:cs="宋体"/>
                <w:snapToGrid w:val="0"/>
                <w:color w:val="auto"/>
                <w:spacing w:val="-2"/>
                <w:kern w:val="0"/>
                <w:sz w:val="24"/>
                <w:szCs w:val="24"/>
                <w:lang w:eastAsia="en-US"/>
              </w:rPr>
              <w:t>毒、低残留农药，禁止使用剧毒、高毒、高残留或具有三致</w:t>
            </w:r>
            <w:r>
              <w:rPr>
                <w:rFonts w:ascii="Times New Roman" w:hAnsi="Times New Roman" w:eastAsia="Times New Roman" w:cs="Times New Roman"/>
                <w:snapToGrid w:val="0"/>
                <w:color w:val="auto"/>
                <w:spacing w:val="-2"/>
                <w:kern w:val="0"/>
                <w:sz w:val="24"/>
                <w:szCs w:val="24"/>
                <w:lang w:eastAsia="en-US"/>
              </w:rPr>
              <w:t>(</w:t>
            </w:r>
            <w:r>
              <w:rPr>
                <w:rFonts w:ascii="宋体" w:hAnsi="宋体" w:eastAsia="宋体" w:cs="宋体"/>
                <w:snapToGrid w:val="0"/>
                <w:color w:val="auto"/>
                <w:spacing w:val="-2"/>
                <w:kern w:val="0"/>
                <w:sz w:val="24"/>
                <w:szCs w:val="24"/>
                <w:lang w:eastAsia="en-US"/>
              </w:rPr>
              <w:t>致癌、致畸、</w:t>
            </w:r>
            <w:r>
              <w:rPr>
                <w:rFonts w:ascii="宋体" w:hAnsi="宋体" w:eastAsia="宋体" w:cs="宋体"/>
                <w:snapToGrid w:val="0"/>
                <w:color w:val="auto"/>
                <w:spacing w:val="-1"/>
                <w:kern w:val="0"/>
                <w:sz w:val="24"/>
                <w:szCs w:val="24"/>
                <w:lang w:eastAsia="en-US"/>
              </w:rPr>
              <w:t>致突变</w:t>
            </w:r>
            <w:r>
              <w:rPr>
                <w:rFonts w:ascii="Times New Roman" w:hAnsi="Times New Roman" w:eastAsia="Times New Roman" w:cs="Times New Roman"/>
                <w:snapToGrid w:val="0"/>
                <w:color w:val="auto"/>
                <w:spacing w:val="-1"/>
                <w:kern w:val="0"/>
                <w:sz w:val="24"/>
                <w:szCs w:val="24"/>
                <w:lang w:eastAsia="en-US"/>
              </w:rPr>
              <w:t>)</w:t>
            </w:r>
            <w:r>
              <w:rPr>
                <w:rFonts w:ascii="宋体" w:hAnsi="宋体" w:eastAsia="宋体" w:cs="宋体"/>
                <w:snapToGrid w:val="0"/>
                <w:color w:val="auto"/>
                <w:spacing w:val="-1"/>
                <w:kern w:val="0"/>
                <w:sz w:val="24"/>
                <w:szCs w:val="24"/>
                <w:lang w:eastAsia="en-US"/>
              </w:rPr>
              <w:t>的农药，保护生态环境。</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7</w:t>
            </w:r>
            <w:r>
              <w:rPr>
                <w:rFonts w:ascii="宋体" w:hAnsi="宋体" w:eastAsia="宋体" w:cs="宋体"/>
                <w:snapToGrid w:val="0"/>
                <w:color w:val="auto"/>
                <w:spacing w:val="2"/>
                <w:kern w:val="0"/>
                <w:sz w:val="24"/>
                <w:szCs w:val="24"/>
                <w:lang w:eastAsia="en-US"/>
              </w:rPr>
              <w:t>）采收。根据林下药材的质量及单位面积产量，并参考传统采收经</w:t>
            </w:r>
            <w:r>
              <w:rPr>
                <w:rFonts w:ascii="宋体" w:hAnsi="宋体" w:eastAsia="宋体" w:cs="宋体"/>
                <w:snapToGrid w:val="0"/>
                <w:color w:val="auto"/>
                <w:spacing w:val="-2"/>
                <w:kern w:val="0"/>
                <w:sz w:val="24"/>
                <w:szCs w:val="24"/>
                <w:lang w:eastAsia="en-US"/>
              </w:rPr>
              <w:t>验等因素确定适宜的采收时间（包括采收期、采收年限）和采收方</w:t>
            </w:r>
            <w:r>
              <w:rPr>
                <w:rFonts w:ascii="宋体" w:hAnsi="宋体" w:eastAsia="宋体" w:cs="宋体"/>
                <w:snapToGrid w:val="0"/>
                <w:color w:val="auto"/>
                <w:spacing w:val="-3"/>
                <w:kern w:val="0"/>
                <w:sz w:val="24"/>
                <w:szCs w:val="24"/>
                <w:lang w:eastAsia="en-US"/>
              </w:rPr>
              <w:t>法。采</w:t>
            </w:r>
            <w:r>
              <w:rPr>
                <w:rFonts w:ascii="宋体" w:hAnsi="宋体" w:eastAsia="宋体" w:cs="宋体"/>
                <w:snapToGrid w:val="0"/>
                <w:color w:val="auto"/>
                <w:spacing w:val="-2"/>
                <w:kern w:val="0"/>
                <w:sz w:val="24"/>
                <w:szCs w:val="24"/>
                <w:lang w:eastAsia="en-US"/>
              </w:rPr>
              <w:t>收设备应清洁且技术水平良好。直接与收获物接触的机械设备部分</w:t>
            </w:r>
            <w:r>
              <w:rPr>
                <w:rFonts w:ascii="宋体" w:hAnsi="宋体" w:eastAsia="宋体" w:cs="宋体"/>
                <w:snapToGrid w:val="0"/>
                <w:color w:val="auto"/>
                <w:spacing w:val="-3"/>
                <w:kern w:val="0"/>
                <w:sz w:val="24"/>
                <w:szCs w:val="24"/>
                <w:lang w:eastAsia="en-US"/>
              </w:rPr>
              <w:t>，应整</w:t>
            </w:r>
            <w:r>
              <w:rPr>
                <w:rFonts w:ascii="宋体" w:hAnsi="宋体" w:eastAsia="宋体" w:cs="宋体"/>
                <w:snapToGrid w:val="0"/>
                <w:color w:val="auto"/>
                <w:spacing w:val="-2"/>
                <w:kern w:val="0"/>
                <w:sz w:val="24"/>
                <w:szCs w:val="24"/>
                <w:lang w:eastAsia="en-US"/>
              </w:rPr>
              <w:t>齐干净，没有残留物、油、污染物等</w:t>
            </w:r>
            <w:r>
              <w:rPr>
                <w:rFonts w:ascii="宋体" w:hAnsi="宋体" w:eastAsia="宋体" w:cs="宋体"/>
                <w:snapToGrid w:val="0"/>
                <w:color w:val="auto"/>
                <w:spacing w:val="-6"/>
                <w:kern w:val="0"/>
                <w:sz w:val="24"/>
                <w:szCs w:val="24"/>
                <w:lang w:eastAsia="en-US"/>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hint="default" w:ascii="宋体" w:hAnsi="宋体" w:eastAsia="宋体" w:cs="宋体"/>
                <w:snapToGrid w:val="0"/>
                <w:color w:val="auto"/>
                <w:kern w:val="0"/>
                <w:sz w:val="24"/>
                <w:szCs w:val="24"/>
                <w:lang w:val="en-US" w:eastAsia="zh-CN"/>
              </w:rPr>
            </w:pPr>
            <w:r>
              <w:rPr>
                <w:rFonts w:ascii="Times New Roman" w:hAnsi="Times New Roman" w:eastAsia="Times New Roman" w:cs="Times New Roman"/>
                <w:snapToGrid w:val="0"/>
                <w:color w:val="auto"/>
                <w:spacing w:val="2"/>
                <w:kern w:val="0"/>
                <w:sz w:val="24"/>
                <w:szCs w:val="24"/>
                <w:lang w:eastAsia="en-US"/>
              </w:rPr>
              <w:t>8</w:t>
            </w:r>
            <w:r>
              <w:rPr>
                <w:rFonts w:ascii="宋体" w:hAnsi="宋体" w:eastAsia="宋体" w:cs="宋体"/>
                <w:snapToGrid w:val="0"/>
                <w:color w:val="auto"/>
                <w:spacing w:val="2"/>
                <w:kern w:val="0"/>
                <w:sz w:val="24"/>
                <w:szCs w:val="24"/>
                <w:lang w:eastAsia="en-US"/>
              </w:rPr>
              <w:t>）初加工。</w:t>
            </w:r>
            <w:r>
              <w:rPr>
                <w:rFonts w:ascii="宋体" w:hAnsi="宋体" w:eastAsia="宋体" w:cs="宋体"/>
                <w:snapToGrid w:val="0"/>
                <w:color w:val="auto"/>
                <w:spacing w:val="-2"/>
                <w:kern w:val="0"/>
                <w:sz w:val="24"/>
                <w:szCs w:val="24"/>
                <w:lang w:eastAsia="en-US"/>
              </w:rPr>
              <w:t>依据不同用药部分确定的初加工方</w:t>
            </w:r>
            <w:r>
              <w:rPr>
                <w:rFonts w:ascii="宋体" w:hAnsi="宋体" w:eastAsia="宋体" w:cs="宋体"/>
                <w:snapToGrid w:val="0"/>
                <w:color w:val="auto"/>
                <w:spacing w:val="-3"/>
                <w:kern w:val="0"/>
                <w:sz w:val="24"/>
                <w:szCs w:val="24"/>
                <w:lang w:eastAsia="en-US"/>
              </w:rPr>
              <w:t>法，按</w:t>
            </w:r>
            <w:r>
              <w:rPr>
                <w:rFonts w:ascii="宋体" w:hAnsi="宋体" w:eastAsia="宋体" w:cs="宋体"/>
                <w:snapToGrid w:val="0"/>
                <w:color w:val="auto"/>
                <w:spacing w:val="-2"/>
                <w:kern w:val="0"/>
                <w:sz w:val="24"/>
                <w:szCs w:val="24"/>
                <w:lang w:eastAsia="en-US"/>
              </w:rPr>
              <w:t>药材初加工操作技术规程加工</w:t>
            </w:r>
            <w:r>
              <w:rPr>
                <w:rFonts w:ascii="宋体" w:hAnsi="宋体" w:eastAsia="宋体" w:cs="宋体"/>
                <w:snapToGrid w:val="0"/>
                <w:color w:val="auto"/>
                <w:spacing w:val="-1"/>
                <w:kern w:val="0"/>
                <w:sz w:val="24"/>
                <w:szCs w:val="24"/>
                <w:lang w:eastAsia="en-US"/>
              </w:rPr>
              <w:t>。</w:t>
            </w:r>
            <w:r>
              <w:rPr>
                <w:rFonts w:hint="eastAsia" w:ascii="宋体" w:hAnsi="宋体" w:cs="宋体"/>
                <w:snapToGrid w:val="0"/>
                <w:color w:val="auto"/>
                <w:spacing w:val="-1"/>
                <w:kern w:val="0"/>
                <w:sz w:val="24"/>
                <w:szCs w:val="24"/>
                <w:lang w:val="en-US" w:eastAsia="zh-CN"/>
              </w:rPr>
              <w:t>本项目主要为药材拣选、晾晒等。</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ascii="宋体" w:hAnsi="宋体" w:eastAsia="宋体" w:cs="宋体"/>
                <w:snapToGrid w:val="0"/>
                <w:color w:val="auto"/>
                <w:spacing w:val="-2"/>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9</w:t>
            </w:r>
            <w:r>
              <w:rPr>
                <w:rFonts w:ascii="宋体" w:hAnsi="宋体" w:eastAsia="宋体" w:cs="宋体"/>
                <w:snapToGrid w:val="0"/>
                <w:color w:val="auto"/>
                <w:spacing w:val="2"/>
                <w:kern w:val="0"/>
                <w:sz w:val="24"/>
                <w:szCs w:val="24"/>
                <w:lang w:eastAsia="en-US"/>
              </w:rPr>
              <w:t>）储存与运输。储存与运输是保证药材质量和安全的重要环节。储</w:t>
            </w:r>
            <w:r>
              <w:rPr>
                <w:rFonts w:ascii="宋体" w:hAnsi="宋体" w:eastAsia="宋体" w:cs="宋体"/>
                <w:snapToGrid w:val="0"/>
                <w:color w:val="auto"/>
                <w:spacing w:val="-2"/>
                <w:kern w:val="0"/>
                <w:sz w:val="24"/>
                <w:szCs w:val="24"/>
                <w:lang w:eastAsia="en-US"/>
              </w:rPr>
              <w:t>存时应选择干燥、通风良好的地方，避免阳光直射和潮湿。</w:t>
            </w:r>
            <w:r>
              <w:rPr>
                <w:rFonts w:ascii="宋体" w:hAnsi="宋体" w:eastAsia="宋体" w:cs="宋体"/>
                <w:snapToGrid w:val="0"/>
                <w:color w:val="auto"/>
                <w:spacing w:val="-3"/>
                <w:kern w:val="0"/>
                <w:sz w:val="24"/>
                <w:szCs w:val="24"/>
                <w:lang w:eastAsia="en-US"/>
              </w:rPr>
              <w:t>同时，要注意</w:t>
            </w:r>
            <w:r>
              <w:rPr>
                <w:rFonts w:ascii="宋体" w:hAnsi="宋体" w:eastAsia="宋体" w:cs="宋体"/>
                <w:snapToGrid w:val="0"/>
                <w:color w:val="auto"/>
                <w:spacing w:val="-2"/>
                <w:kern w:val="0"/>
                <w:sz w:val="24"/>
                <w:szCs w:val="24"/>
                <w:lang w:eastAsia="en-US"/>
              </w:rPr>
              <w:t>防止虫蛀和霉变等问题。在运输过程中要避免碰撞和挤压，</w:t>
            </w:r>
            <w:r>
              <w:rPr>
                <w:rFonts w:ascii="宋体" w:hAnsi="宋体" w:eastAsia="宋体" w:cs="宋体"/>
                <w:snapToGrid w:val="0"/>
                <w:color w:val="auto"/>
                <w:spacing w:val="-3"/>
                <w:kern w:val="0"/>
                <w:sz w:val="24"/>
                <w:szCs w:val="24"/>
                <w:lang w:eastAsia="en-US"/>
              </w:rPr>
              <w:t>保持药材的完</w:t>
            </w:r>
            <w:r>
              <w:rPr>
                <w:rFonts w:ascii="宋体" w:hAnsi="宋体" w:eastAsia="宋体" w:cs="宋体"/>
                <w:snapToGrid w:val="0"/>
                <w:color w:val="auto"/>
                <w:spacing w:val="-2"/>
                <w:kern w:val="0"/>
                <w:sz w:val="24"/>
                <w:szCs w:val="24"/>
                <w:lang w:eastAsia="en-US"/>
              </w:rPr>
              <w:t>整性和美观度。</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jc w:val="both"/>
              <w:textAlignment w:val="auto"/>
              <w:rPr>
                <w:rFonts w:hint="default" w:ascii="Times New Roman" w:hAnsi="Times New Roman" w:cs="Times New Roman"/>
                <w:b/>
                <w:bCs/>
                <w:snapToGrid w:val="0"/>
                <w:color w:val="auto"/>
                <w:spacing w:val="-2"/>
                <w:kern w:val="0"/>
                <w:sz w:val="24"/>
                <w:szCs w:val="24"/>
                <w:lang w:val="en-US" w:eastAsia="zh-CN"/>
              </w:rPr>
            </w:pPr>
            <w:r>
              <w:rPr>
                <w:rFonts w:hint="default" w:ascii="Times New Roman" w:hAnsi="Times New Roman" w:cs="Times New Roman"/>
                <w:b/>
                <w:bCs/>
                <w:snapToGrid w:val="0"/>
                <w:color w:val="auto"/>
                <w:spacing w:val="-2"/>
                <w:kern w:val="0"/>
                <w:sz w:val="24"/>
                <w:szCs w:val="24"/>
                <w:lang w:val="en-US" w:eastAsia="zh-CN"/>
              </w:rPr>
              <w:t>三、基础设施建设</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jc w:val="both"/>
              <w:textAlignment w:val="auto"/>
              <w:rPr>
                <w:rFonts w:hint="default" w:ascii="Times New Roman" w:hAnsi="Times New Roman" w:cs="Times New Roman"/>
                <w:b/>
                <w:bCs/>
                <w:snapToGrid w:val="0"/>
                <w:color w:val="auto"/>
                <w:spacing w:val="-2"/>
                <w:kern w:val="0"/>
                <w:sz w:val="24"/>
                <w:szCs w:val="24"/>
                <w:lang w:val="en-US" w:eastAsia="zh-CN"/>
              </w:rPr>
            </w:pPr>
            <w:r>
              <w:rPr>
                <w:rFonts w:hint="default" w:ascii="Times New Roman" w:hAnsi="Times New Roman" w:cs="Times New Roman"/>
                <w:b/>
                <w:bCs/>
                <w:snapToGrid w:val="0"/>
                <w:color w:val="auto"/>
                <w:spacing w:val="-2"/>
                <w:kern w:val="0"/>
                <w:sz w:val="24"/>
                <w:szCs w:val="24"/>
                <w:lang w:val="en-US" w:eastAsia="zh-CN"/>
              </w:rPr>
              <w:t>1、道路工程施工方案</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cs="Times New Roman"/>
                <w:snapToGrid w:val="0"/>
                <w:color w:val="auto"/>
                <w:spacing w:val="-2"/>
                <w:kern w:val="0"/>
                <w:sz w:val="24"/>
                <w:szCs w:val="24"/>
                <w:lang w:val="en-US" w:eastAsia="zh-CN"/>
              </w:rPr>
              <w:t>1）路基土石方工程</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cs="Times New Roman"/>
                <w:snapToGrid w:val="0"/>
                <w:color w:val="auto"/>
                <w:spacing w:val="-2"/>
                <w:kern w:val="0"/>
                <w:sz w:val="24"/>
                <w:szCs w:val="24"/>
                <w:lang w:val="en-US" w:eastAsia="zh-CN"/>
              </w:rPr>
              <w:t>土石方施工应根据地形、地质、开挖断面及施工机械配备等情况，采用能保证边坡稳定的方法施工，不得采用大爆破施工，开挖中若遇到地下水（或地表径流），应采取适当的排水措施。承包人应确定爆破危险区，并采取有效措施防止人、畜、建筑物、环境敏感点，和其他公共设施受到危害和损失。在危险区的边界应设置明显的标志，建立警戒线，显示爆破时间的警戒信号，在危险区的入口或附近道路应设置标志，并派人看守，严禁人员在爆破时进入危险区，必要时设置拉网隔备施工，以防飞石或抛石伤人，破坏生态环境。由于爆破引起的松动岩石，必须马上清除，施工影响区内不得留下任何安全隐患，居民集中区不得夜间爆破影响居民生活。</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cs="Times New Roman"/>
                <w:snapToGrid w:val="0"/>
                <w:color w:val="auto"/>
                <w:spacing w:val="-2"/>
                <w:kern w:val="0"/>
                <w:sz w:val="24"/>
                <w:szCs w:val="24"/>
                <w:lang w:val="en-US" w:eastAsia="zh-CN"/>
              </w:rPr>
              <w:t>施工期间必须全线贯通，并尽量与现有的道路相接，以防止施工中出现任何安全问题后及时得到排查和</w:t>
            </w:r>
            <w:r>
              <w:rPr>
                <w:rFonts w:hint="eastAsia" w:ascii="Times New Roman" w:hAnsi="Times New Roman" w:cs="Times New Roman"/>
                <w:snapToGrid w:val="0"/>
                <w:color w:val="auto"/>
                <w:spacing w:val="-2"/>
                <w:kern w:val="0"/>
                <w:sz w:val="24"/>
                <w:szCs w:val="24"/>
                <w:lang w:val="en-US" w:eastAsia="zh-CN"/>
              </w:rPr>
              <w:t>处置</w:t>
            </w:r>
            <w:r>
              <w:rPr>
                <w:rFonts w:hint="default" w:ascii="Times New Roman" w:hAnsi="Times New Roman" w:cs="Times New Roman"/>
                <w:snapToGrid w:val="0"/>
                <w:color w:val="auto"/>
                <w:spacing w:val="-2"/>
                <w:kern w:val="0"/>
                <w:sz w:val="24"/>
                <w:szCs w:val="24"/>
                <w:lang w:val="en-US" w:eastAsia="zh-CN"/>
              </w:rPr>
              <w:t>。路基施工影响的环境破坏必须得到最大限度的恢复。</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cs="Times New Roman"/>
                <w:snapToGrid w:val="0"/>
                <w:color w:val="auto"/>
                <w:spacing w:val="-2"/>
                <w:kern w:val="0"/>
                <w:sz w:val="24"/>
                <w:szCs w:val="24"/>
                <w:lang w:val="en-US" w:eastAsia="zh-CN"/>
              </w:rPr>
              <w:t>路基排水及防护必须与土石方开挖施工衔接和配合好，圬工支护应及时，以避免造成边坡破碎、失稳、塌陷。为确保挡土墙的施工质量，必须严格按照设计图纸和技术规范的要求进行施工。对于特殊的挡墙必须采取特殊的处理方式。</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cs="Times New Roman"/>
                <w:snapToGrid w:val="0"/>
                <w:color w:val="auto"/>
                <w:spacing w:val="-2"/>
                <w:kern w:val="0"/>
                <w:sz w:val="24"/>
                <w:szCs w:val="24"/>
                <w:lang w:val="en-US" w:eastAsia="zh-CN"/>
              </w:rPr>
              <w:t>2）路面工程</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cs="Times New Roman"/>
                <w:snapToGrid w:val="0"/>
                <w:color w:val="auto"/>
                <w:spacing w:val="-2"/>
                <w:kern w:val="0"/>
                <w:sz w:val="24"/>
                <w:szCs w:val="24"/>
                <w:lang w:val="en-US" w:eastAsia="zh-CN"/>
              </w:rPr>
              <w:t>为确保路面工程的质量，路面工程应由专业队伍承担，填料应铺料、平整、洒水润湿，并要求洒水后进行碾压压实。摊铺砂砾石路面时，事先准备好的石料按松铺厚度一次铺足。石灰比控制在10%；松铺系数为1.2～1.3左右按设计要求的宽度及厚度进行摊铺。然后反复进行碾压，用压路机碾压后，不得有明显轮迹。面层与其他构筑物接顺，不得有积水现象，应做到表面应平整、坚实，不得有松散、弹簧等现象。</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cs="Times New Roman"/>
                <w:snapToGrid w:val="0"/>
                <w:color w:val="auto"/>
                <w:spacing w:val="-2"/>
                <w:kern w:val="0"/>
                <w:sz w:val="24"/>
                <w:szCs w:val="24"/>
                <w:lang w:val="en-US" w:eastAsia="zh-CN"/>
              </w:rPr>
              <w:t>为确保路面工程的质量，路面工程应由专业队伍承担，路面工程开工前，要检查路基工程质量，合格后方能进行路面施工。路基竣工后开始铺筑路面，路面施工过程中要严格按路面施工技术规范进行，在保证路面垫层、底基层、基层材料拌和、摊铺、碾压质量的前提下，力争不在雨季以及冬季进行面层摊铺施工。</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cs="Times New Roman"/>
                <w:snapToGrid w:val="0"/>
                <w:color w:val="auto"/>
                <w:spacing w:val="-2"/>
                <w:kern w:val="0"/>
                <w:sz w:val="24"/>
                <w:szCs w:val="24"/>
                <w:lang w:val="en-US" w:eastAsia="zh-CN"/>
              </w:rPr>
              <w:t>3）桥涵施工</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cs="Times New Roman"/>
                <w:snapToGrid w:val="0"/>
                <w:color w:val="auto"/>
                <w:spacing w:val="-2"/>
                <w:kern w:val="0"/>
                <w:sz w:val="24"/>
                <w:szCs w:val="24"/>
                <w:lang w:val="en-US" w:eastAsia="zh-CN"/>
              </w:rPr>
              <w:t>全段桥涵工程根据不同结构型式及部位，采用机械、机械与人工相结合或人工施工的方案。桥梁施工的要求：</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eastAsia="宋体" w:cs="Times New Roman"/>
                <w:snapToGrid w:val="0"/>
                <w:color w:val="auto"/>
                <w:spacing w:val="-2"/>
                <w:kern w:val="0"/>
                <w:sz w:val="24"/>
                <w:szCs w:val="24"/>
                <w:lang w:val="en-US" w:eastAsia="zh-CN"/>
              </w:rPr>
              <w:t>①</w:t>
            </w:r>
            <w:r>
              <w:rPr>
                <w:rFonts w:hint="default" w:ascii="Times New Roman" w:hAnsi="Times New Roman" w:cs="Times New Roman"/>
                <w:snapToGrid w:val="0"/>
                <w:color w:val="auto"/>
                <w:spacing w:val="-2"/>
                <w:kern w:val="0"/>
                <w:sz w:val="24"/>
                <w:szCs w:val="24"/>
                <w:lang w:val="en-US" w:eastAsia="zh-CN"/>
              </w:rPr>
              <w:t>桥涵施工前，应对施工现场、机具设备及安全防护设施进行全面检查，确认符合安全要求后方可施工。</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eastAsia="宋体" w:cs="Times New Roman"/>
                <w:snapToGrid w:val="0"/>
                <w:color w:val="auto"/>
                <w:spacing w:val="-2"/>
                <w:kern w:val="0"/>
                <w:sz w:val="24"/>
                <w:szCs w:val="24"/>
                <w:lang w:val="en-US" w:eastAsia="zh-CN"/>
              </w:rPr>
              <w:t>②</w:t>
            </w:r>
            <w:r>
              <w:rPr>
                <w:rFonts w:hint="default" w:ascii="Times New Roman" w:hAnsi="Times New Roman" w:cs="Times New Roman"/>
                <w:snapToGrid w:val="0"/>
                <w:color w:val="auto"/>
                <w:spacing w:val="-2"/>
                <w:kern w:val="0"/>
                <w:sz w:val="24"/>
                <w:szCs w:val="24"/>
                <w:lang w:val="en-US" w:eastAsia="zh-CN"/>
              </w:rPr>
              <w:t>高处露天作业，大型构件起重吊装时，应根据风力对作业的影响程度，制定适于施工的风力标准。遇有六级（含六级）以上大风时，上述施工应停止作业。</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eastAsia="宋体" w:cs="Times New Roman"/>
                <w:snapToGrid w:val="0"/>
                <w:color w:val="auto"/>
                <w:spacing w:val="-2"/>
                <w:kern w:val="0"/>
                <w:sz w:val="24"/>
                <w:szCs w:val="24"/>
                <w:lang w:val="en-US" w:eastAsia="zh-CN"/>
              </w:rPr>
              <w:t>③</w:t>
            </w:r>
            <w:r>
              <w:rPr>
                <w:rFonts w:hint="default" w:ascii="Times New Roman" w:hAnsi="Times New Roman" w:cs="Times New Roman"/>
                <w:snapToGrid w:val="0"/>
                <w:color w:val="auto"/>
                <w:spacing w:val="-2"/>
                <w:kern w:val="0"/>
                <w:sz w:val="24"/>
                <w:szCs w:val="24"/>
                <w:lang w:val="en-US" w:eastAsia="zh-CN"/>
              </w:rPr>
              <w:t>废方必须集中堆弃于弃土场统一进行植草绿化防止水土流失；施工后的临时预制场地、堆料场地及施工场地等必须进行还耕于民。</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eastAsia="宋体" w:cs="Times New Roman"/>
                <w:snapToGrid w:val="0"/>
                <w:color w:val="auto"/>
                <w:spacing w:val="-2"/>
                <w:kern w:val="0"/>
                <w:sz w:val="24"/>
                <w:szCs w:val="24"/>
                <w:lang w:val="en-US" w:eastAsia="zh-CN"/>
              </w:rPr>
              <w:t>④</w:t>
            </w:r>
            <w:r>
              <w:rPr>
                <w:rFonts w:hint="default" w:ascii="Times New Roman" w:hAnsi="Times New Roman" w:cs="Times New Roman"/>
                <w:snapToGrid w:val="0"/>
                <w:color w:val="auto"/>
                <w:spacing w:val="-2"/>
                <w:kern w:val="0"/>
                <w:sz w:val="24"/>
                <w:szCs w:val="24"/>
                <w:lang w:val="en-US" w:eastAsia="zh-CN"/>
              </w:rPr>
              <w:t>施工中的废水、废油必须净化处理，不得任意排放，</w:t>
            </w:r>
            <w:r>
              <w:rPr>
                <w:rFonts w:hint="eastAsia" w:ascii="Times New Roman" w:hAnsi="Times New Roman" w:cs="Times New Roman"/>
                <w:snapToGrid w:val="0"/>
                <w:color w:val="auto"/>
                <w:spacing w:val="-2"/>
                <w:kern w:val="0"/>
                <w:sz w:val="24"/>
                <w:szCs w:val="24"/>
                <w:lang w:val="en-US" w:eastAsia="zh-CN"/>
              </w:rPr>
              <w:t>污染</w:t>
            </w:r>
            <w:r>
              <w:rPr>
                <w:rFonts w:hint="default" w:ascii="Times New Roman" w:hAnsi="Times New Roman" w:cs="Times New Roman"/>
                <w:snapToGrid w:val="0"/>
                <w:color w:val="auto"/>
                <w:spacing w:val="-2"/>
                <w:kern w:val="0"/>
                <w:sz w:val="24"/>
                <w:szCs w:val="24"/>
                <w:lang w:val="en-US" w:eastAsia="zh-CN"/>
              </w:rPr>
              <w:t>水源。</w:t>
            </w:r>
          </w:p>
          <w:p>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rPr>
                <w:rFonts w:hint="default" w:ascii="Times New Roman" w:hAnsi="Times New Roman" w:cs="Times New Roman"/>
                <w:b/>
                <w:bCs/>
                <w:snapToGrid w:val="0"/>
                <w:color w:val="auto"/>
                <w:spacing w:val="-2"/>
                <w:kern w:val="0"/>
                <w:sz w:val="24"/>
                <w:szCs w:val="24"/>
                <w:lang w:val="en-US" w:eastAsia="zh-CN"/>
              </w:rPr>
            </w:pPr>
            <w:r>
              <w:rPr>
                <w:rFonts w:hint="default" w:ascii="Times New Roman" w:hAnsi="Times New Roman" w:cs="Times New Roman"/>
                <w:b/>
                <w:bCs/>
                <w:snapToGrid w:val="0"/>
                <w:color w:val="auto"/>
                <w:spacing w:val="-2"/>
                <w:kern w:val="0"/>
                <w:sz w:val="24"/>
                <w:szCs w:val="24"/>
                <w:lang w:val="en-US" w:eastAsia="zh-CN"/>
              </w:rPr>
              <w:t>2、房屋及其他</w:t>
            </w:r>
            <w:r>
              <w:rPr>
                <w:rFonts w:hint="eastAsia" w:ascii="Times New Roman" w:hAnsi="Times New Roman" w:cs="Times New Roman"/>
                <w:b/>
                <w:bCs/>
                <w:snapToGrid w:val="0"/>
                <w:color w:val="auto"/>
                <w:spacing w:val="-2"/>
                <w:kern w:val="0"/>
                <w:sz w:val="24"/>
                <w:szCs w:val="24"/>
                <w:lang w:val="en-US" w:eastAsia="zh-CN"/>
              </w:rPr>
              <w:t>工程</w:t>
            </w:r>
            <w:r>
              <w:rPr>
                <w:rFonts w:hint="default" w:ascii="Times New Roman" w:hAnsi="Times New Roman" w:cs="Times New Roman"/>
                <w:b/>
                <w:bCs/>
                <w:snapToGrid w:val="0"/>
                <w:color w:val="auto"/>
                <w:spacing w:val="-2"/>
                <w:kern w:val="0"/>
                <w:sz w:val="24"/>
                <w:szCs w:val="24"/>
                <w:lang w:val="en-US" w:eastAsia="zh-CN"/>
              </w:rPr>
              <w:t>施工</w:t>
            </w:r>
            <w:r>
              <w:rPr>
                <w:rFonts w:hint="eastAsia" w:ascii="Times New Roman" w:hAnsi="Times New Roman" w:cs="Times New Roman"/>
                <w:b/>
                <w:bCs/>
                <w:snapToGrid w:val="0"/>
                <w:color w:val="auto"/>
                <w:spacing w:val="-2"/>
                <w:kern w:val="0"/>
                <w:sz w:val="24"/>
                <w:szCs w:val="24"/>
                <w:lang w:val="en-US" w:eastAsia="zh-CN"/>
              </w:rPr>
              <w:t>方案</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eastAsia" w:ascii="Times New Roman" w:hAnsi="Times New Roman" w:eastAsia="宋体" w:cs="Times New Roman"/>
                <w:snapToGrid w:val="0"/>
                <w:color w:val="auto"/>
                <w:spacing w:val="-2"/>
                <w:kern w:val="0"/>
                <w:sz w:val="24"/>
                <w:szCs w:val="24"/>
                <w:lang w:val="en-US" w:eastAsia="zh-CN"/>
              </w:rPr>
            </w:pPr>
            <w:r>
              <w:rPr>
                <w:rFonts w:hint="default" w:ascii="Times New Roman" w:hAnsi="Times New Roman" w:eastAsia="宋体" w:cs="Times New Roman"/>
                <w:snapToGrid w:val="0"/>
                <w:color w:val="auto"/>
                <w:spacing w:val="-2"/>
                <w:kern w:val="0"/>
                <w:sz w:val="24"/>
                <w:szCs w:val="24"/>
                <w:lang w:val="en-US" w:eastAsia="zh-CN"/>
              </w:rPr>
              <w:t>本项目</w:t>
            </w:r>
            <w:r>
              <w:rPr>
                <w:rFonts w:hint="eastAsia" w:ascii="Times New Roman" w:hAnsi="Times New Roman" w:eastAsia="宋体" w:cs="Times New Roman"/>
                <w:snapToGrid w:val="0"/>
                <w:color w:val="auto"/>
                <w:spacing w:val="-2"/>
                <w:kern w:val="0"/>
                <w:sz w:val="24"/>
                <w:szCs w:val="24"/>
                <w:lang w:val="en-US" w:eastAsia="zh-CN"/>
              </w:rPr>
              <w:t>房屋、瞭望塔、消防水池等建设</w:t>
            </w:r>
            <w:r>
              <w:rPr>
                <w:rFonts w:hint="default" w:ascii="Times New Roman" w:hAnsi="Times New Roman" w:eastAsia="宋体" w:cs="Times New Roman"/>
                <w:snapToGrid w:val="0"/>
                <w:color w:val="auto"/>
                <w:spacing w:val="-2"/>
                <w:kern w:val="0"/>
                <w:sz w:val="24"/>
                <w:szCs w:val="24"/>
                <w:lang w:val="en-US" w:eastAsia="zh-CN"/>
              </w:rPr>
              <w:t>工程为一般类型土建工程，主要建设工艺为基础开挖、主体修建、内外装修、设备安装等。</w:t>
            </w:r>
          </w:p>
          <w:p>
            <w:pPr>
              <w:spacing w:line="360" w:lineRule="auto"/>
              <w:ind w:firstLine="470" w:firstLineChars="196"/>
              <w:rPr>
                <w:b w:val="0"/>
                <w:bCs w:val="0"/>
                <w:color w:val="auto"/>
                <w:sz w:val="24"/>
              </w:rPr>
            </w:pPr>
            <w:r>
              <w:rPr>
                <w:rFonts w:hAnsi="宋体"/>
                <w:b w:val="0"/>
                <w:bCs w:val="0"/>
                <w:color w:val="auto"/>
                <w:sz w:val="24"/>
              </w:rPr>
              <w:t>（</w:t>
            </w:r>
            <w:r>
              <w:rPr>
                <w:b w:val="0"/>
                <w:bCs w:val="0"/>
                <w:color w:val="auto"/>
                <w:sz w:val="24"/>
              </w:rPr>
              <w:t>1</w:t>
            </w:r>
            <w:r>
              <w:rPr>
                <w:rFonts w:hAnsi="宋体"/>
                <w:b w:val="0"/>
                <w:bCs w:val="0"/>
                <w:color w:val="auto"/>
                <w:sz w:val="24"/>
              </w:rPr>
              <w:t>）基础工程施工：</w:t>
            </w:r>
          </w:p>
          <w:p>
            <w:pPr>
              <w:spacing w:line="360" w:lineRule="auto"/>
              <w:ind w:firstLine="480" w:firstLineChars="200"/>
              <w:rPr>
                <w:b w:val="0"/>
                <w:bCs w:val="0"/>
                <w:color w:val="auto"/>
                <w:sz w:val="24"/>
              </w:rPr>
            </w:pPr>
            <w:r>
              <w:rPr>
                <w:rFonts w:hAnsi="宋体"/>
                <w:b w:val="0"/>
                <w:bCs w:val="0"/>
                <w:color w:val="auto"/>
                <w:sz w:val="24"/>
              </w:rPr>
              <w:t>在基础开挖、地基处理（岩土工程）与基础施工时，挖土机、运土卡车、打桩机、夯实机等施工机械的运行将产生一定的噪声；同时，挖填土石方作业及运输车辆行驶将产生扬尘，不同条件下的扬尘对环境的影响不同；另外，基础开挖引起原有土地利用类型的改变，会造成生态变化并引起一定程度的水土流失。</w:t>
            </w:r>
          </w:p>
          <w:p>
            <w:pPr>
              <w:spacing w:line="360" w:lineRule="auto"/>
              <w:ind w:firstLine="470" w:firstLineChars="196"/>
              <w:rPr>
                <w:b w:val="0"/>
                <w:bCs w:val="0"/>
                <w:color w:val="auto"/>
                <w:sz w:val="24"/>
              </w:rPr>
            </w:pPr>
            <w:r>
              <w:rPr>
                <w:rFonts w:hAnsi="宋体"/>
                <w:b w:val="0"/>
                <w:bCs w:val="0"/>
                <w:color w:val="auto"/>
                <w:sz w:val="24"/>
              </w:rPr>
              <w:t>（</w:t>
            </w:r>
            <w:r>
              <w:rPr>
                <w:b w:val="0"/>
                <w:bCs w:val="0"/>
                <w:color w:val="auto"/>
                <w:sz w:val="24"/>
              </w:rPr>
              <w:t>2</w:t>
            </w:r>
            <w:r>
              <w:rPr>
                <w:rFonts w:hAnsi="宋体"/>
                <w:b w:val="0"/>
                <w:bCs w:val="0"/>
                <w:color w:val="auto"/>
                <w:sz w:val="24"/>
              </w:rPr>
              <w:t>）主体工程及附属工程施工：</w:t>
            </w:r>
          </w:p>
          <w:p>
            <w:pPr>
              <w:spacing w:line="360" w:lineRule="auto"/>
              <w:ind w:firstLine="480" w:firstLineChars="200"/>
              <w:rPr>
                <w:b w:val="0"/>
                <w:bCs w:val="0"/>
                <w:color w:val="auto"/>
                <w:sz w:val="24"/>
              </w:rPr>
            </w:pPr>
            <w:r>
              <w:rPr>
                <w:rFonts w:hAnsi="宋体"/>
                <w:b w:val="0"/>
                <w:bCs w:val="0"/>
                <w:color w:val="auto"/>
                <w:sz w:val="24"/>
              </w:rPr>
              <w:t>挖掘机、打夯机、装载汽车等运行时会产生噪声，同时也产生扬尘。此外，还有一些原材料废弃料以及</w:t>
            </w:r>
            <w:r>
              <w:rPr>
                <w:rFonts w:hint="eastAsia" w:hAnsi="宋体"/>
                <w:b w:val="0"/>
                <w:bCs w:val="0"/>
                <w:color w:val="auto"/>
                <w:sz w:val="24"/>
                <w:lang w:val="en-US" w:eastAsia="zh-CN"/>
              </w:rPr>
              <w:t>施工</w:t>
            </w:r>
            <w:r>
              <w:rPr>
                <w:rFonts w:hAnsi="宋体"/>
                <w:b w:val="0"/>
                <w:bCs w:val="0"/>
                <w:color w:val="auto"/>
                <w:sz w:val="24"/>
              </w:rPr>
              <w:t>和生活污水产生。</w:t>
            </w:r>
          </w:p>
          <w:p>
            <w:pPr>
              <w:spacing w:line="360" w:lineRule="auto"/>
              <w:ind w:firstLine="470" w:firstLineChars="196"/>
              <w:rPr>
                <w:rFonts w:hint="eastAsia" w:hAnsi="宋体"/>
                <w:b w:val="0"/>
                <w:bCs w:val="0"/>
                <w:color w:val="auto"/>
                <w:sz w:val="24"/>
              </w:rPr>
            </w:pPr>
            <w:r>
              <w:rPr>
                <w:rFonts w:hAnsi="宋体"/>
                <w:b w:val="0"/>
                <w:bCs w:val="0"/>
                <w:color w:val="auto"/>
                <w:sz w:val="24"/>
              </w:rPr>
              <w:t>（</w:t>
            </w:r>
            <w:r>
              <w:rPr>
                <w:b w:val="0"/>
                <w:bCs w:val="0"/>
                <w:color w:val="auto"/>
                <w:sz w:val="24"/>
              </w:rPr>
              <w:t>3</w:t>
            </w:r>
            <w:r>
              <w:rPr>
                <w:rFonts w:hAnsi="宋体"/>
                <w:b w:val="0"/>
                <w:bCs w:val="0"/>
                <w:color w:val="auto"/>
                <w:sz w:val="24"/>
              </w:rPr>
              <w:t>）装饰工程施工：</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eastAsia="宋体" w:cs="Times New Roman"/>
                <w:b w:val="0"/>
                <w:bCs w:val="0"/>
                <w:snapToGrid w:val="0"/>
                <w:color w:val="auto"/>
                <w:spacing w:val="-2"/>
                <w:kern w:val="0"/>
                <w:sz w:val="24"/>
                <w:szCs w:val="24"/>
                <w:lang w:val="en-US" w:eastAsia="zh-CN"/>
              </w:rPr>
            </w:pPr>
            <w:r>
              <w:rPr>
                <w:rFonts w:hint="default" w:ascii="Times New Roman" w:hAnsi="Times New Roman" w:eastAsia="宋体" w:cs="Times New Roman"/>
                <w:b w:val="0"/>
                <w:bCs w:val="0"/>
                <w:snapToGrid w:val="0"/>
                <w:color w:val="auto"/>
                <w:spacing w:val="-2"/>
                <w:kern w:val="0"/>
                <w:sz w:val="24"/>
                <w:szCs w:val="24"/>
                <w:lang w:val="en-US" w:eastAsia="zh-CN"/>
              </w:rPr>
              <w:t>在对构筑物的室内外进行装修时（如表面粉刷、油漆、喷涂、裱糊、镶贴装饰等），钻机、电锤等产生噪声，油漆和喷涂产生废气、废弃物料及污水。</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jc w:val="both"/>
              <w:textAlignment w:val="auto"/>
              <w:rPr>
                <w:rFonts w:hint="default" w:ascii="Times New Roman" w:hAnsi="Times New Roman" w:cs="Times New Roman"/>
                <w:b/>
                <w:bCs/>
                <w:snapToGrid w:val="0"/>
                <w:color w:val="auto"/>
                <w:spacing w:val="-2"/>
                <w:kern w:val="0"/>
                <w:sz w:val="24"/>
                <w:szCs w:val="24"/>
                <w:lang w:val="en-US" w:eastAsia="zh-CN"/>
              </w:rPr>
            </w:pPr>
            <w:r>
              <w:rPr>
                <w:rFonts w:hint="default" w:ascii="Times New Roman" w:hAnsi="Times New Roman" w:cs="Times New Roman"/>
                <w:b/>
                <w:bCs/>
                <w:snapToGrid w:val="0"/>
                <w:color w:val="auto"/>
                <w:spacing w:val="-2"/>
                <w:kern w:val="0"/>
                <w:sz w:val="24"/>
                <w:szCs w:val="24"/>
                <w:lang w:val="en-US" w:eastAsia="zh-CN"/>
              </w:rPr>
              <w:t>3、施工供电</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cs="Times New Roman"/>
                <w:snapToGrid w:val="0"/>
                <w:color w:val="auto"/>
                <w:spacing w:val="-2"/>
                <w:kern w:val="0"/>
                <w:sz w:val="24"/>
                <w:szCs w:val="24"/>
                <w:lang w:val="en-US" w:eastAsia="zh-CN"/>
              </w:rPr>
              <w:t>本工程大部分道路距离蓬溪县各乡镇中心场镇较近，用电可与当地相关部门协商解决，可综合后期运营迁入电网或自行发电。</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jc w:val="both"/>
              <w:textAlignment w:val="auto"/>
              <w:rPr>
                <w:rFonts w:hint="default" w:ascii="Times New Roman" w:hAnsi="Times New Roman" w:cs="Times New Roman"/>
                <w:b/>
                <w:bCs/>
                <w:snapToGrid w:val="0"/>
                <w:color w:val="auto"/>
                <w:spacing w:val="-2"/>
                <w:kern w:val="0"/>
                <w:sz w:val="24"/>
                <w:szCs w:val="24"/>
                <w:lang w:val="en-US" w:eastAsia="zh-CN"/>
              </w:rPr>
            </w:pPr>
            <w:r>
              <w:rPr>
                <w:rFonts w:hint="default" w:ascii="Times New Roman" w:hAnsi="Times New Roman" w:cs="Times New Roman"/>
                <w:b/>
                <w:bCs/>
                <w:snapToGrid w:val="0"/>
                <w:color w:val="auto"/>
                <w:spacing w:val="-2"/>
                <w:kern w:val="0"/>
                <w:sz w:val="24"/>
                <w:szCs w:val="24"/>
                <w:lang w:val="en-US" w:eastAsia="zh-CN"/>
              </w:rPr>
              <w:t>4、施工用水</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cs="Times New Roman"/>
                <w:snapToGrid w:val="0"/>
                <w:color w:val="auto"/>
                <w:spacing w:val="-2"/>
                <w:kern w:val="0"/>
                <w:sz w:val="24"/>
                <w:szCs w:val="24"/>
                <w:lang w:val="en-US" w:eastAsia="zh-CN"/>
              </w:rPr>
              <w:t>施工用水可在沿线河流及各支沟、渠取用，水质良好，矿化度低，硬度小，可满足施工用水要求。</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jc w:val="both"/>
              <w:textAlignment w:val="auto"/>
              <w:rPr>
                <w:rFonts w:hint="default" w:ascii="Times New Roman" w:hAnsi="Times New Roman" w:cs="Times New Roman"/>
                <w:b/>
                <w:bCs/>
                <w:snapToGrid w:val="0"/>
                <w:color w:val="auto"/>
                <w:spacing w:val="-2"/>
                <w:kern w:val="0"/>
                <w:sz w:val="24"/>
                <w:szCs w:val="24"/>
                <w:lang w:val="en-US" w:eastAsia="zh-CN"/>
              </w:rPr>
            </w:pPr>
            <w:r>
              <w:rPr>
                <w:rFonts w:hint="default" w:ascii="Times New Roman" w:hAnsi="Times New Roman" w:cs="Times New Roman"/>
                <w:b/>
                <w:bCs/>
                <w:snapToGrid w:val="0"/>
                <w:color w:val="auto"/>
                <w:spacing w:val="-2"/>
                <w:kern w:val="0"/>
                <w:sz w:val="24"/>
                <w:szCs w:val="24"/>
                <w:lang w:val="en-US" w:eastAsia="zh-CN"/>
              </w:rPr>
              <w:t>5、施工驻地及施工场地的平整</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cs="Times New Roman"/>
                <w:snapToGrid w:val="0"/>
                <w:color w:val="auto"/>
                <w:spacing w:val="-2"/>
                <w:kern w:val="0"/>
                <w:sz w:val="24"/>
                <w:szCs w:val="24"/>
                <w:lang w:val="en-US" w:eastAsia="zh-CN"/>
              </w:rPr>
              <w:t>施工工棚按工程所投入的劳动力，分合同单元选择适当位置顺地形平整场地搭设，采用定型角钢屋架，压木顶蓬和板壁进行拼装，堆料场等则结合工程就近平整场地，以方便施工。</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jc w:val="both"/>
              <w:textAlignment w:val="auto"/>
              <w:rPr>
                <w:rFonts w:hint="default" w:ascii="Times New Roman" w:hAnsi="Times New Roman" w:cs="Times New Roman"/>
                <w:b/>
                <w:bCs/>
                <w:snapToGrid w:val="0"/>
                <w:color w:val="auto"/>
                <w:spacing w:val="-2"/>
                <w:kern w:val="0"/>
                <w:sz w:val="24"/>
                <w:szCs w:val="24"/>
                <w:lang w:val="en-US" w:eastAsia="zh-CN"/>
              </w:rPr>
            </w:pPr>
            <w:r>
              <w:rPr>
                <w:rFonts w:hint="default" w:ascii="Times New Roman" w:hAnsi="Times New Roman" w:cs="Times New Roman"/>
                <w:b/>
                <w:bCs/>
                <w:snapToGrid w:val="0"/>
                <w:color w:val="auto"/>
                <w:spacing w:val="-2"/>
                <w:kern w:val="0"/>
                <w:sz w:val="24"/>
                <w:szCs w:val="24"/>
                <w:lang w:val="en-US" w:eastAsia="zh-CN"/>
              </w:rPr>
              <w:t>6、道路施工保通</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napToGrid w:val="0"/>
                <w:color w:val="auto"/>
                <w:spacing w:val="-2"/>
                <w:kern w:val="0"/>
                <w:sz w:val="24"/>
                <w:szCs w:val="24"/>
                <w:lang w:val="en-US" w:eastAsia="zh-CN"/>
              </w:rPr>
            </w:pPr>
            <w:r>
              <w:rPr>
                <w:rFonts w:hint="default" w:ascii="Times New Roman" w:hAnsi="Times New Roman" w:cs="Times New Roman"/>
                <w:snapToGrid w:val="0"/>
                <w:color w:val="auto"/>
                <w:spacing w:val="-2"/>
                <w:kern w:val="0"/>
                <w:sz w:val="24"/>
                <w:szCs w:val="24"/>
                <w:lang w:val="en-US" w:eastAsia="zh-CN"/>
              </w:rPr>
              <w:t>本项目道路分为新建道路和改建道路，改建道路为原路拓宽黑化，原有部分道路施工时做好老路的保通工作。</w:t>
            </w:r>
          </w:p>
          <w:p>
            <w:pPr>
              <w:rPr>
                <w:b/>
                <w:bCs/>
                <w:color w:val="auto"/>
              </w:rPr>
            </w:pPr>
            <w:r>
              <w:rPr>
                <w:rFonts w:hint="eastAsia" w:ascii="Times New Roman" w:hAnsi="Times New Roman" w:cs="Times New Roman"/>
                <w:b/>
                <w:bCs/>
                <w:snapToGrid w:val="0"/>
                <w:color w:val="auto"/>
                <w:spacing w:val="-2"/>
                <w:kern w:val="0"/>
                <w:sz w:val="24"/>
                <w:szCs w:val="24"/>
                <w:lang w:val="en-US" w:eastAsia="zh-CN"/>
              </w:rPr>
              <w:t>四、</w:t>
            </w:r>
            <w:r>
              <w:rPr>
                <w:b/>
                <w:bCs/>
                <w:color w:val="auto"/>
              </w:rPr>
              <w:t>施工工期</w:t>
            </w:r>
          </w:p>
          <w:p>
            <w:pPr>
              <w:rPr>
                <w:color w:val="auto"/>
              </w:rPr>
            </w:pPr>
            <w:r>
              <w:rPr>
                <w:color w:val="auto"/>
              </w:rPr>
              <w:t>本项目为新建项目，项目</w:t>
            </w:r>
            <w:r>
              <w:rPr>
                <w:rFonts w:hint="eastAsia"/>
                <w:color w:val="auto"/>
                <w:lang w:val="en-US" w:eastAsia="zh-CN"/>
              </w:rPr>
              <w:t>营造林部分</w:t>
            </w:r>
            <w:r>
              <w:rPr>
                <w:color w:val="auto"/>
              </w:rPr>
              <w:t>建设周期为</w:t>
            </w:r>
            <w:r>
              <w:rPr>
                <w:rFonts w:hint="eastAsia"/>
                <w:color w:val="auto"/>
                <w:lang w:val="en-US" w:eastAsia="zh-CN"/>
              </w:rPr>
              <w:t>6</w:t>
            </w:r>
            <w:r>
              <w:rPr>
                <w:color w:val="auto"/>
              </w:rPr>
              <w:t>年</w:t>
            </w:r>
            <w:r>
              <w:rPr>
                <w:rFonts w:hint="eastAsia"/>
                <w:color w:val="auto"/>
                <w:lang w:eastAsia="zh-CN"/>
              </w:rPr>
              <w:t>，</w:t>
            </w:r>
            <w:r>
              <w:rPr>
                <w:rFonts w:hint="eastAsia"/>
                <w:color w:val="auto"/>
                <w:lang w:val="en-US" w:eastAsia="zh-CN"/>
              </w:rPr>
              <w:t>基础建设部分</w:t>
            </w:r>
            <w:r>
              <w:rPr>
                <w:rFonts w:hint="eastAsia" w:cs="宋体"/>
                <w:snapToGrid w:val="0"/>
                <w:color w:val="auto"/>
                <w:spacing w:val="-2"/>
                <w:kern w:val="0"/>
                <w:sz w:val="24"/>
                <w:szCs w:val="24"/>
                <w:lang w:val="en-US" w:eastAsia="zh-CN"/>
              </w:rPr>
              <w:t>建设工期1年。也可根据储备林项目放款情况以及当地保通需求，道路、房建等分批次实施。</w:t>
            </w:r>
            <w:r>
              <w:rPr>
                <w:rFonts w:hint="eastAsia"/>
                <w:color w:val="auto"/>
                <w:lang w:val="en-US" w:eastAsia="zh-CN"/>
              </w:rPr>
              <w:t>营造林施工具体安排如下</w:t>
            </w:r>
            <w:r>
              <w:rPr>
                <w:color w:val="auto"/>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en-US"/>
              </w:rPr>
            </w:pPr>
            <w:r>
              <w:rPr>
                <w:rFonts w:hint="eastAsia" w:ascii="Times New Roman" w:hAnsi="Times New Roman" w:eastAsia="宋体" w:cs="Times New Roman"/>
                <w:b/>
                <w:bCs/>
                <w:color w:val="auto"/>
                <w:sz w:val="21"/>
                <w:szCs w:val="21"/>
                <w:lang w:val="en-US" w:eastAsia="en-US"/>
              </w:rPr>
              <w:t>表</w:t>
            </w:r>
            <w:r>
              <w:rPr>
                <w:rFonts w:hint="eastAsia" w:ascii="Times New Roman" w:hAnsi="Times New Roman" w:eastAsia="宋体"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en-US"/>
              </w:rPr>
              <w:t>-1</w:t>
            </w:r>
            <w:r>
              <w:rPr>
                <w:rFonts w:hint="eastAsia"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en-US"/>
              </w:rPr>
              <w:t xml:space="preserve"> 营造林工程建设年度计划表  面积：亩</w:t>
            </w:r>
          </w:p>
          <w:tbl>
            <w:tblPr>
              <w:tblStyle w:val="55"/>
              <w:tblW w:w="797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4"/>
              <w:gridCol w:w="262"/>
              <w:gridCol w:w="1154"/>
              <w:gridCol w:w="1154"/>
              <w:gridCol w:w="1041"/>
              <w:gridCol w:w="1172"/>
              <w:gridCol w:w="1001"/>
              <w:gridCol w:w="1025"/>
              <w:gridCol w:w="9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4" w:hRule="atLeast"/>
              </w:trPr>
              <w:tc>
                <w:tcPr>
                  <w:tcW w:w="25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93" w:line="223"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b/>
                      <w:bCs/>
                      <w:snapToGrid w:val="0"/>
                      <w:color w:val="auto"/>
                      <w:spacing w:val="-13"/>
                      <w:kern w:val="0"/>
                      <w:sz w:val="21"/>
                      <w:szCs w:val="21"/>
                      <w:lang w:eastAsia="en-US"/>
                    </w:rPr>
                    <w:t>范围</w:t>
                  </w:r>
                </w:p>
              </w:tc>
              <w:tc>
                <w:tcPr>
                  <w:tcW w:w="26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293"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b/>
                      <w:bCs/>
                      <w:snapToGrid w:val="0"/>
                      <w:color w:val="auto"/>
                      <w:spacing w:val="-5"/>
                      <w:kern w:val="0"/>
                      <w:sz w:val="21"/>
                      <w:szCs w:val="21"/>
                      <w:lang w:eastAsia="en-US"/>
                    </w:rPr>
                    <w:t>建设内容</w:t>
                  </w:r>
                </w:p>
              </w:tc>
              <w:tc>
                <w:tcPr>
                  <w:tcW w:w="7456" w:type="dxa"/>
                  <w:gridSpan w:val="7"/>
                  <w:vAlign w:val="center"/>
                </w:tcPr>
                <w:p>
                  <w:pPr>
                    <w:keepNext w:val="0"/>
                    <w:keepLines w:val="0"/>
                    <w:pageBreakBefore w:val="0"/>
                    <w:widowControl/>
                    <w:kinsoku w:val="0"/>
                    <w:wordWrap/>
                    <w:overflowPunct/>
                    <w:topLinePunct w:val="0"/>
                    <w:autoSpaceDE w:val="0"/>
                    <w:autoSpaceDN w:val="0"/>
                    <w:bidi w:val="0"/>
                    <w:adjustRightInd w:val="0"/>
                    <w:snapToGrid w:val="0"/>
                    <w:spacing w:before="86"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b/>
                      <w:bCs/>
                      <w:snapToGrid w:val="0"/>
                      <w:color w:val="auto"/>
                      <w:spacing w:val="-6"/>
                      <w:kern w:val="0"/>
                      <w:sz w:val="21"/>
                      <w:szCs w:val="21"/>
                      <w:lang w:eastAsia="en-US"/>
                    </w:rPr>
                    <w:t>实施年度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2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b/>
                      <w:bCs/>
                      <w:snapToGrid w:val="0"/>
                      <w:color w:val="auto"/>
                      <w:spacing w:val="-11"/>
                      <w:kern w:val="0"/>
                      <w:sz w:val="21"/>
                      <w:szCs w:val="21"/>
                      <w:lang w:eastAsia="en-US"/>
                    </w:rPr>
                    <w:t>合计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eastAsia" w:ascii="Times New Roman" w:hAnsi="Times New Roman" w:eastAsia="宋体" w:cs="Times New Roman"/>
                      <w:b/>
                      <w:bCs/>
                      <w:snapToGrid w:val="0"/>
                      <w:color w:val="auto"/>
                      <w:spacing w:val="-2"/>
                      <w:kern w:val="0"/>
                      <w:sz w:val="21"/>
                      <w:szCs w:val="21"/>
                      <w:lang w:val="en-US" w:eastAsia="zh-CN"/>
                    </w:rPr>
                    <w:t>第一</w:t>
                  </w:r>
                  <w:r>
                    <w:rPr>
                      <w:rFonts w:hint="default" w:ascii="Times New Roman" w:hAnsi="Times New Roman" w:eastAsia="宋体" w:cs="Times New Roman"/>
                      <w:b/>
                      <w:bCs/>
                      <w:snapToGrid w:val="0"/>
                      <w:color w:val="auto"/>
                      <w:spacing w:val="-2"/>
                      <w:kern w:val="0"/>
                      <w:sz w:val="21"/>
                      <w:szCs w:val="21"/>
                      <w:lang w:eastAsia="en-US"/>
                    </w:rPr>
                    <w:t>年</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eastAsia" w:ascii="Times New Roman" w:hAnsi="Times New Roman" w:eastAsia="宋体" w:cs="Times New Roman"/>
                      <w:b/>
                      <w:bCs/>
                      <w:snapToGrid w:val="0"/>
                      <w:color w:val="auto"/>
                      <w:spacing w:val="-2"/>
                      <w:kern w:val="0"/>
                      <w:sz w:val="21"/>
                      <w:szCs w:val="21"/>
                      <w:lang w:val="en-US" w:eastAsia="zh-CN"/>
                    </w:rPr>
                    <w:t>第二</w:t>
                  </w:r>
                  <w:r>
                    <w:rPr>
                      <w:rFonts w:hint="default" w:ascii="Times New Roman" w:hAnsi="Times New Roman" w:eastAsia="宋体" w:cs="Times New Roman"/>
                      <w:b/>
                      <w:bCs/>
                      <w:snapToGrid w:val="0"/>
                      <w:color w:val="auto"/>
                      <w:spacing w:val="-2"/>
                      <w:kern w:val="0"/>
                      <w:sz w:val="21"/>
                      <w:szCs w:val="21"/>
                      <w:lang w:eastAsia="en-US"/>
                    </w:rPr>
                    <w:t>年</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eastAsia" w:ascii="Times New Roman" w:hAnsi="Times New Roman" w:eastAsia="宋体" w:cs="Times New Roman"/>
                      <w:b/>
                      <w:bCs/>
                      <w:snapToGrid w:val="0"/>
                      <w:color w:val="auto"/>
                      <w:spacing w:val="-2"/>
                      <w:kern w:val="0"/>
                      <w:sz w:val="21"/>
                      <w:szCs w:val="21"/>
                      <w:lang w:val="en-US" w:eastAsia="zh-CN"/>
                    </w:rPr>
                    <w:t>第三</w:t>
                  </w:r>
                  <w:r>
                    <w:rPr>
                      <w:rFonts w:hint="default" w:ascii="Times New Roman" w:hAnsi="Times New Roman" w:eastAsia="宋体" w:cs="Times New Roman"/>
                      <w:b/>
                      <w:bCs/>
                      <w:snapToGrid w:val="0"/>
                      <w:color w:val="auto"/>
                      <w:spacing w:val="-2"/>
                      <w:kern w:val="0"/>
                      <w:sz w:val="21"/>
                      <w:szCs w:val="21"/>
                      <w:lang w:eastAsia="en-US"/>
                    </w:rPr>
                    <w:t>年</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eastAsia" w:ascii="Times New Roman" w:hAnsi="Times New Roman" w:eastAsia="宋体" w:cs="Times New Roman"/>
                      <w:b/>
                      <w:bCs/>
                      <w:snapToGrid w:val="0"/>
                      <w:color w:val="auto"/>
                      <w:spacing w:val="-2"/>
                      <w:kern w:val="0"/>
                      <w:sz w:val="21"/>
                      <w:szCs w:val="21"/>
                      <w:lang w:val="en-US" w:eastAsia="zh-CN"/>
                    </w:rPr>
                    <w:t>第四</w:t>
                  </w:r>
                  <w:r>
                    <w:rPr>
                      <w:rFonts w:hint="default" w:ascii="Times New Roman" w:hAnsi="Times New Roman" w:eastAsia="宋体" w:cs="Times New Roman"/>
                      <w:b/>
                      <w:bCs/>
                      <w:snapToGrid w:val="0"/>
                      <w:color w:val="auto"/>
                      <w:spacing w:val="-2"/>
                      <w:kern w:val="0"/>
                      <w:sz w:val="21"/>
                      <w:szCs w:val="21"/>
                      <w:lang w:eastAsia="en-US"/>
                    </w:rPr>
                    <w:t>年</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eastAsia" w:ascii="Times New Roman" w:hAnsi="Times New Roman" w:eastAsia="宋体" w:cs="Times New Roman"/>
                      <w:b/>
                      <w:bCs/>
                      <w:snapToGrid w:val="0"/>
                      <w:color w:val="auto"/>
                      <w:spacing w:val="-2"/>
                      <w:kern w:val="0"/>
                      <w:sz w:val="21"/>
                      <w:szCs w:val="21"/>
                      <w:lang w:val="en-US" w:eastAsia="zh-CN"/>
                    </w:rPr>
                    <w:t>第五</w:t>
                  </w:r>
                  <w:r>
                    <w:rPr>
                      <w:rFonts w:hint="default" w:ascii="Times New Roman" w:hAnsi="Times New Roman" w:eastAsia="宋体" w:cs="Times New Roman"/>
                      <w:b/>
                      <w:bCs/>
                      <w:snapToGrid w:val="0"/>
                      <w:color w:val="auto"/>
                      <w:spacing w:val="-2"/>
                      <w:kern w:val="0"/>
                      <w:sz w:val="21"/>
                      <w:szCs w:val="21"/>
                      <w:lang w:eastAsia="en-US"/>
                    </w:rPr>
                    <w:t>年</w:t>
                  </w: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eastAsia" w:ascii="Times New Roman" w:hAnsi="Times New Roman" w:eastAsia="宋体" w:cs="Times New Roman"/>
                      <w:b/>
                      <w:bCs/>
                      <w:snapToGrid w:val="0"/>
                      <w:color w:val="auto"/>
                      <w:spacing w:val="-2"/>
                      <w:kern w:val="0"/>
                      <w:sz w:val="21"/>
                      <w:szCs w:val="21"/>
                      <w:lang w:val="en-US" w:eastAsia="zh-CN"/>
                    </w:rPr>
                    <w:t>第六</w:t>
                  </w:r>
                  <w:r>
                    <w:rPr>
                      <w:rFonts w:hint="default" w:ascii="Times New Roman" w:hAnsi="Times New Roman" w:eastAsia="宋体" w:cs="Times New Roman"/>
                      <w:b/>
                      <w:bCs/>
                      <w:snapToGrid w:val="0"/>
                      <w:color w:val="auto"/>
                      <w:spacing w:val="-2"/>
                      <w:kern w:val="0"/>
                      <w:sz w:val="21"/>
                      <w:szCs w:val="21"/>
                      <w:lang w:eastAsia="en-US"/>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4" w:hRule="atLeast"/>
              </w:trPr>
              <w:tc>
                <w:tcPr>
                  <w:tcW w:w="25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6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63"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58" w:line="223"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5"/>
                      <w:kern w:val="0"/>
                      <w:sz w:val="21"/>
                      <w:szCs w:val="21"/>
                      <w:lang w:eastAsia="en-US"/>
                    </w:rPr>
                    <w:t>蓬溪县</w:t>
                  </w: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106596.78</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13710.984</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23641.36</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20887.296</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27600</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14775.66</w:t>
                  </w: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5981.48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4"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7"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集约人工林栽培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7552.5</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2017.194</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1908.61</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1151.316</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1060.72</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839.33</w:t>
                  </w: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575.33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现有林改培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33541.61</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3650.79</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5606.51</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5083.38</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5"/>
                      <w:kern w:val="0"/>
                      <w:sz w:val="21"/>
                      <w:szCs w:val="21"/>
                      <w:lang w:eastAsia="en-US"/>
                    </w:rPr>
                    <w:t>8072.14</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7666.93</w:t>
                  </w: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3461.86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中幼龄林抚育</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65502.67</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8043</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16126.24</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14652.6</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18467.14</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6269.4</w:t>
                  </w: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1944.29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64"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64"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58" w:line="223"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8"/>
                      <w:kern w:val="0"/>
                      <w:sz w:val="21"/>
                      <w:szCs w:val="21"/>
                      <w:lang w:eastAsia="en-US"/>
                    </w:rPr>
                    <w:t>宝梵镇</w:t>
                  </w: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6283.25</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385.66</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5741.49</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156.1</w:t>
                  </w: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集约人工林栽培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246.24</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90.14</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156.1</w:t>
                  </w: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现有林改培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1969.42</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173.73</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1795.69</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中幼龄林抚育</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4067.59</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121.79</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3945.8</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0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305"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58"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8"/>
                      <w:kern w:val="0"/>
                      <w:sz w:val="21"/>
                      <w:szCs w:val="21"/>
                      <w:lang w:eastAsia="en-US"/>
                    </w:rPr>
                    <w:t>常乐镇</w:t>
                  </w: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kern w:val="0"/>
                      <w:sz w:val="21"/>
                      <w:szCs w:val="21"/>
                      <w:lang w:eastAsia="en-US"/>
                    </w:rPr>
                    <w:t>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7213.22</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1528.21</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5610.13</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74.88</w:t>
                  </w: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集约人工林栽培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74.88</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74.88</w:t>
                  </w: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0"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2"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现有林改培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53"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900.68</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53"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69.73</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53"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830.95</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5" w:hRule="atLeast"/>
              </w:trPr>
              <w:tc>
                <w:tcPr>
                  <w:tcW w:w="2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9"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中幼龄林抚育</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5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6237.66</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5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1458.48</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5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4779.18</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44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58" w:line="223"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7"/>
                      <w:kern w:val="0"/>
                      <w:sz w:val="21"/>
                      <w:szCs w:val="21"/>
                      <w:lang w:eastAsia="en-US"/>
                    </w:rPr>
                    <w:t>赤城镇</w:t>
                  </w: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6"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kern w:val="0"/>
                      <w:sz w:val="21"/>
                      <w:szCs w:val="21"/>
                      <w:lang w:eastAsia="en-US"/>
                    </w:rPr>
                    <w:t>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8916.172</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2786.972</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5520.85</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608.35</w:t>
                  </w: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8"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集约人工林栽培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1163.692</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555.342</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608.35</w:t>
                  </w: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50"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现有林改培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3742.1</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919.52</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2822.58</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2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9"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中幼龄林抚育</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4010.38</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7"/>
                      <w:kern w:val="0"/>
                      <w:sz w:val="21"/>
                      <w:szCs w:val="21"/>
                      <w:lang w:eastAsia="en-US"/>
                    </w:rPr>
                    <w:t>1312.11</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2698.27</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44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59" w:line="223"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5"/>
                      <w:kern w:val="0"/>
                      <w:sz w:val="21"/>
                      <w:szCs w:val="21"/>
                      <w:lang w:eastAsia="en-US"/>
                    </w:rPr>
                    <w:t>大石镇</w:t>
                  </w: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7"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kern w:val="0"/>
                      <w:sz w:val="21"/>
                      <w:szCs w:val="21"/>
                      <w:lang w:eastAsia="en-US"/>
                    </w:rPr>
                    <w:t>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6101.14</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1002.03</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5"/>
                      <w:kern w:val="0"/>
                      <w:sz w:val="21"/>
                      <w:szCs w:val="21"/>
                      <w:lang w:eastAsia="en-US"/>
                    </w:rPr>
                    <w:t>5099.11</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9"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集约人工林栽培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497.36</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497.36</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8"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现有林改培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962.64</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109.29</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853.35</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2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50"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中幼龄林抚育</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4641.14</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395.38</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4245.76</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1" w:hRule="atLeast"/>
              </w:trPr>
              <w:tc>
                <w:tcPr>
                  <w:tcW w:w="25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76"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77"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59" w:line="223"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高升乡</w:t>
                  </w: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4"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kern w:val="0"/>
                      <w:sz w:val="21"/>
                      <w:szCs w:val="21"/>
                      <w:lang w:eastAsia="en-US"/>
                    </w:rPr>
                    <w:t>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5"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2709.226</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5"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865.26</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5"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121.716</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5"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855.51</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5"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866.74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7"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集约人工林栽培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121.716</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121.716</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现有林改培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1168.84</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302.1</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866.74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中幼龄林抚育</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1418.67</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563.16</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855.51</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1" w:hRule="atLeast"/>
              </w:trPr>
              <w:tc>
                <w:tcPr>
                  <w:tcW w:w="25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76"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77"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59" w:line="223"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5"/>
                      <w:kern w:val="0"/>
                      <w:sz w:val="21"/>
                      <w:szCs w:val="21"/>
                      <w:lang w:eastAsia="en-US"/>
                    </w:rPr>
                    <w:t>红江镇</w:t>
                  </w: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6"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kern w:val="0"/>
                      <w:sz w:val="21"/>
                      <w:szCs w:val="21"/>
                      <w:lang w:eastAsia="en-US"/>
                    </w:rPr>
                    <w:t>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1403.24</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409.27</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872.18</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121.79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集约人工林栽培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121.79</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121.79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现有林改培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468.78</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169.01</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299.77</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中幼龄林抚育</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812.67</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240.26</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572.41</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2" w:hRule="atLeast"/>
              </w:trPr>
              <w:tc>
                <w:tcPr>
                  <w:tcW w:w="25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77"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7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59"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5"/>
                      <w:kern w:val="0"/>
                      <w:sz w:val="21"/>
                      <w:szCs w:val="21"/>
                      <w:lang w:eastAsia="en-US"/>
                    </w:rPr>
                    <w:t>槐花镇</w:t>
                  </w: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6"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kern w:val="0"/>
                      <w:sz w:val="21"/>
                      <w:szCs w:val="21"/>
                      <w:lang w:eastAsia="en-US"/>
                    </w:rPr>
                    <w:t>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9495.52</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1823.7</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6544.59</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66.51</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7"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1060.72</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集约人工林栽培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3035.84</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1908.61</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66.51</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1060.72</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现有林改培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999.73</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647.68</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352.05</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中幼龄林抚育</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5459.95</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1176.02</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4283.93</w:t>
                  </w: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2" w:hRule="atLeast"/>
              </w:trPr>
              <w:tc>
                <w:tcPr>
                  <w:tcW w:w="25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77"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77"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59"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7"/>
                      <w:kern w:val="0"/>
                      <w:sz w:val="21"/>
                      <w:szCs w:val="21"/>
                      <w:lang w:eastAsia="en-US"/>
                    </w:rPr>
                    <w:t>吉祥镇</w:t>
                  </w: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kern w:val="0"/>
                      <w:sz w:val="21"/>
                      <w:szCs w:val="21"/>
                      <w:lang w:eastAsia="en-US"/>
                    </w:rPr>
                    <w:t>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5233.71</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130.03</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5091.18</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集约人工林栽培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12.5</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现有林改培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1081.21</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1081.21</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中幼龄林抚育</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4140</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130.03</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4009.97</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1" w:hRule="atLeast"/>
              </w:trPr>
              <w:tc>
                <w:tcPr>
                  <w:tcW w:w="25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7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7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59"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金桥镇</w:t>
                  </w: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kern w:val="0"/>
                      <w:sz w:val="21"/>
                      <w:szCs w:val="21"/>
                      <w:lang w:eastAsia="en-US"/>
                    </w:rPr>
                    <w:t>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8468.106</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459.746</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5694.45</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2300.41</w:t>
                  </w: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集约人工林栽培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126.286</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112.786</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现有林改培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2300.41</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2300.41</w:t>
                  </w: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中幼龄林抚育</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6041.41</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346.96</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5694.45</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2" w:hRule="atLeast"/>
              </w:trPr>
              <w:tc>
                <w:tcPr>
                  <w:tcW w:w="25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7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7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58" w:line="223"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8"/>
                      <w:kern w:val="0"/>
                      <w:sz w:val="21"/>
                      <w:szCs w:val="21"/>
                      <w:lang w:eastAsia="en-US"/>
                    </w:rPr>
                    <w:t>明月镇</w:t>
                  </w: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kern w:val="0"/>
                      <w:sz w:val="21"/>
                      <w:szCs w:val="21"/>
                      <w:lang w:eastAsia="en-US"/>
                    </w:rPr>
                    <w:t>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6078.57</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5"/>
                      <w:kern w:val="0"/>
                      <w:sz w:val="21"/>
                      <w:szCs w:val="21"/>
                      <w:lang w:eastAsia="en-US"/>
                    </w:rPr>
                    <w:t>12.62</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6065.95</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集约人工林栽培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250.62</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250.62</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现有林改培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2573.57</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2573.57</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中幼龄林抚育</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3254.38</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5"/>
                      <w:kern w:val="0"/>
                      <w:sz w:val="21"/>
                      <w:szCs w:val="21"/>
                      <w:lang w:eastAsia="en-US"/>
                    </w:rPr>
                    <w:t>12.62</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3241.76</w:t>
                  </w: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2" w:hRule="atLeast"/>
              </w:trPr>
              <w:tc>
                <w:tcPr>
                  <w:tcW w:w="25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77"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7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58" w:line="223"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8"/>
                      <w:kern w:val="0"/>
                      <w:sz w:val="21"/>
                      <w:szCs w:val="21"/>
                      <w:lang w:eastAsia="en-US"/>
                    </w:rPr>
                    <w:t>鸣凤镇</w:t>
                  </w: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kern w:val="0"/>
                      <w:sz w:val="21"/>
                      <w:szCs w:val="21"/>
                      <w:lang w:eastAsia="en-US"/>
                    </w:rPr>
                    <w:t>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8862.71</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44.22</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8596.38</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222.11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1"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集约人工林栽培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222.11</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222.11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9"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现有林改培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6310.93</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42.31</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6268.62</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80"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6"/>
                      <w:kern w:val="0"/>
                      <w:sz w:val="21"/>
                      <w:szCs w:val="21"/>
                      <w:lang w:eastAsia="en-US"/>
                    </w:rPr>
                    <w:t>中幼龄林抚育</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2329.67</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5"/>
                      <w:kern w:val="0"/>
                      <w:sz w:val="21"/>
                      <w:szCs w:val="21"/>
                      <w:lang w:eastAsia="en-US"/>
                    </w:rPr>
                    <w:t>1.91</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2327.76</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2" w:hRule="atLeast"/>
              </w:trPr>
              <w:tc>
                <w:tcPr>
                  <w:tcW w:w="254"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444"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59"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普安街道</w:t>
                  </w: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7"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kern w:val="0"/>
                      <w:sz w:val="21"/>
                      <w:szCs w:val="21"/>
                      <w:lang w:eastAsia="en-US"/>
                    </w:rPr>
                    <w:t>计</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1523.91</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832.79</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645.84</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8"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45.28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2" w:hRule="atLeast"/>
              </w:trPr>
              <w:tc>
                <w:tcPr>
                  <w:tcW w:w="254"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22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集约人工林栽培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718.97</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673.69</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40"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1"/>
                      <w:kern w:val="0"/>
                      <w:sz w:val="21"/>
                      <w:szCs w:val="21"/>
                      <w:lang w:eastAsia="en-US"/>
                    </w:rPr>
                    <w:t>45.28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4" w:hRule="atLeast"/>
              </w:trPr>
              <w:tc>
                <w:tcPr>
                  <w:tcW w:w="254"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2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8"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3"/>
                      <w:kern w:val="0"/>
                      <w:sz w:val="21"/>
                      <w:szCs w:val="21"/>
                      <w:lang w:eastAsia="en-US"/>
                    </w:rPr>
                    <w:t>现有林改培</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103.26</w:t>
                  </w:r>
                </w:p>
              </w:tc>
              <w:tc>
                <w:tcPr>
                  <w:tcW w:w="11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95.43</w:t>
                  </w:r>
                </w:p>
              </w:tc>
              <w:tc>
                <w:tcPr>
                  <w:tcW w:w="104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1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100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spacing w:val="-2"/>
                      <w:kern w:val="0"/>
                      <w:sz w:val="21"/>
                      <w:szCs w:val="21"/>
                      <w:lang w:eastAsia="en-US"/>
                    </w:rPr>
                    <w:t>7.83</w:t>
                  </w:r>
                </w:p>
              </w:tc>
              <w:tc>
                <w:tcPr>
                  <w:tcW w:w="10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c>
                <w:tcPr>
                  <w:tcW w:w="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2" w:hRule="atLeast"/>
              </w:trPr>
              <w:tc>
                <w:tcPr>
                  <w:tcW w:w="254" w:type="dxa"/>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中幼龄林抚育</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701.68</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63.67</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638.01</w:t>
                  </w: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2" w:hRule="atLeast"/>
              </w:trPr>
              <w:tc>
                <w:tcPr>
                  <w:tcW w:w="25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三凤镇</w:t>
                  </w: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spacing w:val="-4"/>
                      <w:kern w:val="0"/>
                      <w:sz w:val="21"/>
                      <w:szCs w:val="21"/>
                      <w:lang w:eastAsia="en-US"/>
                    </w:rPr>
                    <w:t>计</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6186.25</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43.88</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6141.28</w:t>
                  </w: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1" w:hRule="atLeast"/>
              </w:trPr>
              <w:tc>
                <w:tcPr>
                  <w:tcW w:w="25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集约人工林栽培</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1.09</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1" w:hRule="atLeast"/>
              </w:trPr>
              <w:tc>
                <w:tcPr>
                  <w:tcW w:w="25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现有林改培</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1450.78</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1450.78</w:t>
                  </w: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1" w:hRule="atLeast"/>
              </w:trPr>
              <w:tc>
                <w:tcPr>
                  <w:tcW w:w="25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中幼龄林抚育</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4734.38</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43.88</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4690.5</w:t>
                  </w: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天福镇</w:t>
                  </w: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spacing w:val="-4"/>
                      <w:kern w:val="0"/>
                      <w:sz w:val="21"/>
                      <w:szCs w:val="21"/>
                      <w:lang w:eastAsia="en-US"/>
                    </w:rPr>
                    <w:t>计</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2593.18</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86.96</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2347.16</w:t>
                  </w: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159.06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集约人工林栽培</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207.44</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48.38</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159.06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现有林改培</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316.65</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18.77</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297.88</w:t>
                  </w: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中幼龄林抚育</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2069.09</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19.81</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2049.28</w:t>
                  </w: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文井镇</w:t>
                  </w: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spacing w:val="-4"/>
                      <w:kern w:val="0"/>
                      <w:sz w:val="21"/>
                      <w:szCs w:val="21"/>
                      <w:lang w:eastAsia="en-US"/>
                    </w:rPr>
                    <w:t>计</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7623.796</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2170.286</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4741.04</w:t>
                  </w: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712.47</w:t>
                  </w: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集约人工林栽培</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751.966</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39.496</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712.47</w:t>
                  </w: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现有林改培</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1738.86</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253.44</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1485.42</w:t>
                  </w: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中幼龄林抚育</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5132.97</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1877.35</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3255.62</w:t>
                  </w: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新会镇</w:t>
                  </w: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spacing w:val="-4"/>
                      <w:kern w:val="0"/>
                      <w:sz w:val="21"/>
                      <w:szCs w:val="21"/>
                      <w:lang w:eastAsia="en-US"/>
                    </w:rPr>
                    <w:t>计</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1816.03</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80.26</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1735.77</w:t>
                  </w: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现有林改培</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161.76</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68.65</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93.11</w:t>
                  </w: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中幼龄林抚育</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1654.27</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11.61</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1642.66</w:t>
                  </w: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荷叶乡</w:t>
                  </w: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spacing w:val="-4"/>
                      <w:kern w:val="0"/>
                      <w:sz w:val="21"/>
                      <w:szCs w:val="21"/>
                      <w:lang w:eastAsia="en-US"/>
                    </w:rPr>
                    <w:t>计</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2412.09</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87.23</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2324.86</w:t>
                  </w: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现有林改培</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745.96</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745.96</w:t>
                  </w: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中幼龄林抚育</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1666.13</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87.23</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1578.9</w:t>
                  </w: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蓬南镇</w:t>
                  </w: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spacing w:val="-4"/>
                      <w:kern w:val="0"/>
                      <w:sz w:val="21"/>
                      <w:szCs w:val="21"/>
                      <w:lang w:eastAsia="en-US"/>
                    </w:rPr>
                    <w:t>计</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4795.31</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62.65</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2890.57</w:t>
                  </w: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1842.09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现有林改培</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2890.57</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2890.57</w:t>
                  </w: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中幼龄林抚育</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1904.74</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62.65</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1842.09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任隆镇</w:t>
                  </w: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spacing w:val="-4"/>
                      <w:kern w:val="0"/>
                      <w:sz w:val="21"/>
                      <w:szCs w:val="21"/>
                      <w:lang w:eastAsia="en-US"/>
                    </w:rPr>
                    <w:t>计</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8499.94</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899.21</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5005.61</w:t>
                  </w: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2595.12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现有林改培</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3376.25</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781.13</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2595.12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中幼龄林抚育</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5123.69</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118.08</w:t>
                  </w: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5005.61</w:t>
                  </w: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群利镇</w:t>
                  </w: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9"/>
                      <w:kern w:val="0"/>
                      <w:sz w:val="21"/>
                      <w:szCs w:val="21"/>
                      <w:lang w:eastAsia="en-US"/>
                    </w:rPr>
                    <w:t>合</w:t>
                  </w:r>
                  <w:r>
                    <w:rPr>
                      <w:rFonts w:hint="default" w:ascii="Times New Roman" w:hAnsi="Times New Roman" w:eastAsia="宋体" w:cs="Times New Roman"/>
                      <w:snapToGrid w:val="0"/>
                      <w:color w:val="auto"/>
                      <w:spacing w:val="-4"/>
                      <w:kern w:val="0"/>
                      <w:sz w:val="21"/>
                      <w:szCs w:val="21"/>
                      <w:lang w:eastAsia="en-US"/>
                    </w:rPr>
                    <w:t>计</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381.41</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279.21</w:t>
                  </w: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5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现有林改培</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279.21</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279.21</w:t>
                  </w: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25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26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中幼龄林抚育</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102.2</w:t>
                  </w:r>
                </w:p>
              </w:tc>
              <w:tc>
                <w:tcPr>
                  <w:tcW w:w="1154"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4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72"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01"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025"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9" w:type="dxa"/>
                  <w:vAlign w:val="top"/>
                </w:tcPr>
                <w:p>
                  <w:pPr>
                    <w:keepNext w:val="0"/>
                    <w:keepLines w:val="0"/>
                    <w:pageBreakBefore w:val="0"/>
                    <w:widowControl/>
                    <w:kinsoku w:val="0"/>
                    <w:wordWrap/>
                    <w:overflowPunct/>
                    <w:topLinePunct w:val="0"/>
                    <w:autoSpaceDE w:val="0"/>
                    <w:autoSpaceDN w:val="0"/>
                    <w:bidi w:val="0"/>
                    <w:adjustRightInd w:val="0"/>
                    <w:snapToGrid w:val="0"/>
                    <w:spacing w:before="139" w:line="188"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102.2</w:t>
                  </w:r>
                </w:p>
              </w:tc>
            </w:tr>
          </w:tbl>
          <w:p>
            <w:pPr>
              <w:rPr>
                <w:color w:val="auto"/>
                <w:sz w:val="21"/>
                <w:szCs w:val="21"/>
              </w:rPr>
            </w:pPr>
            <w:r>
              <w:rPr>
                <w:rFonts w:ascii="宋体" w:hAnsi="宋体" w:eastAsia="宋体" w:cs="宋体"/>
                <w:b/>
                <w:bCs/>
                <w:snapToGrid w:val="0"/>
                <w:color w:val="auto"/>
                <w:spacing w:val="9"/>
                <w:kern w:val="0"/>
                <w:sz w:val="21"/>
                <w:szCs w:val="21"/>
                <w:lang w:eastAsia="en-US"/>
              </w:rPr>
              <w:t>备注：在下一步作业设计中，营造林工程建设内容及规模可适量调整</w:t>
            </w:r>
            <w:r>
              <w:rPr>
                <w:rFonts w:ascii="宋体" w:hAnsi="宋体" w:eastAsia="宋体" w:cs="宋体"/>
                <w:snapToGrid w:val="0"/>
                <w:color w:val="auto"/>
                <w:spacing w:val="9"/>
                <w:kern w:val="0"/>
                <w:sz w:val="21"/>
                <w:szCs w:val="21"/>
                <w:lang w:eastAsia="en-US"/>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林业产业总面积</w:t>
            </w:r>
            <w:r>
              <w:rPr>
                <w:rFonts w:ascii="Times New Roman" w:hAnsi="Times New Roman" w:eastAsia="Times New Roman" w:cs="Times New Roman"/>
                <w:snapToGrid w:val="0"/>
                <w:color w:val="auto"/>
                <w:spacing w:val="-1"/>
                <w:kern w:val="0"/>
                <w:sz w:val="24"/>
                <w:szCs w:val="24"/>
                <w:lang w:eastAsia="en-US"/>
              </w:rPr>
              <w:t>6000</w:t>
            </w:r>
            <w:r>
              <w:rPr>
                <w:rFonts w:ascii="宋体" w:hAnsi="宋体" w:eastAsia="宋体" w:cs="宋体"/>
                <w:snapToGrid w:val="0"/>
                <w:color w:val="auto"/>
                <w:spacing w:val="-1"/>
                <w:kern w:val="0"/>
                <w:sz w:val="24"/>
                <w:szCs w:val="24"/>
                <w:lang w:eastAsia="en-US"/>
              </w:rPr>
              <w:t>亩，按计划实施年度</w:t>
            </w:r>
            <w:r>
              <w:rPr>
                <w:rFonts w:ascii="宋体" w:hAnsi="宋体" w:eastAsia="宋体" w:cs="宋体"/>
                <w:snapToGrid w:val="0"/>
                <w:color w:val="auto"/>
                <w:spacing w:val="-2"/>
                <w:kern w:val="0"/>
                <w:sz w:val="24"/>
                <w:szCs w:val="24"/>
                <w:lang w:eastAsia="en-US"/>
              </w:rPr>
              <w:t>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1"/>
                <w:kern w:val="0"/>
                <w:sz w:val="24"/>
                <w:szCs w:val="24"/>
                <w:lang w:eastAsia="en-US"/>
              </w:rPr>
              <w:t>1</w:t>
            </w:r>
            <w:r>
              <w:rPr>
                <w:rFonts w:ascii="宋体" w:hAnsi="宋体" w:eastAsia="宋体" w:cs="宋体"/>
                <w:snapToGrid w:val="0"/>
                <w:color w:val="auto"/>
                <w:spacing w:val="-1"/>
                <w:kern w:val="0"/>
                <w:sz w:val="24"/>
                <w:szCs w:val="24"/>
                <w:lang w:eastAsia="en-US"/>
              </w:rPr>
              <w:t>）</w:t>
            </w:r>
            <w:r>
              <w:rPr>
                <w:rFonts w:hint="eastAsia" w:ascii="Times New Roman" w:hAnsi="Times New Roman" w:eastAsia="宋体" w:cs="Times New Roman"/>
                <w:snapToGrid w:val="0"/>
                <w:color w:val="auto"/>
                <w:spacing w:val="-1"/>
                <w:kern w:val="0"/>
                <w:sz w:val="24"/>
                <w:szCs w:val="24"/>
                <w:lang w:val="en-US" w:eastAsia="zh-CN"/>
              </w:rPr>
              <w:t>第二年</w:t>
            </w:r>
            <w:r>
              <w:rPr>
                <w:rFonts w:ascii="宋体" w:hAnsi="宋体" w:eastAsia="宋体" w:cs="宋体"/>
                <w:snapToGrid w:val="0"/>
                <w:color w:val="auto"/>
                <w:spacing w:val="-1"/>
                <w:kern w:val="0"/>
                <w:sz w:val="24"/>
                <w:szCs w:val="24"/>
                <w:lang w:eastAsia="en-US"/>
              </w:rPr>
              <w:t>计划实施</w:t>
            </w:r>
            <w:r>
              <w:rPr>
                <w:rFonts w:ascii="Times New Roman" w:hAnsi="Times New Roman" w:eastAsia="Times New Roman" w:cs="Times New Roman"/>
                <w:snapToGrid w:val="0"/>
                <w:color w:val="auto"/>
                <w:spacing w:val="-1"/>
                <w:kern w:val="0"/>
                <w:sz w:val="24"/>
                <w:szCs w:val="24"/>
                <w:lang w:eastAsia="en-US"/>
              </w:rPr>
              <w:t>1625.1</w:t>
            </w:r>
            <w:r>
              <w:rPr>
                <w:rFonts w:ascii="宋体" w:hAnsi="宋体" w:eastAsia="宋体" w:cs="宋体"/>
                <w:snapToGrid w:val="0"/>
                <w:color w:val="auto"/>
                <w:spacing w:val="-1"/>
                <w:kern w:val="0"/>
                <w:sz w:val="24"/>
                <w:szCs w:val="24"/>
                <w:lang w:eastAsia="en-US"/>
              </w:rPr>
              <w:t>亩，占林</w:t>
            </w:r>
            <w:r>
              <w:rPr>
                <w:rFonts w:ascii="宋体" w:hAnsi="宋体" w:eastAsia="宋体" w:cs="宋体"/>
                <w:snapToGrid w:val="0"/>
                <w:color w:val="auto"/>
                <w:spacing w:val="-2"/>
                <w:kern w:val="0"/>
                <w:sz w:val="24"/>
                <w:szCs w:val="24"/>
                <w:lang w:eastAsia="en-US"/>
              </w:rPr>
              <w:t>业产业总面积</w:t>
            </w:r>
            <w:r>
              <w:rPr>
                <w:rFonts w:ascii="Times New Roman" w:hAnsi="Times New Roman" w:eastAsia="Times New Roman" w:cs="Times New Roman"/>
                <w:snapToGrid w:val="0"/>
                <w:color w:val="auto"/>
                <w:spacing w:val="-2"/>
                <w:kern w:val="0"/>
                <w:sz w:val="24"/>
                <w:szCs w:val="24"/>
                <w:lang w:eastAsia="en-US"/>
              </w:rPr>
              <w:t>27.09%</w:t>
            </w:r>
            <w:r>
              <w:rPr>
                <w:rFonts w:ascii="宋体" w:hAnsi="宋体" w:eastAsia="宋体" w:cs="宋体"/>
                <w:snapToGrid w:val="0"/>
                <w:color w:val="auto"/>
                <w:spacing w:val="-2"/>
                <w:kern w:val="0"/>
                <w:sz w:val="24"/>
                <w:szCs w:val="24"/>
                <w:lang w:eastAsia="en-US"/>
              </w:rPr>
              <w:t>，其中林</w:t>
            </w:r>
            <w:r>
              <w:rPr>
                <w:rFonts w:ascii="宋体" w:hAnsi="宋体" w:eastAsia="宋体" w:cs="宋体"/>
                <w:snapToGrid w:val="0"/>
                <w:color w:val="auto"/>
                <w:spacing w:val="-4"/>
                <w:kern w:val="0"/>
                <w:sz w:val="24"/>
                <w:szCs w:val="24"/>
                <w:lang w:eastAsia="en-US"/>
              </w:rPr>
              <w:t>药</w:t>
            </w:r>
            <w:r>
              <w:rPr>
                <w:rFonts w:ascii="Times New Roman" w:hAnsi="Times New Roman" w:eastAsia="Times New Roman" w:cs="Times New Roman"/>
                <w:snapToGrid w:val="0"/>
                <w:color w:val="auto"/>
                <w:spacing w:val="-4"/>
                <w:kern w:val="0"/>
                <w:sz w:val="24"/>
                <w:szCs w:val="24"/>
                <w:lang w:eastAsia="en-US"/>
              </w:rPr>
              <w:t>1435.4</w:t>
            </w:r>
            <w:r>
              <w:rPr>
                <w:rFonts w:ascii="宋体" w:hAnsi="宋体" w:eastAsia="宋体" w:cs="宋体"/>
                <w:snapToGrid w:val="0"/>
                <w:color w:val="auto"/>
                <w:spacing w:val="-4"/>
                <w:kern w:val="0"/>
                <w:sz w:val="24"/>
                <w:szCs w:val="24"/>
                <w:lang w:eastAsia="en-US"/>
              </w:rPr>
              <w:t>亩、林菌</w:t>
            </w:r>
            <w:r>
              <w:rPr>
                <w:rFonts w:ascii="Times New Roman" w:hAnsi="Times New Roman" w:eastAsia="Times New Roman" w:cs="Times New Roman"/>
                <w:snapToGrid w:val="0"/>
                <w:color w:val="auto"/>
                <w:spacing w:val="-4"/>
                <w:kern w:val="0"/>
                <w:sz w:val="24"/>
                <w:szCs w:val="24"/>
                <w:lang w:eastAsia="en-US"/>
              </w:rPr>
              <w:t>189.7</w:t>
            </w:r>
            <w:r>
              <w:rPr>
                <w:rFonts w:ascii="宋体" w:hAnsi="宋体" w:eastAsia="宋体" w:cs="宋体"/>
                <w:snapToGrid w:val="0"/>
                <w:color w:val="auto"/>
                <w:spacing w:val="-4"/>
                <w:kern w:val="0"/>
                <w:sz w:val="24"/>
                <w:szCs w:val="24"/>
                <w:lang w:eastAsia="en-US"/>
              </w:rPr>
              <w:t>亩；</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3"/>
                <w:kern w:val="0"/>
                <w:sz w:val="24"/>
                <w:szCs w:val="24"/>
                <w:lang w:eastAsia="en-US"/>
              </w:rPr>
              <w:t>2</w:t>
            </w:r>
            <w:r>
              <w:rPr>
                <w:rFonts w:ascii="宋体" w:hAnsi="宋体" w:eastAsia="宋体" w:cs="宋体"/>
                <w:snapToGrid w:val="0"/>
                <w:color w:val="auto"/>
                <w:spacing w:val="-3"/>
                <w:kern w:val="0"/>
                <w:sz w:val="24"/>
                <w:szCs w:val="24"/>
                <w:lang w:eastAsia="en-US"/>
              </w:rPr>
              <w:t>）</w:t>
            </w:r>
            <w:r>
              <w:rPr>
                <w:rFonts w:hint="eastAsia" w:ascii="宋体" w:hAnsi="宋体" w:eastAsia="宋体" w:cs="宋体"/>
                <w:snapToGrid w:val="0"/>
                <w:color w:val="auto"/>
                <w:spacing w:val="-3"/>
                <w:kern w:val="0"/>
                <w:sz w:val="24"/>
                <w:szCs w:val="24"/>
                <w:lang w:eastAsia="en-US"/>
              </w:rPr>
              <w:t>第三</w:t>
            </w:r>
            <w:r>
              <w:rPr>
                <w:rFonts w:ascii="宋体" w:hAnsi="宋体" w:eastAsia="宋体" w:cs="宋体"/>
                <w:snapToGrid w:val="0"/>
                <w:color w:val="auto"/>
                <w:spacing w:val="-3"/>
                <w:kern w:val="0"/>
                <w:sz w:val="24"/>
                <w:szCs w:val="24"/>
                <w:lang w:eastAsia="en-US"/>
              </w:rPr>
              <w:t>年计划实施</w:t>
            </w:r>
            <w:r>
              <w:rPr>
                <w:rFonts w:ascii="Times New Roman" w:hAnsi="Times New Roman" w:eastAsia="Times New Roman" w:cs="Times New Roman"/>
                <w:snapToGrid w:val="0"/>
                <w:color w:val="auto"/>
                <w:spacing w:val="-3"/>
                <w:kern w:val="0"/>
                <w:sz w:val="24"/>
                <w:szCs w:val="24"/>
                <w:lang w:eastAsia="en-US"/>
              </w:rPr>
              <w:t>983.1</w:t>
            </w:r>
            <w:r>
              <w:rPr>
                <w:rFonts w:ascii="宋体" w:hAnsi="宋体" w:eastAsia="宋体" w:cs="宋体"/>
                <w:snapToGrid w:val="0"/>
                <w:color w:val="auto"/>
                <w:spacing w:val="-3"/>
                <w:kern w:val="0"/>
                <w:sz w:val="24"/>
                <w:szCs w:val="24"/>
                <w:lang w:eastAsia="en-US"/>
              </w:rPr>
              <w:t>亩，占</w:t>
            </w:r>
            <w:r>
              <w:rPr>
                <w:rFonts w:ascii="Times New Roman" w:hAnsi="Times New Roman" w:eastAsia="Times New Roman" w:cs="Times New Roman"/>
                <w:snapToGrid w:val="0"/>
                <w:color w:val="auto"/>
                <w:spacing w:val="-3"/>
                <w:kern w:val="0"/>
                <w:sz w:val="24"/>
                <w:szCs w:val="24"/>
                <w:lang w:eastAsia="en-US"/>
              </w:rPr>
              <w:t>16.39%</w:t>
            </w:r>
            <w:r>
              <w:rPr>
                <w:rFonts w:ascii="宋体" w:hAnsi="宋体" w:eastAsia="宋体" w:cs="宋体"/>
                <w:snapToGrid w:val="0"/>
                <w:color w:val="auto"/>
                <w:spacing w:val="-3"/>
                <w:kern w:val="0"/>
                <w:sz w:val="24"/>
                <w:szCs w:val="24"/>
                <w:lang w:eastAsia="en-US"/>
              </w:rPr>
              <w:t>，全部为林药；</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3"/>
                <w:kern w:val="0"/>
                <w:sz w:val="24"/>
                <w:szCs w:val="24"/>
                <w:lang w:eastAsia="en-US"/>
              </w:rPr>
              <w:t>3</w:t>
            </w:r>
            <w:r>
              <w:rPr>
                <w:rFonts w:ascii="宋体" w:hAnsi="宋体" w:eastAsia="宋体" w:cs="宋体"/>
                <w:snapToGrid w:val="0"/>
                <w:color w:val="auto"/>
                <w:spacing w:val="-3"/>
                <w:kern w:val="0"/>
                <w:sz w:val="24"/>
                <w:szCs w:val="24"/>
                <w:lang w:eastAsia="en-US"/>
              </w:rPr>
              <w:t>）</w:t>
            </w:r>
            <w:r>
              <w:rPr>
                <w:rFonts w:hint="eastAsia" w:ascii="Times New Roman" w:hAnsi="Times New Roman" w:eastAsia="宋体" w:cs="Times New Roman"/>
                <w:snapToGrid w:val="0"/>
                <w:color w:val="auto"/>
                <w:spacing w:val="-3"/>
                <w:kern w:val="0"/>
                <w:sz w:val="24"/>
                <w:szCs w:val="24"/>
                <w:lang w:val="en-US" w:eastAsia="zh-CN"/>
              </w:rPr>
              <w:t>第四</w:t>
            </w:r>
            <w:r>
              <w:rPr>
                <w:rFonts w:ascii="宋体" w:hAnsi="宋体" w:eastAsia="宋体" w:cs="宋体"/>
                <w:snapToGrid w:val="0"/>
                <w:color w:val="auto"/>
                <w:spacing w:val="-3"/>
                <w:kern w:val="0"/>
                <w:sz w:val="24"/>
                <w:szCs w:val="24"/>
                <w:lang w:eastAsia="en-US"/>
              </w:rPr>
              <w:t>年计划实施</w:t>
            </w:r>
            <w:r>
              <w:rPr>
                <w:rFonts w:ascii="Times New Roman" w:hAnsi="Times New Roman" w:eastAsia="Times New Roman" w:cs="Times New Roman"/>
                <w:snapToGrid w:val="0"/>
                <w:color w:val="auto"/>
                <w:spacing w:val="-3"/>
                <w:kern w:val="0"/>
                <w:sz w:val="24"/>
                <w:szCs w:val="24"/>
                <w:lang w:eastAsia="en-US"/>
              </w:rPr>
              <w:t>1072.64</w:t>
            </w:r>
            <w:r>
              <w:rPr>
                <w:rFonts w:ascii="宋体" w:hAnsi="宋体" w:eastAsia="宋体" w:cs="宋体"/>
                <w:snapToGrid w:val="0"/>
                <w:color w:val="auto"/>
                <w:spacing w:val="-3"/>
                <w:kern w:val="0"/>
                <w:sz w:val="24"/>
                <w:szCs w:val="24"/>
                <w:lang w:eastAsia="en-US"/>
              </w:rPr>
              <w:t>亩，占</w:t>
            </w:r>
            <w:r>
              <w:rPr>
                <w:rFonts w:ascii="Times New Roman" w:hAnsi="Times New Roman" w:eastAsia="Times New Roman" w:cs="Times New Roman"/>
                <w:snapToGrid w:val="0"/>
                <w:color w:val="auto"/>
                <w:spacing w:val="-3"/>
                <w:kern w:val="0"/>
                <w:sz w:val="24"/>
                <w:szCs w:val="24"/>
                <w:lang w:eastAsia="en-US"/>
              </w:rPr>
              <w:t>17.88%</w:t>
            </w:r>
            <w:r>
              <w:rPr>
                <w:rFonts w:ascii="宋体" w:hAnsi="宋体" w:eastAsia="宋体" w:cs="宋体"/>
                <w:snapToGrid w:val="0"/>
                <w:color w:val="auto"/>
                <w:spacing w:val="-3"/>
                <w:kern w:val="0"/>
                <w:sz w:val="24"/>
                <w:szCs w:val="24"/>
                <w:lang w:eastAsia="en-US"/>
              </w:rPr>
              <w:t>，其中林药</w:t>
            </w:r>
            <w:r>
              <w:rPr>
                <w:rFonts w:ascii="Times New Roman" w:hAnsi="Times New Roman" w:eastAsia="Times New Roman" w:cs="Times New Roman"/>
                <w:snapToGrid w:val="0"/>
                <w:color w:val="auto"/>
                <w:spacing w:val="-3"/>
                <w:kern w:val="0"/>
                <w:sz w:val="24"/>
                <w:szCs w:val="24"/>
                <w:lang w:eastAsia="en-US"/>
              </w:rPr>
              <w:t>755.9</w:t>
            </w:r>
            <w:r>
              <w:rPr>
                <w:rFonts w:ascii="宋体" w:hAnsi="宋体" w:eastAsia="宋体" w:cs="宋体"/>
                <w:snapToGrid w:val="0"/>
                <w:color w:val="auto"/>
                <w:spacing w:val="-3"/>
                <w:kern w:val="0"/>
                <w:sz w:val="24"/>
                <w:szCs w:val="24"/>
                <w:lang w:eastAsia="en-US"/>
              </w:rPr>
              <w:t>亩、林菌</w:t>
            </w:r>
            <w:r>
              <w:rPr>
                <w:rFonts w:ascii="Times New Roman" w:hAnsi="Times New Roman" w:eastAsia="Times New Roman" w:cs="Times New Roman"/>
                <w:snapToGrid w:val="0"/>
                <w:color w:val="auto"/>
                <w:spacing w:val="-3"/>
                <w:kern w:val="0"/>
                <w:sz w:val="24"/>
                <w:szCs w:val="24"/>
                <w:lang w:eastAsia="en-US"/>
              </w:rPr>
              <w:t>316.74</w:t>
            </w:r>
            <w:r>
              <w:rPr>
                <w:rFonts w:ascii="宋体" w:hAnsi="宋体" w:eastAsia="宋体" w:cs="宋体"/>
                <w:snapToGrid w:val="0"/>
                <w:color w:val="auto"/>
                <w:spacing w:val="-3"/>
                <w:kern w:val="0"/>
                <w:sz w:val="24"/>
                <w:szCs w:val="24"/>
                <w:lang w:eastAsia="en-US"/>
              </w:rPr>
              <w:t>亩；</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left"/>
              <w:textAlignment w:val="baseline"/>
              <w:rPr>
                <w:rFonts w:ascii="宋体" w:hAnsi="宋体" w:eastAsia="宋体" w:cs="宋体"/>
                <w:snapToGrid w:val="0"/>
                <w:color w:val="auto"/>
                <w:kern w:val="0"/>
                <w:sz w:val="24"/>
                <w:szCs w:val="24"/>
                <w:lang w:eastAsia="en-US"/>
              </w:rPr>
            </w:pPr>
            <w:r>
              <w:rPr>
                <w:rFonts w:ascii="Times New Roman" w:hAnsi="Times New Roman" w:eastAsia="Times New Roman" w:cs="Times New Roman"/>
                <w:snapToGrid w:val="0"/>
                <w:color w:val="auto"/>
                <w:spacing w:val="-2"/>
                <w:kern w:val="0"/>
                <w:sz w:val="24"/>
                <w:szCs w:val="24"/>
                <w:lang w:eastAsia="en-US"/>
              </w:rPr>
              <w:t>4</w:t>
            </w:r>
            <w:r>
              <w:rPr>
                <w:rFonts w:ascii="宋体" w:hAnsi="宋体" w:eastAsia="宋体" w:cs="宋体"/>
                <w:snapToGrid w:val="0"/>
                <w:color w:val="auto"/>
                <w:spacing w:val="-2"/>
                <w:kern w:val="0"/>
                <w:sz w:val="24"/>
                <w:szCs w:val="24"/>
                <w:lang w:eastAsia="en-US"/>
              </w:rPr>
              <w:t>）</w:t>
            </w:r>
            <w:r>
              <w:rPr>
                <w:rFonts w:hint="eastAsia" w:ascii="Times New Roman" w:hAnsi="Times New Roman" w:eastAsia="宋体" w:cs="Times New Roman"/>
                <w:snapToGrid w:val="0"/>
                <w:color w:val="auto"/>
                <w:spacing w:val="-2"/>
                <w:kern w:val="0"/>
                <w:sz w:val="24"/>
                <w:szCs w:val="24"/>
                <w:lang w:val="en-US" w:eastAsia="zh-CN"/>
              </w:rPr>
              <w:t>第五</w:t>
            </w:r>
            <w:r>
              <w:rPr>
                <w:rFonts w:ascii="宋体" w:hAnsi="宋体" w:eastAsia="宋体" w:cs="宋体"/>
                <w:snapToGrid w:val="0"/>
                <w:color w:val="auto"/>
                <w:spacing w:val="-2"/>
                <w:kern w:val="0"/>
                <w:sz w:val="24"/>
                <w:szCs w:val="24"/>
                <w:lang w:eastAsia="en-US"/>
              </w:rPr>
              <w:t>年计划实施</w:t>
            </w:r>
            <w:r>
              <w:rPr>
                <w:rFonts w:ascii="宋体" w:hAnsi="宋体" w:eastAsia="宋体" w:cs="宋体"/>
                <w:snapToGrid w:val="0"/>
                <w:color w:val="auto"/>
                <w:spacing w:val="-60"/>
                <w:kern w:val="0"/>
                <w:sz w:val="24"/>
                <w:szCs w:val="24"/>
                <w:lang w:eastAsia="en-US"/>
              </w:rPr>
              <w:t xml:space="preserve"> </w:t>
            </w:r>
            <w:r>
              <w:rPr>
                <w:rFonts w:ascii="Times New Roman" w:hAnsi="Times New Roman" w:eastAsia="Times New Roman" w:cs="Times New Roman"/>
                <w:snapToGrid w:val="0"/>
                <w:color w:val="auto"/>
                <w:spacing w:val="-2"/>
                <w:kern w:val="0"/>
                <w:sz w:val="24"/>
                <w:szCs w:val="24"/>
                <w:lang w:eastAsia="en-US"/>
              </w:rPr>
              <w:t>750.5</w:t>
            </w:r>
            <w:r>
              <w:rPr>
                <w:rFonts w:ascii="宋体" w:hAnsi="宋体" w:eastAsia="宋体" w:cs="宋体"/>
                <w:snapToGrid w:val="0"/>
                <w:color w:val="auto"/>
                <w:spacing w:val="-2"/>
                <w:kern w:val="0"/>
                <w:sz w:val="24"/>
                <w:szCs w:val="24"/>
                <w:lang w:eastAsia="en-US"/>
              </w:rPr>
              <w:t>亩，占</w:t>
            </w:r>
            <w:r>
              <w:rPr>
                <w:rFonts w:ascii="Times New Roman" w:hAnsi="Times New Roman" w:eastAsia="Times New Roman" w:cs="Times New Roman"/>
                <w:snapToGrid w:val="0"/>
                <w:color w:val="auto"/>
                <w:spacing w:val="-2"/>
                <w:kern w:val="0"/>
                <w:sz w:val="24"/>
                <w:szCs w:val="24"/>
                <w:lang w:eastAsia="en-US"/>
              </w:rPr>
              <w:t>12.50%</w:t>
            </w:r>
            <w:r>
              <w:rPr>
                <w:rFonts w:ascii="宋体" w:hAnsi="宋体" w:eastAsia="宋体" w:cs="宋体"/>
                <w:snapToGrid w:val="0"/>
                <w:color w:val="auto"/>
                <w:spacing w:val="-2"/>
                <w:kern w:val="0"/>
                <w:sz w:val="24"/>
                <w:szCs w:val="24"/>
                <w:lang w:eastAsia="en-US"/>
              </w:rPr>
              <w:t>，其</w:t>
            </w:r>
            <w:r>
              <w:rPr>
                <w:rFonts w:ascii="宋体" w:hAnsi="宋体" w:eastAsia="宋体" w:cs="宋体"/>
                <w:snapToGrid w:val="0"/>
                <w:color w:val="auto"/>
                <w:spacing w:val="-3"/>
                <w:kern w:val="0"/>
                <w:sz w:val="24"/>
                <w:szCs w:val="24"/>
                <w:lang w:eastAsia="en-US"/>
              </w:rPr>
              <w:t>中林药</w:t>
            </w:r>
            <w:r>
              <w:rPr>
                <w:rFonts w:ascii="Times New Roman" w:hAnsi="Times New Roman" w:eastAsia="Times New Roman" w:cs="Times New Roman"/>
                <w:snapToGrid w:val="0"/>
                <w:color w:val="auto"/>
                <w:spacing w:val="-3"/>
                <w:kern w:val="0"/>
                <w:sz w:val="24"/>
                <w:szCs w:val="24"/>
                <w:lang w:eastAsia="en-US"/>
              </w:rPr>
              <w:t>456.2</w:t>
            </w:r>
            <w:r>
              <w:rPr>
                <w:rFonts w:ascii="宋体" w:hAnsi="宋体" w:eastAsia="宋体" w:cs="宋体"/>
                <w:snapToGrid w:val="0"/>
                <w:color w:val="auto"/>
                <w:spacing w:val="-3"/>
                <w:kern w:val="0"/>
                <w:sz w:val="24"/>
                <w:szCs w:val="24"/>
                <w:lang w:eastAsia="en-US"/>
              </w:rPr>
              <w:t>亩、林菌</w:t>
            </w:r>
            <w:r>
              <w:rPr>
                <w:rFonts w:ascii="Times New Roman" w:hAnsi="Times New Roman" w:eastAsia="Times New Roman" w:cs="Times New Roman"/>
                <w:snapToGrid w:val="0"/>
                <w:color w:val="auto"/>
                <w:spacing w:val="-1"/>
                <w:kern w:val="0"/>
                <w:sz w:val="24"/>
                <w:szCs w:val="24"/>
                <w:lang w:eastAsia="en-US"/>
              </w:rPr>
              <w:t>294.3</w:t>
            </w:r>
            <w:r>
              <w:rPr>
                <w:rFonts w:ascii="宋体" w:hAnsi="宋体" w:eastAsia="宋体" w:cs="宋体"/>
                <w:snapToGrid w:val="0"/>
                <w:color w:val="auto"/>
                <w:spacing w:val="-1"/>
                <w:kern w:val="0"/>
                <w:sz w:val="24"/>
                <w:szCs w:val="24"/>
                <w:lang w:eastAsia="en-US"/>
              </w:rPr>
              <w:t>亩；</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jc w:val="left"/>
              <w:textAlignment w:val="baseline"/>
              <w:rPr>
                <w:rFonts w:hint="default" w:ascii="Times New Roman" w:hAnsi="Times New Roman" w:eastAsia="宋体" w:cs="Times New Roman"/>
                <w:snapToGrid w:val="0"/>
                <w:color w:val="auto"/>
                <w:spacing w:val="-2"/>
                <w:kern w:val="0"/>
                <w:sz w:val="24"/>
                <w:szCs w:val="24"/>
                <w:lang w:eastAsia="en-US"/>
              </w:rPr>
            </w:pPr>
            <w:r>
              <w:rPr>
                <w:rFonts w:ascii="Times New Roman" w:hAnsi="Times New Roman" w:eastAsia="Times New Roman" w:cs="Times New Roman"/>
                <w:snapToGrid w:val="0"/>
                <w:color w:val="auto"/>
                <w:spacing w:val="-5"/>
                <w:kern w:val="0"/>
                <w:sz w:val="24"/>
                <w:szCs w:val="24"/>
                <w:lang w:eastAsia="en-US"/>
              </w:rPr>
              <w:t>5</w:t>
            </w:r>
            <w:r>
              <w:rPr>
                <w:rFonts w:ascii="宋体" w:hAnsi="宋体" w:eastAsia="宋体" w:cs="宋体"/>
                <w:snapToGrid w:val="0"/>
                <w:color w:val="auto"/>
                <w:spacing w:val="-5"/>
                <w:kern w:val="0"/>
                <w:sz w:val="24"/>
                <w:szCs w:val="24"/>
                <w:lang w:eastAsia="en-US"/>
              </w:rPr>
              <w:t>）</w:t>
            </w:r>
            <w:r>
              <w:rPr>
                <w:rFonts w:hint="eastAsia" w:ascii="Times New Roman" w:hAnsi="Times New Roman" w:eastAsia="宋体" w:cs="Times New Roman"/>
                <w:snapToGrid w:val="0"/>
                <w:color w:val="auto"/>
                <w:spacing w:val="-5"/>
                <w:kern w:val="0"/>
                <w:sz w:val="24"/>
                <w:szCs w:val="24"/>
                <w:lang w:val="en-US" w:eastAsia="zh-CN"/>
              </w:rPr>
              <w:t>第六</w:t>
            </w:r>
            <w:r>
              <w:rPr>
                <w:rFonts w:ascii="宋体" w:hAnsi="宋体" w:eastAsia="宋体" w:cs="宋体"/>
                <w:snapToGrid w:val="0"/>
                <w:color w:val="auto"/>
                <w:spacing w:val="-5"/>
                <w:kern w:val="0"/>
                <w:sz w:val="24"/>
                <w:szCs w:val="24"/>
                <w:lang w:eastAsia="en-US"/>
              </w:rPr>
              <w:t>年计划实施</w:t>
            </w:r>
            <w:r>
              <w:rPr>
                <w:rFonts w:ascii="Times New Roman" w:hAnsi="Times New Roman" w:eastAsia="Times New Roman" w:cs="Times New Roman"/>
                <w:snapToGrid w:val="0"/>
                <w:color w:val="auto"/>
                <w:spacing w:val="-5"/>
                <w:kern w:val="0"/>
                <w:sz w:val="24"/>
                <w:szCs w:val="24"/>
                <w:lang w:eastAsia="en-US"/>
              </w:rPr>
              <w:t>1568.66</w:t>
            </w:r>
            <w:r>
              <w:rPr>
                <w:rFonts w:ascii="宋体" w:hAnsi="宋体" w:eastAsia="宋体" w:cs="宋体"/>
                <w:snapToGrid w:val="0"/>
                <w:color w:val="auto"/>
                <w:spacing w:val="-5"/>
                <w:kern w:val="0"/>
                <w:sz w:val="24"/>
                <w:szCs w:val="24"/>
                <w:lang w:eastAsia="en-US"/>
              </w:rPr>
              <w:t>亩，占</w:t>
            </w:r>
            <w:r>
              <w:rPr>
                <w:rFonts w:ascii="Times New Roman" w:hAnsi="Times New Roman" w:eastAsia="Times New Roman" w:cs="Times New Roman"/>
                <w:snapToGrid w:val="0"/>
                <w:color w:val="auto"/>
                <w:spacing w:val="-5"/>
                <w:kern w:val="0"/>
                <w:sz w:val="24"/>
                <w:szCs w:val="24"/>
                <w:lang w:eastAsia="en-US"/>
              </w:rPr>
              <w:t>26.14%</w:t>
            </w:r>
            <w:r>
              <w:rPr>
                <w:rFonts w:ascii="宋体" w:hAnsi="宋体" w:eastAsia="宋体" w:cs="宋体"/>
                <w:snapToGrid w:val="0"/>
                <w:color w:val="auto"/>
                <w:spacing w:val="-5"/>
                <w:kern w:val="0"/>
                <w:sz w:val="24"/>
                <w:szCs w:val="24"/>
                <w:lang w:eastAsia="en-US"/>
              </w:rPr>
              <w:t>，其中林药</w:t>
            </w:r>
            <w:r>
              <w:rPr>
                <w:rFonts w:ascii="Times New Roman" w:hAnsi="Times New Roman" w:eastAsia="Times New Roman" w:cs="Times New Roman"/>
                <w:snapToGrid w:val="0"/>
                <w:color w:val="auto"/>
                <w:spacing w:val="-5"/>
                <w:kern w:val="0"/>
                <w:sz w:val="24"/>
                <w:szCs w:val="24"/>
                <w:lang w:eastAsia="en-US"/>
              </w:rPr>
              <w:t>1369.34</w:t>
            </w:r>
            <w:r>
              <w:rPr>
                <w:rFonts w:ascii="宋体" w:hAnsi="宋体" w:eastAsia="宋体" w:cs="宋体"/>
                <w:snapToGrid w:val="0"/>
                <w:color w:val="auto"/>
                <w:spacing w:val="-5"/>
                <w:kern w:val="0"/>
                <w:sz w:val="24"/>
                <w:szCs w:val="24"/>
                <w:lang w:eastAsia="en-US"/>
              </w:rPr>
              <w:t>亩、</w:t>
            </w:r>
            <w:r>
              <w:rPr>
                <w:rFonts w:ascii="宋体" w:hAnsi="宋体" w:eastAsia="宋体" w:cs="宋体"/>
                <w:snapToGrid w:val="0"/>
                <w:color w:val="auto"/>
                <w:spacing w:val="-4"/>
                <w:kern w:val="0"/>
                <w:sz w:val="24"/>
                <w:szCs w:val="24"/>
                <w:lang w:eastAsia="en-US"/>
              </w:rPr>
              <w:t>林菌</w:t>
            </w:r>
            <w:r>
              <w:rPr>
                <w:rFonts w:ascii="Times New Roman" w:hAnsi="Times New Roman" w:eastAsia="Times New Roman" w:cs="Times New Roman"/>
                <w:snapToGrid w:val="0"/>
                <w:color w:val="auto"/>
                <w:spacing w:val="-4"/>
                <w:kern w:val="0"/>
                <w:sz w:val="24"/>
                <w:szCs w:val="24"/>
                <w:lang w:eastAsia="en-US"/>
              </w:rPr>
              <w:t>199.32</w:t>
            </w:r>
            <w:r>
              <w:rPr>
                <w:rFonts w:ascii="宋体" w:hAnsi="宋体" w:eastAsia="宋体" w:cs="宋体"/>
                <w:snapToGrid w:val="0"/>
                <w:color w:val="auto"/>
                <w:spacing w:val="-4"/>
                <w:kern w:val="0"/>
                <w:sz w:val="24"/>
                <w:szCs w:val="24"/>
                <w:lang w:eastAsia="en-US"/>
              </w:rPr>
              <w:t>亩。</w:t>
            </w:r>
            <w:r>
              <w:rPr>
                <w:rFonts w:hint="default" w:ascii="Times New Roman" w:hAnsi="Times New Roman" w:eastAsia="宋体" w:cs="Times New Roman"/>
                <w:snapToGrid w:val="0"/>
                <w:color w:val="auto"/>
                <w:spacing w:val="-2"/>
                <w:kern w:val="0"/>
                <w:sz w:val="24"/>
                <w:szCs w:val="24"/>
                <w:lang w:eastAsia="en-US"/>
              </w:rPr>
              <w:t>各乡镇年度计划规模见表</w:t>
            </w:r>
            <w:r>
              <w:rPr>
                <w:rFonts w:hint="default" w:ascii="Times New Roman" w:hAnsi="Times New Roman" w:eastAsia="宋体" w:cs="Times New Roman"/>
                <w:snapToGrid w:val="0"/>
                <w:color w:val="auto"/>
                <w:spacing w:val="-2"/>
                <w:kern w:val="0"/>
                <w:sz w:val="24"/>
                <w:szCs w:val="24"/>
                <w:lang w:val="en-US" w:eastAsia="zh-CN"/>
              </w:rPr>
              <w:t>2</w:t>
            </w:r>
            <w:r>
              <w:rPr>
                <w:rFonts w:hint="default" w:ascii="Times New Roman" w:hAnsi="Times New Roman" w:eastAsia="宋体" w:cs="Times New Roman"/>
                <w:snapToGrid w:val="0"/>
                <w:color w:val="auto"/>
                <w:spacing w:val="-2"/>
                <w:kern w:val="0"/>
                <w:sz w:val="24"/>
                <w:szCs w:val="24"/>
                <w:lang w:eastAsia="en-US"/>
              </w:rPr>
              <w:t>-1</w:t>
            </w:r>
            <w:r>
              <w:rPr>
                <w:rFonts w:hint="eastAsia" w:cs="Times New Roman"/>
                <w:snapToGrid w:val="0"/>
                <w:color w:val="auto"/>
                <w:spacing w:val="-2"/>
                <w:kern w:val="0"/>
                <w:sz w:val="24"/>
                <w:szCs w:val="24"/>
                <w:lang w:val="en-US" w:eastAsia="zh-CN"/>
              </w:rPr>
              <w:t>6</w:t>
            </w:r>
            <w:r>
              <w:rPr>
                <w:rFonts w:hint="default" w:ascii="Times New Roman" w:hAnsi="Times New Roman" w:eastAsia="宋体" w:cs="Times New Roman"/>
                <w:snapToGrid w:val="0"/>
                <w:color w:val="auto"/>
                <w:spacing w:val="-2"/>
                <w:kern w:val="0"/>
                <w:sz w:val="24"/>
                <w:szCs w:val="24"/>
                <w:lang w:eastAsia="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en-US"/>
              </w:rPr>
            </w:pPr>
            <w:r>
              <w:rPr>
                <w:rFonts w:hint="eastAsia" w:ascii="Times New Roman" w:hAnsi="Times New Roman" w:eastAsia="宋体" w:cs="Times New Roman"/>
                <w:b/>
                <w:bCs/>
                <w:color w:val="auto"/>
                <w:sz w:val="21"/>
                <w:szCs w:val="21"/>
                <w:lang w:val="en-US" w:eastAsia="en-US"/>
              </w:rPr>
              <w:t>表</w:t>
            </w:r>
            <w:r>
              <w:rPr>
                <w:rFonts w:hint="eastAsia" w:ascii="Times New Roman" w:hAnsi="Times New Roman" w:eastAsia="宋体"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en-US"/>
              </w:rPr>
              <w:t>-1</w:t>
            </w:r>
            <w:r>
              <w:rPr>
                <w:rFonts w:hint="eastAsia" w:cs="Times New Roman"/>
                <w:b/>
                <w:bCs/>
                <w:color w:val="auto"/>
                <w:sz w:val="21"/>
                <w:szCs w:val="21"/>
                <w:lang w:val="en-US" w:eastAsia="zh-CN"/>
              </w:rPr>
              <w:t>6</w:t>
            </w:r>
            <w:r>
              <w:rPr>
                <w:rFonts w:hint="eastAsia" w:ascii="Times New Roman" w:hAnsi="Times New Roman" w:eastAsia="宋体" w:cs="Times New Roman"/>
                <w:b/>
                <w:bCs/>
                <w:color w:val="auto"/>
                <w:sz w:val="21"/>
                <w:szCs w:val="21"/>
                <w:lang w:val="en-US" w:eastAsia="en-US"/>
              </w:rPr>
              <w:t xml:space="preserve"> 林业产业建设年度计划表  面积：亩</w:t>
            </w:r>
          </w:p>
          <w:tbl>
            <w:tblPr>
              <w:tblStyle w:val="55"/>
              <w:tblW w:w="796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9"/>
              <w:gridCol w:w="900"/>
              <w:gridCol w:w="895"/>
              <w:gridCol w:w="804"/>
              <w:gridCol w:w="756"/>
              <w:gridCol w:w="1123"/>
              <w:gridCol w:w="976"/>
              <w:gridCol w:w="8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161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片区</w:t>
                  </w:r>
                </w:p>
              </w:tc>
              <w:tc>
                <w:tcPr>
                  <w:tcW w:w="900"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建设内容</w:t>
                  </w:r>
                </w:p>
              </w:tc>
              <w:tc>
                <w:tcPr>
                  <w:tcW w:w="5450" w:type="dxa"/>
                  <w:gridSpan w:val="6"/>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实施年度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61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eastAsia" w:ascii="Times New Roman" w:hAnsi="Times New Roman" w:eastAsia="宋体" w:cs="Times New Roman"/>
                      <w:b/>
                      <w:bCs/>
                      <w:snapToGrid w:val="0"/>
                      <w:color w:val="auto"/>
                      <w:spacing w:val="-2"/>
                      <w:kern w:val="0"/>
                      <w:sz w:val="21"/>
                      <w:szCs w:val="21"/>
                      <w:lang w:val="en-US" w:eastAsia="zh-CN"/>
                    </w:rPr>
                    <w:t>总计</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val="en-US" w:eastAsia="en-US"/>
                    </w:rPr>
                  </w:pPr>
                  <w:r>
                    <w:rPr>
                      <w:rFonts w:hint="eastAsia" w:ascii="Times New Roman" w:hAnsi="Times New Roman" w:eastAsia="宋体" w:cs="Times New Roman"/>
                      <w:b/>
                      <w:bCs/>
                      <w:snapToGrid w:val="0"/>
                      <w:color w:val="auto"/>
                      <w:spacing w:val="-2"/>
                      <w:kern w:val="0"/>
                      <w:sz w:val="21"/>
                      <w:szCs w:val="21"/>
                      <w:lang w:val="en-US" w:eastAsia="zh-CN"/>
                    </w:rPr>
                    <w:t>第二</w:t>
                  </w:r>
                  <w:r>
                    <w:rPr>
                      <w:rFonts w:hint="default" w:ascii="Times New Roman" w:hAnsi="Times New Roman" w:eastAsia="宋体" w:cs="Times New Roman"/>
                      <w:b/>
                      <w:bCs/>
                      <w:snapToGrid w:val="0"/>
                      <w:color w:val="auto"/>
                      <w:spacing w:val="-2"/>
                      <w:kern w:val="0"/>
                      <w:sz w:val="21"/>
                      <w:szCs w:val="21"/>
                      <w:lang w:eastAsia="en-US"/>
                    </w:rPr>
                    <w:t>年</w:t>
                  </w: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val="en-US" w:eastAsia="en-US"/>
                    </w:rPr>
                  </w:pPr>
                  <w:r>
                    <w:rPr>
                      <w:rFonts w:hint="eastAsia" w:ascii="Times New Roman" w:hAnsi="Times New Roman" w:eastAsia="宋体" w:cs="Times New Roman"/>
                      <w:b/>
                      <w:bCs/>
                      <w:snapToGrid w:val="0"/>
                      <w:color w:val="auto"/>
                      <w:spacing w:val="-2"/>
                      <w:kern w:val="0"/>
                      <w:sz w:val="21"/>
                      <w:szCs w:val="21"/>
                      <w:lang w:val="en-US" w:eastAsia="zh-CN"/>
                    </w:rPr>
                    <w:t>第三</w:t>
                  </w:r>
                  <w:r>
                    <w:rPr>
                      <w:rFonts w:hint="default" w:ascii="Times New Roman" w:hAnsi="Times New Roman" w:eastAsia="宋体" w:cs="Times New Roman"/>
                      <w:b/>
                      <w:bCs/>
                      <w:snapToGrid w:val="0"/>
                      <w:color w:val="auto"/>
                      <w:spacing w:val="-2"/>
                      <w:kern w:val="0"/>
                      <w:sz w:val="21"/>
                      <w:szCs w:val="21"/>
                      <w:lang w:eastAsia="en-US"/>
                    </w:rPr>
                    <w:t>年</w:t>
                  </w: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val="en-US" w:eastAsia="en-US"/>
                    </w:rPr>
                  </w:pPr>
                  <w:r>
                    <w:rPr>
                      <w:rFonts w:hint="eastAsia" w:ascii="Times New Roman" w:hAnsi="Times New Roman" w:eastAsia="宋体" w:cs="Times New Roman"/>
                      <w:b/>
                      <w:bCs/>
                      <w:snapToGrid w:val="0"/>
                      <w:color w:val="auto"/>
                      <w:spacing w:val="-2"/>
                      <w:kern w:val="0"/>
                      <w:sz w:val="21"/>
                      <w:szCs w:val="21"/>
                      <w:lang w:val="en-US" w:eastAsia="zh-CN"/>
                    </w:rPr>
                    <w:t>第四</w:t>
                  </w:r>
                  <w:r>
                    <w:rPr>
                      <w:rFonts w:hint="default" w:ascii="Times New Roman" w:hAnsi="Times New Roman" w:eastAsia="宋体" w:cs="Times New Roman"/>
                      <w:b/>
                      <w:bCs/>
                      <w:snapToGrid w:val="0"/>
                      <w:color w:val="auto"/>
                      <w:spacing w:val="-2"/>
                      <w:kern w:val="0"/>
                      <w:sz w:val="21"/>
                      <w:szCs w:val="21"/>
                      <w:lang w:eastAsia="en-US"/>
                    </w:rPr>
                    <w:t>年</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val="en-US" w:eastAsia="en-US"/>
                    </w:rPr>
                  </w:pPr>
                  <w:r>
                    <w:rPr>
                      <w:rFonts w:hint="eastAsia" w:ascii="Times New Roman" w:hAnsi="Times New Roman" w:eastAsia="宋体" w:cs="Times New Roman"/>
                      <w:b/>
                      <w:bCs/>
                      <w:snapToGrid w:val="0"/>
                      <w:color w:val="auto"/>
                      <w:spacing w:val="-2"/>
                      <w:kern w:val="0"/>
                      <w:sz w:val="21"/>
                      <w:szCs w:val="21"/>
                      <w:lang w:val="en-US" w:eastAsia="zh-CN"/>
                    </w:rPr>
                    <w:t>第五</w:t>
                  </w:r>
                  <w:r>
                    <w:rPr>
                      <w:rFonts w:hint="default" w:ascii="Times New Roman" w:hAnsi="Times New Roman" w:eastAsia="宋体" w:cs="Times New Roman"/>
                      <w:b/>
                      <w:bCs/>
                      <w:snapToGrid w:val="0"/>
                      <w:color w:val="auto"/>
                      <w:spacing w:val="-2"/>
                      <w:kern w:val="0"/>
                      <w:sz w:val="21"/>
                      <w:szCs w:val="21"/>
                      <w:lang w:eastAsia="en-US"/>
                    </w:rPr>
                    <w:t>年</w:t>
                  </w: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11" w:line="222"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val="en-US" w:eastAsia="en-US"/>
                    </w:rPr>
                  </w:pPr>
                  <w:r>
                    <w:rPr>
                      <w:rFonts w:hint="eastAsia" w:ascii="Times New Roman" w:hAnsi="Times New Roman" w:eastAsia="宋体" w:cs="Times New Roman"/>
                      <w:b/>
                      <w:bCs/>
                      <w:snapToGrid w:val="0"/>
                      <w:color w:val="auto"/>
                      <w:spacing w:val="-2"/>
                      <w:kern w:val="0"/>
                      <w:sz w:val="21"/>
                      <w:szCs w:val="21"/>
                      <w:lang w:val="en-US" w:eastAsia="zh-CN"/>
                    </w:rPr>
                    <w:t>第六</w:t>
                  </w:r>
                  <w:r>
                    <w:rPr>
                      <w:rFonts w:hint="default" w:ascii="Times New Roman" w:hAnsi="Times New Roman" w:eastAsia="宋体" w:cs="Times New Roman"/>
                      <w:b/>
                      <w:bCs/>
                      <w:snapToGrid w:val="0"/>
                      <w:color w:val="auto"/>
                      <w:spacing w:val="-2"/>
                      <w:kern w:val="0"/>
                      <w:sz w:val="21"/>
                      <w:szCs w:val="21"/>
                      <w:lang w:eastAsia="en-US"/>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61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蓬溪县</w:t>
                  </w:r>
                </w:p>
              </w:tc>
              <w:tc>
                <w:tcPr>
                  <w:tcW w:w="9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合计</w:t>
                  </w: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6000</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1625.1</w:t>
                  </w: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983.1</w:t>
                  </w: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1072.64</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750.5</w:t>
                  </w: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1568.66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619"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林药</w:t>
                  </w: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4999.94</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1435.4</w:t>
                  </w: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983.1</w:t>
                  </w: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755.9</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456.2</w:t>
                  </w: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1369.34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9" w:hRule="atLeast"/>
              </w:trPr>
              <w:tc>
                <w:tcPr>
                  <w:tcW w:w="161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林菌</w:t>
                  </w: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1000.06</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189.7</w:t>
                  </w: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316.74</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294.3</w:t>
                  </w: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199.32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61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芝溪片区</w:t>
                  </w:r>
                </w:p>
              </w:tc>
              <w:tc>
                <w:tcPr>
                  <w:tcW w:w="9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合计</w:t>
                  </w: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1490.8</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392.3</w:t>
                  </w: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765.5</w:t>
                  </w: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235</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98</w:t>
                  </w: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61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林药</w:t>
                  </w: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1490.8</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392.3</w:t>
                  </w: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765.5</w:t>
                  </w: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235</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98</w:t>
                  </w: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61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常乐天福红江片区</w:t>
                  </w:r>
                </w:p>
              </w:tc>
              <w:tc>
                <w:tcPr>
                  <w:tcW w:w="9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合计</w:t>
                  </w: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2539.16</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373.4</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597.1</w:t>
                  </w: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1568.66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619"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林药</w:t>
                  </w: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2021.84</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337.1</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315.4</w:t>
                  </w: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1369.34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61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林菌</w:t>
                  </w: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517.32</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36.3</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281.7</w:t>
                  </w: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199.32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61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高峰山片区</w:t>
                  </w:r>
                </w:p>
              </w:tc>
              <w:tc>
                <w:tcPr>
                  <w:tcW w:w="9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合计</w:t>
                  </w: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175.4</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175.4</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61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林药</w:t>
                  </w: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175.4</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175.4</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61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遂潼一体化片区</w:t>
                  </w:r>
                </w:p>
              </w:tc>
              <w:tc>
                <w:tcPr>
                  <w:tcW w:w="9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合计</w:t>
                  </w: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1794.64</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1232.8</w:t>
                  </w: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217.6</w:t>
                  </w: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288.84</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55.4</w:t>
                  </w: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619"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林药</w:t>
                  </w: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1311.9</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1043.1</w:t>
                  </w: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217.6</w:t>
                  </w: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8.4</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42.8</w:t>
                  </w: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161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9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林菌</w:t>
                  </w:r>
                </w:p>
              </w:tc>
              <w:tc>
                <w:tcPr>
                  <w:tcW w:w="89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482.74</w:t>
                  </w:r>
                </w:p>
              </w:tc>
              <w:tc>
                <w:tcPr>
                  <w:tcW w:w="8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189.7</w:t>
                  </w:r>
                </w:p>
              </w:tc>
              <w:tc>
                <w:tcPr>
                  <w:tcW w:w="7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c>
                <w:tcPr>
                  <w:tcW w:w="11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280.44</w:t>
                  </w:r>
                </w:p>
              </w:tc>
              <w:tc>
                <w:tcPr>
                  <w:tcW w:w="9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r>
                    <w:rPr>
                      <w:rFonts w:hint="default" w:ascii="Times New Roman" w:hAnsi="Times New Roman" w:eastAsia="宋体" w:cs="Times New Roman"/>
                      <w:snapToGrid w:val="0"/>
                      <w:color w:val="auto"/>
                      <w:spacing w:val="-4"/>
                      <w:kern w:val="0"/>
                      <w:sz w:val="21"/>
                      <w:szCs w:val="21"/>
                      <w:lang w:eastAsia="en-US"/>
                    </w:rPr>
                    <w:t>12.6</w:t>
                  </w:r>
                </w:p>
              </w:tc>
              <w:tc>
                <w:tcPr>
                  <w:tcW w:w="8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baseline"/>
                    <w:rPr>
                      <w:rFonts w:hint="default" w:ascii="Times New Roman" w:hAnsi="Times New Roman" w:eastAsia="宋体" w:cs="Times New Roman"/>
                      <w:snapToGrid w:val="0"/>
                      <w:color w:val="auto"/>
                      <w:spacing w:val="-4"/>
                      <w:kern w:val="0"/>
                      <w:sz w:val="21"/>
                      <w:szCs w:val="21"/>
                      <w:lang w:eastAsia="en-US"/>
                    </w:rPr>
                  </w:pPr>
                </w:p>
              </w:tc>
            </w:tr>
          </w:tbl>
          <w:p>
            <w:pPr>
              <w:rPr>
                <w:color w:val="auto"/>
                <w:sz w:val="21"/>
                <w:szCs w:val="21"/>
              </w:rPr>
            </w:pPr>
            <w:r>
              <w:rPr>
                <w:rFonts w:ascii="宋体" w:hAnsi="宋体" w:eastAsia="宋体" w:cs="宋体"/>
                <w:snapToGrid w:val="0"/>
                <w:color w:val="auto"/>
                <w:spacing w:val="9"/>
                <w:kern w:val="0"/>
                <w:sz w:val="21"/>
                <w:szCs w:val="21"/>
                <w:lang w:eastAsia="en-US"/>
              </w:rPr>
              <w:t>备注：在下一步作业设计中，林业产业建设内容及规模可适量调整。</w:t>
            </w:r>
          </w:p>
          <w:p>
            <w:pPr>
              <w:rPr>
                <w:color w:val="auto"/>
              </w:rPr>
            </w:pPr>
            <w:r>
              <w:rPr>
                <w:color w:val="auto"/>
              </w:rPr>
              <w:t>施工人员及食宿情况：由于施工周期较长、人员分散，结合项目的实际情况，本项目施工人员均为附近村民，回家解决食宿。</w:t>
            </w:r>
          </w:p>
          <w:p>
            <w:pPr>
              <w:pStyle w:val="5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cs="Times New Roman"/>
                <w:snapToGrid w:val="0"/>
                <w:color w:val="auto"/>
                <w:spacing w:val="-2"/>
                <w:kern w:val="0"/>
                <w:sz w:val="24"/>
                <w:szCs w:val="24"/>
                <w:lang w:val="en-US" w:eastAsia="zh-CN"/>
              </w:rPr>
            </w:pPr>
            <w:r>
              <w:rPr>
                <w:color w:val="auto"/>
              </w:rPr>
              <w:t>施工方式：本项目施工内容包含辅助设施建设、挖穴平整、种植等，其中辅助设施建设施工方式为：人工作业+机械作业，涉及较大面积的土方开挖；挖穴平整、种植施工方式为：人工作业，主要为人工挖穴种植，土方随挖随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3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其他</w:t>
            </w:r>
          </w:p>
        </w:tc>
        <w:tc>
          <w:tcPr>
            <w:tcW w:w="8193" w:type="dxa"/>
            <w:tcBorders>
              <w:tl2br w:val="nil"/>
              <w:tr2bl w:val="nil"/>
            </w:tcBorders>
            <w:vAlign w:val="center"/>
          </w:tcPr>
          <w:p>
            <w:pPr>
              <w:rPr>
                <w:rFonts w:hint="eastAsia"/>
                <w:color w:val="auto"/>
                <w:lang w:val="en-US" w:eastAsia="zh-CN"/>
              </w:rPr>
            </w:pPr>
            <w:r>
              <w:rPr>
                <w:rFonts w:hint="eastAsia"/>
                <w:color w:val="auto"/>
                <w:lang w:val="en-US" w:eastAsia="zh-CN"/>
              </w:rPr>
              <w:t>无</w:t>
            </w:r>
          </w:p>
        </w:tc>
      </w:tr>
    </w:tbl>
    <w:p>
      <w:pPr>
        <w:keepNext w:val="0"/>
        <w:keepLines w:val="0"/>
        <w:pageBreakBefore w:val="0"/>
        <w:widowControl w:val="0"/>
        <w:kinsoku/>
        <w:wordWrap/>
        <w:overflowPunct/>
        <w:topLinePunct w:val="0"/>
        <w:autoSpaceDE/>
        <w:autoSpaceDN/>
        <w:bidi w:val="0"/>
        <w:adjustRightInd/>
        <w:snapToGrid/>
        <w:spacing w:line="60" w:lineRule="exact"/>
        <w:textAlignment w:val="auto"/>
        <w:rPr>
          <w:color w:val="auto"/>
        </w:rPr>
      </w:pPr>
    </w:p>
    <w:p>
      <w:pPr>
        <w:bidi w:val="0"/>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4"/>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lang w:val="en-US" w:eastAsia="zh-CN"/>
        </w:rPr>
      </w:pPr>
      <w:bookmarkStart w:id="7" w:name="_Toc17957"/>
      <w:r>
        <w:rPr>
          <w:rFonts w:hint="eastAsia" w:ascii="Times New Roman" w:hAnsi="Times New Roman" w:cs="Times New Roman"/>
          <w:color w:val="auto"/>
          <w:lang w:val="en-US" w:eastAsia="zh-CN"/>
        </w:rPr>
        <w:t>三、生态环境现状、保护目标及评价标准</w:t>
      </w:r>
      <w:bookmarkEnd w:id="7"/>
    </w:p>
    <w:tbl>
      <w:tblPr>
        <w:tblStyle w:val="22"/>
        <w:tblW w:w="917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3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生态环境现状</w:t>
            </w:r>
          </w:p>
        </w:tc>
        <w:tc>
          <w:tcPr>
            <w:tcW w:w="83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黑体"/>
                <w:color w:val="auto"/>
                <w:sz w:val="24"/>
                <w:szCs w:val="24"/>
                <w:lang w:val="en-US" w:eastAsia="zh-CN"/>
              </w:rPr>
            </w:pPr>
            <w:r>
              <w:rPr>
                <w:rFonts w:hint="eastAsia" w:eastAsia="黑体"/>
                <w:color w:val="auto"/>
                <w:sz w:val="24"/>
                <w:szCs w:val="24"/>
                <w:lang w:val="en-US" w:eastAsia="zh-CN"/>
              </w:rPr>
              <w:t>一、生态环境现状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黑体"/>
                <w:color w:val="auto"/>
                <w:sz w:val="24"/>
                <w:szCs w:val="24"/>
              </w:rPr>
            </w:pPr>
            <w:r>
              <w:rPr>
                <w:rFonts w:hint="eastAsia" w:eastAsia="黑体"/>
                <w:color w:val="auto"/>
                <w:sz w:val="24"/>
                <w:szCs w:val="24"/>
                <w:lang w:val="en-US" w:eastAsia="zh-CN"/>
              </w:rPr>
              <w:t>1、</w:t>
            </w:r>
            <w:r>
              <w:rPr>
                <w:rFonts w:eastAsia="黑体"/>
                <w:color w:val="auto"/>
                <w:sz w:val="24"/>
                <w:szCs w:val="24"/>
              </w:rPr>
              <w:t>与《全国生态功能区划》（2015年修编）的符合性分析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rPr>
            </w:pPr>
            <w:r>
              <w:rPr>
                <w:color w:val="auto"/>
                <w:kern w:val="0"/>
                <w:sz w:val="24"/>
                <w:szCs w:val="24"/>
              </w:rPr>
              <w:t>根据《全国生态功能区划》（2015年修编）：全国生态功能区划是在生态系统调查、生态敏感性与生态系统服务功能评价的基础上，明确其空间分布规律，确定不同区域的生态功能，提出全国生态功能区划方案，包括3大类（生态调节、产品提供及人居保障）、9个类型（水源涵养、生物多样性保护、土壤保持、防风固沙、生态调节、洪水调蓄、农产品提供、</w:t>
            </w:r>
            <w:r>
              <w:rPr>
                <w:color w:val="auto"/>
                <w:kern w:val="0"/>
                <w:sz w:val="24"/>
              </w:rPr>
              <w:t>产品提供、林产品提供、大都市群、人居保障及重点城镇群）和242个生态功能区（其中生态调节功能区148个</w:t>
            </w:r>
            <w:r>
              <w:rPr>
                <w:rFonts w:hint="eastAsia"/>
                <w:color w:val="auto"/>
                <w:kern w:val="0"/>
                <w:sz w:val="24"/>
                <w:lang w:eastAsia="zh-CN"/>
              </w:rPr>
              <w:t>、农</w:t>
            </w:r>
            <w:r>
              <w:rPr>
                <w:color w:val="auto"/>
                <w:kern w:val="0"/>
                <w:sz w:val="24"/>
              </w:rPr>
              <w:t>产品提供功能区63个，人居保障功能区31个），并确定63个重要生态功能区，覆盖我国陆地国土面积的49.4%。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rPr>
            </w:pPr>
            <w:r>
              <w:rPr>
                <w:color w:val="auto"/>
                <w:kern w:val="0"/>
                <w:sz w:val="24"/>
              </w:rPr>
              <w:t>全国生态系统服务功能分为生态调节功能、产品提供功能与人居保障功能3个类型。生态调节功能主要包括水源涵养、生物多样性保护、土壤保持、防风固沙、洪水调蓄等5个类型。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rPr>
            </w:pPr>
            <w:r>
              <w:rPr>
                <w:color w:val="auto"/>
                <w:kern w:val="0"/>
                <w:sz w:val="24"/>
              </w:rPr>
              <w:t>本项目与《全国生态功能区划》（2015年修编）的符合性分析如下。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0"/>
                <w:sz w:val="24"/>
              </w:rPr>
            </w:pPr>
            <w:r>
              <w:rPr>
                <w:color w:val="auto"/>
                <w:kern w:val="0"/>
                <w:sz w:val="24"/>
              </w:rPr>
              <w:t>（1）与全国生态功能区划方案的符合性分析</w:t>
            </w:r>
          </w:p>
          <w:p>
            <w:pPr>
              <w:autoSpaceDE w:val="0"/>
              <w:autoSpaceDN w:val="0"/>
              <w:adjustRightInd w:val="0"/>
              <w:snapToGrid w:val="0"/>
              <w:spacing w:before="120" w:beforeLines="50" w:line="360" w:lineRule="auto"/>
              <w:ind w:firstLine="0" w:firstLineChars="0"/>
              <w:jc w:val="center"/>
              <w:rPr>
                <w:rFonts w:eastAsia="黑体"/>
                <w:color w:val="auto"/>
                <w:kern w:val="0"/>
                <w:sz w:val="21"/>
                <w:szCs w:val="21"/>
              </w:rPr>
            </w:pPr>
            <w:r>
              <w:rPr>
                <w:rFonts w:eastAsia="黑体"/>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3256915</wp:posOffset>
                      </wp:positionH>
                      <wp:positionV relativeFrom="paragraph">
                        <wp:posOffset>2649855</wp:posOffset>
                      </wp:positionV>
                      <wp:extent cx="1032510" cy="281940"/>
                      <wp:effectExtent l="422910" t="470535" r="11430" b="9525"/>
                      <wp:wrapNone/>
                      <wp:docPr id="18" name="矩形标注 18"/>
                      <wp:cNvGraphicFramePr/>
                      <a:graphic xmlns:a="http://schemas.openxmlformats.org/drawingml/2006/main">
                        <a:graphicData uri="http://schemas.microsoft.com/office/word/2010/wordprocessingShape">
                          <wps:wsp>
                            <wps:cNvSpPr/>
                            <wps:spPr>
                              <a:xfrm>
                                <a:off x="0" y="0"/>
                                <a:ext cx="1032510" cy="281940"/>
                              </a:xfrm>
                              <a:prstGeom prst="wedgeRectCallout">
                                <a:avLst>
                                  <a:gd name="adj1" fmla="val -87819"/>
                                  <a:gd name="adj2" fmla="val -209005"/>
                                </a:avLst>
                              </a:prstGeom>
                              <a:solidFill>
                                <a:srgbClr val="EDEDED"/>
                              </a:solidFill>
                              <a:ln w="9525" cap="flat" cmpd="sng">
                                <a:solidFill>
                                  <a:srgbClr val="FF0000"/>
                                </a:solidFill>
                                <a:prstDash val="solid"/>
                                <a:miter/>
                                <a:headEnd type="none" w="med" len="med"/>
                                <a:tailEnd type="none" w="med" len="med"/>
                              </a:ln>
                            </wps:spPr>
                            <wps:txbx>
                              <w:txbxContent>
                                <w:p>
                                  <w:pPr>
                                    <w:spacing w:line="240" w:lineRule="auto"/>
                                    <w:ind w:firstLine="0" w:firstLineChars="0"/>
                                    <w:jc w:val="center"/>
                                    <w:rPr>
                                      <w:color w:val="FF0000"/>
                                      <w:sz w:val="21"/>
                                    </w:rPr>
                                  </w:pPr>
                                  <w:r>
                                    <w:rPr>
                                      <w:color w:val="FF0000"/>
                                      <w:sz w:val="21"/>
                                    </w:rPr>
                                    <w:t>本项目所在地</w:t>
                                  </w:r>
                                </w:p>
                              </w:txbxContent>
                            </wps:txbx>
                            <wps:bodyPr upright="1"/>
                          </wps:wsp>
                        </a:graphicData>
                      </a:graphic>
                    </wp:anchor>
                  </w:drawing>
                </mc:Choice>
                <mc:Fallback>
                  <w:pict>
                    <v:shape id="_x0000_s1026" o:spid="_x0000_s1026" o:spt="61" type="#_x0000_t61" style="position:absolute;left:0pt;margin-left:256.45pt;margin-top:208.65pt;height:22.2pt;width:81.3pt;z-index:251660288;mso-width-relative:page;mso-height-relative:page;" fillcolor="#EDEDED" filled="t" stroked="t" coordsize="21600,21600" o:gfxdata="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2w051wAA&#10;AAsBAAAPAAAAAAAAAAEAIAAAACIAAABkcnMvZG93bnJldi54bWxQSwECFAAUAAAACACHTuJAkcAy&#10;ix8CAABDBAAADgAAAAAAAAABACAAAAAmAQAAZHJzL2Uyb0RvYy54bWxQSwUGAAAAAAYABgBZAQAA&#10;twUAAAAA&#10;" adj="-8169,-34345">
                      <v:fill on="t" focussize="0,0"/>
                      <v:stroke color="#FF0000" joinstyle="miter"/>
                      <v:imagedata o:title=""/>
                      <o:lock v:ext="edit" aspectratio="f"/>
                      <v:textbox>
                        <w:txbxContent>
                          <w:p>
                            <w:pPr>
                              <w:spacing w:line="240" w:lineRule="auto"/>
                              <w:ind w:firstLine="0" w:firstLineChars="0"/>
                              <w:jc w:val="center"/>
                              <w:rPr>
                                <w:color w:val="FF0000"/>
                                <w:sz w:val="21"/>
                              </w:rPr>
                            </w:pPr>
                            <w:r>
                              <w:rPr>
                                <w:color w:val="FF0000"/>
                                <w:sz w:val="21"/>
                              </w:rPr>
                              <w:t>本项目所在地</w:t>
                            </w:r>
                          </w:p>
                        </w:txbxContent>
                      </v:textbox>
                    </v:shape>
                  </w:pict>
                </mc:Fallback>
              </mc:AlternateContent>
            </w:r>
            <w:r>
              <w:rPr>
                <w:color w:val="auto"/>
                <w:sz w:val="21"/>
              </w:rPr>
              <w:drawing>
                <wp:inline distT="0" distB="0" distL="114300" distR="114300">
                  <wp:extent cx="5226685" cy="3291840"/>
                  <wp:effectExtent l="0" t="0" r="12065" b="381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9"/>
                          <a:stretch>
                            <a:fillRect/>
                          </a:stretch>
                        </pic:blipFill>
                        <pic:spPr>
                          <a:xfrm>
                            <a:off x="0" y="0"/>
                            <a:ext cx="5226685" cy="32918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en-US"/>
              </w:rPr>
            </w:pPr>
            <w:r>
              <w:rPr>
                <w:rFonts w:hint="eastAsia" w:ascii="Times New Roman" w:hAnsi="Times New Roman" w:eastAsia="宋体" w:cs="Times New Roman"/>
                <w:b/>
                <w:bCs/>
                <w:color w:val="auto"/>
                <w:sz w:val="21"/>
                <w:szCs w:val="21"/>
                <w:lang w:val="en-US" w:eastAsia="en-US"/>
              </w:rPr>
              <w:t>图3-1  本项目与全国生态功能区划的位置关系</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sz w:val="24"/>
                <w:szCs w:val="24"/>
                <w:lang w:val="en-US" w:eastAsia="zh-CN"/>
              </w:rPr>
            </w:pPr>
            <w:r>
              <w:rPr>
                <w:rFonts w:hint="eastAsia" w:ascii="Times New Roman" w:hAnsi="Times New Roman" w:eastAsia="宋体" w:cs="Times New Roman"/>
                <w:color w:val="auto"/>
                <w:spacing w:val="0"/>
                <w:kern w:val="0"/>
                <w:sz w:val="24"/>
                <w:szCs w:val="24"/>
                <w:lang w:val="en-US" w:eastAsia="zh-CN"/>
              </w:rPr>
              <w:t>本项目位于蓬溪县，</w:t>
            </w:r>
            <w:r>
              <w:rPr>
                <w:color w:val="auto"/>
                <w:kern w:val="0"/>
                <w:sz w:val="24"/>
              </w:rPr>
              <w:t>由上图可知，</w:t>
            </w:r>
            <w:r>
              <w:rPr>
                <w:rFonts w:hint="eastAsia" w:ascii="Times New Roman" w:hAnsi="Times New Roman" w:eastAsia="宋体" w:cs="Times New Roman"/>
                <w:color w:val="auto"/>
                <w:spacing w:val="0"/>
                <w:kern w:val="0"/>
                <w:sz w:val="24"/>
                <w:szCs w:val="24"/>
                <w:lang w:val="en-US" w:eastAsia="zh-CN"/>
              </w:rPr>
              <w:t>所在区域属于“II-01-30四川盆地农产品提供功能区”。农产品提供功能区主要是指以提供粮食、肉类、蛋、奶、水产品和棉、油等农产品为主的长期从事农业生产的地区，包括全国商品粮基地和集中</w:t>
            </w:r>
            <w:r>
              <w:rPr>
                <w:rFonts w:hint="eastAsia" w:cs="Times New Roman"/>
                <w:color w:val="auto"/>
                <w:spacing w:val="0"/>
                <w:kern w:val="0"/>
                <w:sz w:val="24"/>
                <w:szCs w:val="24"/>
                <w:lang w:val="en-US" w:eastAsia="zh-CN"/>
              </w:rPr>
              <w:t>连</w:t>
            </w:r>
            <w:r>
              <w:rPr>
                <w:rFonts w:hint="eastAsia" w:ascii="Times New Roman" w:hAnsi="Times New Roman" w:eastAsia="宋体" w:cs="Times New Roman"/>
                <w:color w:val="auto"/>
                <w:spacing w:val="0"/>
                <w:kern w:val="0"/>
                <w:sz w:val="24"/>
                <w:szCs w:val="24"/>
                <w:lang w:val="en-US" w:eastAsia="zh-CN"/>
              </w:rPr>
              <w:t>片的农业用地，以及畜产品和水产品提供的区域。全国共划分农产品提供功能区58个，面积共计180.6万平方公里，占全国国土面积的18.9％，集中分布在东北平原、华北平原、长江中下游平原、四川盆地、东南沿海平原地区、汾渭谷地、河套灌区、宁夏灌区、新疆绿洲等商品粮集中生产区，以及内蒙古东部草甸草原、青藏高原高寒草甸、新疆天山北部草原等重要畜牧业区。</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sz w:val="24"/>
                <w:szCs w:val="24"/>
                <w:lang w:val="en-US" w:eastAsia="zh-CN"/>
              </w:rPr>
            </w:pPr>
            <w:r>
              <w:rPr>
                <w:rFonts w:hint="eastAsia" w:ascii="Times New Roman" w:hAnsi="Times New Roman" w:eastAsia="宋体" w:cs="Times New Roman"/>
                <w:color w:val="auto"/>
                <w:spacing w:val="0"/>
                <w:kern w:val="0"/>
                <w:sz w:val="24"/>
                <w:szCs w:val="24"/>
                <w:lang w:val="en-US" w:eastAsia="zh-CN"/>
              </w:rPr>
              <w:t>该类型区的主要生态问题：农田侵占、土壤肥力下降、农业面源污染严重；在草地畜牧业区，过度放牧，草地退化沙化，抵御灾害能力低。该类型区生态保护的主要方向：</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sz w:val="24"/>
                <w:szCs w:val="24"/>
                <w:lang w:val="en-US" w:eastAsia="zh-CN"/>
              </w:rPr>
            </w:pPr>
            <w:r>
              <w:rPr>
                <w:rFonts w:hint="eastAsia" w:ascii="Times New Roman" w:hAnsi="Times New Roman" w:eastAsia="宋体" w:cs="Times New Roman"/>
                <w:color w:val="auto"/>
                <w:spacing w:val="0"/>
                <w:kern w:val="0"/>
                <w:sz w:val="24"/>
                <w:szCs w:val="24"/>
                <w:lang w:val="en-US" w:eastAsia="zh-CN"/>
              </w:rPr>
              <w:t>（1严格保护基本农田，培养土壤肥力。</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sz w:val="24"/>
                <w:szCs w:val="24"/>
                <w:lang w:val="en-US" w:eastAsia="zh-CN"/>
              </w:rPr>
            </w:pPr>
            <w:r>
              <w:rPr>
                <w:rFonts w:hint="eastAsia" w:ascii="Times New Roman" w:hAnsi="Times New Roman" w:eastAsia="宋体" w:cs="Times New Roman"/>
                <w:color w:val="auto"/>
                <w:spacing w:val="0"/>
                <w:kern w:val="0"/>
                <w:sz w:val="24"/>
                <w:szCs w:val="24"/>
                <w:lang w:val="en-US" w:eastAsia="zh-CN"/>
              </w:rPr>
              <w:t>（2加强农田基本建设，增强抗自然灾害的能力。</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sz w:val="24"/>
                <w:szCs w:val="24"/>
                <w:lang w:val="en-US" w:eastAsia="zh-CN"/>
              </w:rPr>
            </w:pPr>
            <w:r>
              <w:rPr>
                <w:rFonts w:hint="eastAsia" w:ascii="Times New Roman" w:hAnsi="Times New Roman" w:eastAsia="宋体" w:cs="Times New Roman"/>
                <w:color w:val="auto"/>
                <w:spacing w:val="0"/>
                <w:kern w:val="0"/>
                <w:sz w:val="24"/>
                <w:szCs w:val="24"/>
                <w:lang w:val="en-US" w:eastAsia="zh-CN"/>
              </w:rPr>
              <w:t>（3加强水利建设，大力发展节水农业；种养结合，科学施肥。</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sz w:val="24"/>
                <w:szCs w:val="24"/>
                <w:lang w:val="en-US" w:eastAsia="zh-CN"/>
              </w:rPr>
            </w:pPr>
            <w:r>
              <w:rPr>
                <w:rFonts w:hint="eastAsia" w:ascii="Times New Roman" w:hAnsi="Times New Roman" w:eastAsia="宋体" w:cs="Times New Roman"/>
                <w:color w:val="auto"/>
                <w:spacing w:val="0"/>
                <w:kern w:val="0"/>
                <w:sz w:val="24"/>
                <w:szCs w:val="24"/>
                <w:lang w:val="en-US" w:eastAsia="zh-CN"/>
              </w:rPr>
              <w:t>（4发展无公害农产品、绿色食品和有机食品；调整农业产业和农村经济结构，合理组织农业生产和农村经济活动。</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kern w:val="0"/>
                <w:sz w:val="24"/>
                <w:szCs w:val="24"/>
                <w:lang w:val="en-US" w:eastAsia="zh-CN"/>
              </w:rPr>
            </w:pPr>
            <w:r>
              <w:rPr>
                <w:rFonts w:hint="eastAsia" w:ascii="Times New Roman" w:hAnsi="Times New Roman" w:eastAsia="宋体" w:cs="Times New Roman"/>
                <w:color w:val="auto"/>
                <w:spacing w:val="0"/>
                <w:kern w:val="0"/>
                <w:sz w:val="24"/>
                <w:szCs w:val="24"/>
                <w:lang w:val="en-US" w:eastAsia="zh-CN"/>
              </w:rPr>
              <w:t>（5在草地畜牧业区，要科学确定草场载畜量，实行季节畜牧业，实现草畜平衡；草地封育改良相结合，实施大范围轮封轮牧制度。</w:t>
            </w:r>
          </w:p>
          <w:p>
            <w:pPr>
              <w:spacing w:line="360" w:lineRule="auto"/>
              <w:ind w:firstLine="480" w:firstLineChars="200"/>
              <w:rPr>
                <w:color w:val="auto"/>
                <w:kern w:val="0"/>
                <w:sz w:val="24"/>
              </w:rPr>
            </w:pPr>
            <w:r>
              <w:rPr>
                <w:rFonts w:hint="eastAsia" w:ascii="Times New Roman" w:hAnsi="Times New Roman" w:eastAsia="宋体" w:cs="Times New Roman"/>
                <w:color w:val="auto"/>
                <w:spacing w:val="0"/>
                <w:kern w:val="0"/>
                <w:sz w:val="24"/>
                <w:szCs w:val="24"/>
                <w:lang w:val="en-US" w:eastAsia="zh-CN"/>
              </w:rPr>
              <w:t>本项目为</w:t>
            </w:r>
            <w:r>
              <w:rPr>
                <w:rFonts w:hint="eastAsia" w:cs="Times New Roman"/>
                <w:color w:val="auto"/>
                <w:spacing w:val="0"/>
                <w:kern w:val="0"/>
                <w:sz w:val="24"/>
                <w:szCs w:val="24"/>
                <w:lang w:val="en-US" w:eastAsia="zh-CN"/>
              </w:rPr>
              <w:t>国家储备林及基础设施建设项目</w:t>
            </w:r>
            <w:r>
              <w:rPr>
                <w:rFonts w:hint="eastAsia" w:ascii="Times New Roman" w:hAnsi="Times New Roman" w:eastAsia="宋体" w:cs="Times New Roman"/>
                <w:color w:val="auto"/>
                <w:spacing w:val="0"/>
                <w:kern w:val="0"/>
                <w:sz w:val="24"/>
                <w:szCs w:val="24"/>
                <w:lang w:val="en-US" w:eastAsia="zh-CN"/>
              </w:rPr>
              <w:t>，项目建设符合该区域生态建设与发展方向的要求</w:t>
            </w:r>
            <w:r>
              <w:rPr>
                <w:rFonts w:hint="eastAsia" w:cs="Times New Roman"/>
                <w:color w:val="auto"/>
                <w:spacing w:val="0"/>
                <w:kern w:val="0"/>
                <w:sz w:val="24"/>
                <w:szCs w:val="24"/>
                <w:lang w:val="en-US" w:eastAsia="zh-CN"/>
              </w:rPr>
              <w:t>。</w:t>
            </w:r>
          </w:p>
          <w:p>
            <w:pPr>
              <w:spacing w:line="360" w:lineRule="auto"/>
              <w:ind w:firstLine="480" w:firstLineChars="200"/>
              <w:rPr>
                <w:rFonts w:hint="eastAsia"/>
                <w:color w:val="auto"/>
                <w:kern w:val="0"/>
                <w:sz w:val="24"/>
              </w:rPr>
            </w:pPr>
            <w:r>
              <w:rPr>
                <w:color w:val="auto"/>
                <w:kern w:val="0"/>
                <w:sz w:val="24"/>
              </w:rPr>
              <w:t>（2）与全国重要生态功能区分布的符合性分析</w:t>
            </w:r>
          </w:p>
          <w:p>
            <w:pPr>
              <w:autoSpaceDE w:val="0"/>
              <w:autoSpaceDN w:val="0"/>
              <w:adjustRightInd w:val="0"/>
              <w:snapToGrid w:val="0"/>
              <w:spacing w:before="120" w:beforeLines="50" w:line="360" w:lineRule="auto"/>
              <w:ind w:firstLine="0" w:firstLineChars="0"/>
              <w:jc w:val="center"/>
              <w:rPr>
                <w:rFonts w:eastAsia="黑体"/>
                <w:color w:val="auto"/>
                <w:kern w:val="0"/>
                <w:sz w:val="21"/>
                <w:szCs w:val="21"/>
              </w:rPr>
            </w:pPr>
            <w:r>
              <w:rPr>
                <w:rFonts w:eastAsia="黑体"/>
                <w:color w:val="auto"/>
                <w:sz w:val="28"/>
                <w:szCs w:val="28"/>
              </w:rPr>
              <mc:AlternateContent>
                <mc:Choice Requires="wps">
                  <w:drawing>
                    <wp:anchor distT="0" distB="0" distL="114300" distR="114300" simplePos="0" relativeHeight="251661312" behindDoc="0" locked="0" layoutInCell="1" allowOverlap="1">
                      <wp:simplePos x="0" y="0"/>
                      <wp:positionH relativeFrom="column">
                        <wp:posOffset>3239770</wp:posOffset>
                      </wp:positionH>
                      <wp:positionV relativeFrom="paragraph">
                        <wp:posOffset>2491740</wp:posOffset>
                      </wp:positionV>
                      <wp:extent cx="1032510" cy="281940"/>
                      <wp:effectExtent l="325755" t="337820" r="13335" b="8890"/>
                      <wp:wrapNone/>
                      <wp:docPr id="19" name="矩形标注 19"/>
                      <wp:cNvGraphicFramePr/>
                      <a:graphic xmlns:a="http://schemas.openxmlformats.org/drawingml/2006/main">
                        <a:graphicData uri="http://schemas.microsoft.com/office/word/2010/wordprocessingShape">
                          <wps:wsp>
                            <wps:cNvSpPr/>
                            <wps:spPr>
                              <a:xfrm>
                                <a:off x="0" y="0"/>
                                <a:ext cx="1032510" cy="281940"/>
                              </a:xfrm>
                              <a:prstGeom prst="wedgeRectCallout">
                                <a:avLst>
                                  <a:gd name="adj1" fmla="val -78287"/>
                                  <a:gd name="adj2" fmla="val -162833"/>
                                </a:avLst>
                              </a:prstGeom>
                              <a:solidFill>
                                <a:srgbClr val="EDEDED"/>
                              </a:solidFill>
                              <a:ln w="9525" cap="flat" cmpd="sng">
                                <a:solidFill>
                                  <a:srgbClr val="FF0000"/>
                                </a:solidFill>
                                <a:prstDash val="solid"/>
                                <a:miter/>
                                <a:headEnd type="none" w="med" len="med"/>
                                <a:tailEnd type="none" w="med" len="med"/>
                              </a:ln>
                            </wps:spPr>
                            <wps:txbx>
                              <w:txbxContent>
                                <w:p>
                                  <w:pPr>
                                    <w:spacing w:line="240" w:lineRule="auto"/>
                                    <w:ind w:firstLine="0" w:firstLineChars="0"/>
                                    <w:jc w:val="center"/>
                                    <w:rPr>
                                      <w:color w:val="FF0000"/>
                                      <w:sz w:val="21"/>
                                    </w:rPr>
                                  </w:pPr>
                                  <w:r>
                                    <w:rPr>
                                      <w:color w:val="FF0000"/>
                                      <w:sz w:val="21"/>
                                    </w:rPr>
                                    <w:t>本项目所在地</w:t>
                                  </w:r>
                                </w:p>
                              </w:txbxContent>
                            </wps:txbx>
                            <wps:bodyPr upright="1"/>
                          </wps:wsp>
                        </a:graphicData>
                      </a:graphic>
                    </wp:anchor>
                  </w:drawing>
                </mc:Choice>
                <mc:Fallback>
                  <w:pict>
                    <v:shape id="_x0000_s1026" o:spid="_x0000_s1026" o:spt="61" type="#_x0000_t61" style="position:absolute;left:0pt;margin-left:255.1pt;margin-top:196.2pt;height:22.2pt;width:81.3pt;z-index:251661312;mso-width-relative:page;mso-height-relative:page;" fillcolor="#EDEDED" filled="t" stroked="t" coordsize="21600,21600" o:gfxdata="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TE2L73QAAAAsBAAAPAAAAAAAAAAEAIAAAACIAAABkcnMvZG93bnJldi54bWxQSwECFAAUAAAA&#10;CACHTuJAGujlciICAABDBAAADgAAAAAAAAABACAAAAAsAQAAZHJzL2Uyb0RvYy54bWxQSwUGAAAA&#10;AAYABgBZAQAAwAUAAAAA&#10;" adj="-6110,-24372">
                      <v:fill on="t" focussize="0,0"/>
                      <v:stroke color="#FF0000" joinstyle="miter"/>
                      <v:imagedata o:title=""/>
                      <o:lock v:ext="edit" aspectratio="f"/>
                      <v:textbox>
                        <w:txbxContent>
                          <w:p>
                            <w:pPr>
                              <w:spacing w:line="240" w:lineRule="auto"/>
                              <w:ind w:firstLine="0" w:firstLineChars="0"/>
                              <w:jc w:val="center"/>
                              <w:rPr>
                                <w:color w:val="FF0000"/>
                                <w:sz w:val="21"/>
                              </w:rPr>
                            </w:pPr>
                            <w:r>
                              <w:rPr>
                                <w:color w:val="FF0000"/>
                                <w:sz w:val="21"/>
                              </w:rPr>
                              <w:t>本项目所在地</w:t>
                            </w:r>
                          </w:p>
                        </w:txbxContent>
                      </v:textbox>
                    </v:shape>
                  </w:pict>
                </mc:Fallback>
              </mc:AlternateContent>
            </w:r>
            <w:r>
              <w:rPr>
                <w:color w:val="auto"/>
                <w:sz w:val="21"/>
              </w:rPr>
              <w:drawing>
                <wp:inline distT="0" distB="0" distL="114300" distR="114300">
                  <wp:extent cx="5237480" cy="3303270"/>
                  <wp:effectExtent l="0" t="0" r="1270" b="1143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30"/>
                          <a:stretch>
                            <a:fillRect/>
                          </a:stretch>
                        </pic:blipFill>
                        <pic:spPr>
                          <a:xfrm>
                            <a:off x="0" y="0"/>
                            <a:ext cx="5237480" cy="3303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en-US"/>
              </w:rPr>
            </w:pPr>
            <w:r>
              <w:rPr>
                <w:rFonts w:hint="eastAsia" w:ascii="Times New Roman" w:hAnsi="Times New Roman" w:eastAsia="宋体" w:cs="Times New Roman"/>
                <w:b/>
                <w:bCs/>
                <w:color w:val="auto"/>
                <w:sz w:val="21"/>
                <w:szCs w:val="21"/>
                <w:lang w:val="en-US" w:eastAsia="en-US"/>
              </w:rPr>
              <w:t>图3-2  本项目与全国重要生态功能区的位置关系</w:t>
            </w:r>
          </w:p>
          <w:p>
            <w:pPr>
              <w:spacing w:line="360" w:lineRule="auto"/>
              <w:ind w:firstLine="480" w:firstLineChars="200"/>
              <w:rPr>
                <w:color w:val="auto"/>
                <w:kern w:val="0"/>
                <w:sz w:val="24"/>
              </w:rPr>
            </w:pPr>
            <w:r>
              <w:rPr>
                <w:color w:val="auto"/>
                <w:kern w:val="0"/>
                <w:sz w:val="24"/>
              </w:rPr>
              <w:t>由上图可知，本项目不在全国重要生态功能区内。</w:t>
            </w:r>
          </w:p>
          <w:p>
            <w:pPr>
              <w:keepNext w:val="0"/>
              <w:keepLines w:val="0"/>
              <w:pageBreakBefore w:val="0"/>
              <w:wordWrap/>
              <w:overflowPunct/>
              <w:topLinePunct w:val="0"/>
              <w:bidi w:val="0"/>
              <w:spacing w:line="360" w:lineRule="auto"/>
              <w:ind w:left="0" w:firstLine="480" w:firstLineChars="200"/>
              <w:rPr>
                <w:color w:val="auto"/>
                <w:kern w:val="0"/>
                <w:sz w:val="24"/>
              </w:rPr>
            </w:pPr>
            <w:r>
              <w:rPr>
                <w:rFonts w:hint="eastAsia"/>
                <w:color w:val="auto"/>
                <w:kern w:val="0"/>
                <w:sz w:val="24"/>
              </w:rPr>
              <w:t>综上，本项目建设地位于四川省遂宁市蓬溪县，处于《全国生态功能区划》（2015年修编）中规定“Ⅱ-01-30四川盆地农产品提供功能区”内，不在全国生态系统服务功能重要区、全国重要生态功能区内，项目与《全国生态功能区划》（2015年修编）相符合。</w:t>
            </w:r>
          </w:p>
          <w:p>
            <w:pPr>
              <w:keepNext w:val="0"/>
              <w:keepLines w:val="0"/>
              <w:pageBreakBefore w:val="0"/>
              <w:wordWrap/>
              <w:overflowPunct/>
              <w:topLinePunct w:val="0"/>
              <w:bidi w:val="0"/>
              <w:spacing w:line="360" w:lineRule="auto"/>
              <w:ind w:left="0" w:firstLine="480" w:firstLineChars="200"/>
              <w:rPr>
                <w:rFonts w:hint="default" w:eastAsia="黑体"/>
                <w:color w:val="auto"/>
                <w:sz w:val="24"/>
                <w:szCs w:val="24"/>
                <w:lang w:val="en-US" w:eastAsia="zh-CN"/>
              </w:rPr>
            </w:pPr>
            <w:r>
              <w:rPr>
                <w:rFonts w:hint="eastAsia" w:eastAsia="黑体"/>
                <w:color w:val="auto"/>
                <w:sz w:val="24"/>
                <w:szCs w:val="24"/>
                <w:lang w:val="en-US" w:eastAsia="zh-CN"/>
              </w:rPr>
              <w:t>2</w:t>
            </w:r>
            <w:r>
              <w:rPr>
                <w:rFonts w:hint="default" w:eastAsia="黑体"/>
                <w:color w:val="auto"/>
                <w:sz w:val="24"/>
                <w:szCs w:val="24"/>
                <w:lang w:val="en-US" w:eastAsia="zh-CN"/>
              </w:rPr>
              <w:t>、河流水文特征</w:t>
            </w:r>
          </w:p>
          <w:p>
            <w:pPr>
              <w:keepNext w:val="0"/>
              <w:keepLines w:val="0"/>
              <w:pageBreakBefore w:val="0"/>
              <w:widowControl/>
              <w:kinsoku w:val="0"/>
              <w:wordWrap/>
              <w:overflowPunct/>
              <w:topLinePunct w:val="0"/>
              <w:autoSpaceDE w:val="0"/>
              <w:autoSpaceDN w:val="0"/>
              <w:bidi w:val="0"/>
              <w:adjustRightInd w:val="0"/>
              <w:snapToGrid w:val="0"/>
              <w:spacing w:line="356" w:lineRule="auto"/>
              <w:ind w:left="0" w:firstLine="448" w:firstLineChars="20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8"/>
                <w:kern w:val="0"/>
                <w:sz w:val="24"/>
                <w:szCs w:val="24"/>
                <w:lang w:eastAsia="en-US"/>
              </w:rPr>
              <w:t>蓬溪县境内河流众多，水系发达，属涪江水系。境内有大小溪河</w:t>
            </w:r>
            <w:r>
              <w:rPr>
                <w:rFonts w:ascii="Times New Roman" w:hAnsi="Times New Roman" w:eastAsia="Times New Roman" w:cs="Times New Roman"/>
                <w:snapToGrid w:val="0"/>
                <w:color w:val="auto"/>
                <w:spacing w:val="-9"/>
                <w:kern w:val="0"/>
                <w:sz w:val="24"/>
                <w:szCs w:val="24"/>
                <w:lang w:eastAsia="en-US"/>
              </w:rPr>
              <w:t>214</w:t>
            </w:r>
            <w:r>
              <w:rPr>
                <w:rFonts w:ascii="宋体" w:hAnsi="宋体" w:eastAsia="宋体" w:cs="宋体"/>
                <w:snapToGrid w:val="0"/>
                <w:color w:val="auto"/>
                <w:spacing w:val="-9"/>
                <w:kern w:val="0"/>
                <w:sz w:val="24"/>
                <w:szCs w:val="24"/>
                <w:lang w:eastAsia="en-US"/>
              </w:rPr>
              <w:t>条，</w:t>
            </w:r>
            <w:r>
              <w:rPr>
                <w:rFonts w:ascii="宋体" w:hAnsi="宋体" w:eastAsia="宋体" w:cs="宋体"/>
                <w:snapToGrid w:val="0"/>
                <w:color w:val="auto"/>
                <w:spacing w:val="-2"/>
                <w:kern w:val="0"/>
                <w:sz w:val="24"/>
                <w:szCs w:val="24"/>
                <w:lang w:eastAsia="en-US"/>
              </w:rPr>
              <w:t>干支流总长度</w:t>
            </w:r>
            <w:r>
              <w:rPr>
                <w:rFonts w:ascii="Times New Roman" w:hAnsi="Times New Roman" w:eastAsia="Times New Roman" w:cs="Times New Roman"/>
                <w:snapToGrid w:val="0"/>
                <w:color w:val="auto"/>
                <w:spacing w:val="-2"/>
                <w:kern w:val="0"/>
                <w:sz w:val="24"/>
                <w:szCs w:val="24"/>
                <w:lang w:eastAsia="en-US"/>
              </w:rPr>
              <w:t>1013km</w:t>
            </w:r>
            <w:r>
              <w:rPr>
                <w:rFonts w:ascii="宋体" w:hAnsi="宋体" w:eastAsia="宋体" w:cs="宋体"/>
                <w:snapToGrid w:val="0"/>
                <w:color w:val="auto"/>
                <w:spacing w:val="-2"/>
                <w:kern w:val="0"/>
                <w:sz w:val="24"/>
                <w:szCs w:val="24"/>
                <w:lang w:eastAsia="en-US"/>
              </w:rPr>
              <w:t>，总汇水面积</w:t>
            </w:r>
            <w:r>
              <w:rPr>
                <w:rFonts w:ascii="Times New Roman" w:hAnsi="Times New Roman" w:eastAsia="Times New Roman" w:cs="Times New Roman"/>
                <w:snapToGrid w:val="0"/>
                <w:color w:val="auto"/>
                <w:spacing w:val="-2"/>
                <w:kern w:val="0"/>
                <w:sz w:val="24"/>
                <w:szCs w:val="24"/>
                <w:lang w:eastAsia="en-US"/>
              </w:rPr>
              <w:t>1250km</w:t>
            </w:r>
            <w:r>
              <w:rPr>
                <w:rFonts w:hint="eastAsia" w:ascii="Times New Roman" w:hAnsi="Times New Roman" w:eastAsia="宋体" w:cs="Times New Roman"/>
                <w:snapToGrid w:val="0"/>
                <w:color w:val="auto"/>
                <w:spacing w:val="-2"/>
                <w:kern w:val="0"/>
                <w:sz w:val="24"/>
                <w:szCs w:val="24"/>
                <w:vertAlign w:val="superscript"/>
                <w:lang w:val="en-US" w:eastAsia="zh-CN"/>
              </w:rPr>
              <w:t>2</w:t>
            </w:r>
            <w:r>
              <w:rPr>
                <w:rFonts w:ascii="宋体" w:hAnsi="宋体" w:eastAsia="宋体" w:cs="宋体"/>
                <w:snapToGrid w:val="0"/>
                <w:color w:val="auto"/>
                <w:spacing w:val="-2"/>
                <w:kern w:val="0"/>
                <w:sz w:val="24"/>
                <w:szCs w:val="24"/>
                <w:lang w:eastAsia="en-US"/>
              </w:rPr>
              <w:t>，</w:t>
            </w:r>
            <w:r>
              <w:rPr>
                <w:rFonts w:ascii="宋体" w:hAnsi="宋体" w:eastAsia="宋体" w:cs="宋体"/>
                <w:snapToGrid w:val="0"/>
                <w:color w:val="auto"/>
                <w:spacing w:val="-3"/>
                <w:kern w:val="0"/>
                <w:sz w:val="24"/>
                <w:szCs w:val="24"/>
                <w:lang w:eastAsia="en-US"/>
              </w:rPr>
              <w:t>平均河网密度</w:t>
            </w:r>
            <w:r>
              <w:rPr>
                <w:rFonts w:ascii="Times New Roman" w:hAnsi="Times New Roman" w:eastAsia="Times New Roman" w:cs="Times New Roman"/>
                <w:snapToGrid w:val="0"/>
                <w:color w:val="auto"/>
                <w:spacing w:val="-3"/>
                <w:kern w:val="0"/>
                <w:sz w:val="24"/>
                <w:szCs w:val="24"/>
                <w:lang w:eastAsia="en-US"/>
              </w:rPr>
              <w:t>0.81km/km</w:t>
            </w:r>
            <w:r>
              <w:rPr>
                <w:rFonts w:hint="eastAsia" w:ascii="Times New Roman" w:hAnsi="Times New Roman" w:eastAsia="宋体" w:cs="Times New Roman"/>
                <w:snapToGrid w:val="0"/>
                <w:color w:val="auto"/>
                <w:spacing w:val="-2"/>
                <w:kern w:val="0"/>
                <w:sz w:val="24"/>
                <w:szCs w:val="24"/>
                <w:vertAlign w:val="superscript"/>
                <w:lang w:val="en-US" w:eastAsia="zh-CN"/>
              </w:rPr>
              <w:t>2</w:t>
            </w:r>
            <w:r>
              <w:rPr>
                <w:rFonts w:ascii="宋体" w:hAnsi="宋体" w:eastAsia="宋体" w:cs="宋体"/>
                <w:snapToGrid w:val="0"/>
                <w:color w:val="auto"/>
                <w:spacing w:val="-3"/>
                <w:kern w:val="0"/>
                <w:sz w:val="24"/>
                <w:szCs w:val="24"/>
                <w:lang w:eastAsia="en-US"/>
              </w:rPr>
              <w:t>。</w:t>
            </w:r>
            <w:r>
              <w:rPr>
                <w:rFonts w:ascii="宋体" w:hAnsi="宋体" w:eastAsia="宋体" w:cs="宋体"/>
                <w:snapToGrid w:val="0"/>
                <w:color w:val="auto"/>
                <w:spacing w:val="-2"/>
                <w:kern w:val="0"/>
                <w:sz w:val="24"/>
                <w:szCs w:val="24"/>
                <w:lang w:eastAsia="en-US"/>
              </w:rPr>
              <w:t>除东南角的蓬南河、中和河及边境的部分小溪属嘉陵江水系外，其余均属涪</w:t>
            </w:r>
            <w:r>
              <w:rPr>
                <w:rFonts w:ascii="宋体" w:hAnsi="宋体" w:eastAsia="宋体" w:cs="宋体"/>
                <w:snapToGrid w:val="0"/>
                <w:color w:val="auto"/>
                <w:kern w:val="0"/>
                <w:sz w:val="24"/>
                <w:szCs w:val="24"/>
                <w:lang w:eastAsia="en-US"/>
              </w:rPr>
              <w:t>江水系。涪江在县境内的干流长</w:t>
            </w:r>
            <w:r>
              <w:rPr>
                <w:rFonts w:ascii="Times New Roman" w:hAnsi="Times New Roman" w:eastAsia="Times New Roman" w:cs="Times New Roman"/>
                <w:snapToGrid w:val="0"/>
                <w:color w:val="auto"/>
                <w:kern w:val="0"/>
                <w:sz w:val="24"/>
                <w:szCs w:val="24"/>
                <w:lang w:eastAsia="en-US"/>
              </w:rPr>
              <w:t>41.2km</w:t>
            </w:r>
            <w:r>
              <w:rPr>
                <w:rFonts w:ascii="宋体" w:hAnsi="宋体" w:eastAsia="宋体" w:cs="宋体"/>
                <w:snapToGrid w:val="0"/>
                <w:color w:val="auto"/>
                <w:kern w:val="0"/>
                <w:sz w:val="24"/>
                <w:szCs w:val="24"/>
                <w:lang w:eastAsia="en-US"/>
              </w:rPr>
              <w:t>，汇水面积</w:t>
            </w:r>
            <w:r>
              <w:rPr>
                <w:rFonts w:ascii="Times New Roman" w:hAnsi="Times New Roman" w:eastAsia="Times New Roman" w:cs="Times New Roman"/>
                <w:snapToGrid w:val="0"/>
                <w:color w:val="auto"/>
                <w:kern w:val="0"/>
                <w:sz w:val="24"/>
                <w:szCs w:val="24"/>
                <w:lang w:eastAsia="en-US"/>
              </w:rPr>
              <w:t>468.3km</w:t>
            </w:r>
            <w:r>
              <w:rPr>
                <w:rFonts w:hint="eastAsia" w:ascii="Times New Roman" w:hAnsi="Times New Roman" w:eastAsia="宋体" w:cs="Times New Roman"/>
                <w:snapToGrid w:val="0"/>
                <w:color w:val="auto"/>
                <w:spacing w:val="-2"/>
                <w:kern w:val="0"/>
                <w:sz w:val="24"/>
                <w:szCs w:val="24"/>
                <w:vertAlign w:val="superscript"/>
                <w:lang w:val="en-US" w:eastAsia="zh-CN"/>
              </w:rPr>
              <w:t>2</w:t>
            </w:r>
            <w:r>
              <w:rPr>
                <w:rFonts w:ascii="宋体" w:hAnsi="宋体" w:eastAsia="宋体" w:cs="宋体"/>
                <w:snapToGrid w:val="0"/>
                <w:color w:val="auto"/>
                <w:kern w:val="0"/>
                <w:sz w:val="24"/>
                <w:szCs w:val="24"/>
                <w:lang w:eastAsia="en-US"/>
              </w:rPr>
              <w:t>，涪江主要支</w:t>
            </w:r>
            <w:r>
              <w:rPr>
                <w:rFonts w:ascii="宋体" w:hAnsi="宋体" w:eastAsia="宋体" w:cs="宋体"/>
                <w:snapToGrid w:val="0"/>
                <w:color w:val="auto"/>
                <w:spacing w:val="-2"/>
                <w:kern w:val="0"/>
                <w:sz w:val="24"/>
                <w:szCs w:val="24"/>
                <w:lang w:eastAsia="en-US"/>
              </w:rPr>
              <w:t>流有蓬溪河和任隆河</w:t>
            </w:r>
            <w:r>
              <w:rPr>
                <w:rFonts w:hint="eastAsia" w:ascii="宋体" w:hAnsi="宋体" w:cs="宋体"/>
                <w:snapToGrid w:val="0"/>
                <w:color w:val="auto"/>
                <w:spacing w:val="-2"/>
                <w:kern w:val="0"/>
                <w:sz w:val="24"/>
                <w:szCs w:val="24"/>
                <w:lang w:eastAsia="zh-CN"/>
              </w:rPr>
              <w:t>两个</w:t>
            </w:r>
            <w:r>
              <w:rPr>
                <w:rFonts w:ascii="宋体" w:hAnsi="宋体" w:eastAsia="宋体" w:cs="宋体"/>
                <w:snapToGrid w:val="0"/>
                <w:color w:val="auto"/>
                <w:spacing w:val="-2"/>
                <w:kern w:val="0"/>
                <w:sz w:val="24"/>
                <w:szCs w:val="24"/>
                <w:lang w:eastAsia="en-US"/>
              </w:rPr>
              <w:t>水系。蓬溪河源于东北边境的嘉陵江分水岭地区，沿西山向斜南至东北向西南流，沿途接纳了大石河、板桥河、文井河</w:t>
            </w:r>
            <w:r>
              <w:rPr>
                <w:rFonts w:ascii="宋体" w:hAnsi="宋体" w:eastAsia="宋体" w:cs="宋体"/>
                <w:snapToGrid w:val="0"/>
                <w:color w:val="auto"/>
                <w:spacing w:val="-3"/>
                <w:kern w:val="0"/>
                <w:sz w:val="24"/>
                <w:szCs w:val="24"/>
                <w:lang w:eastAsia="en-US"/>
              </w:rPr>
              <w:t>等向西</w:t>
            </w:r>
            <w:r>
              <w:rPr>
                <w:rFonts w:ascii="宋体" w:hAnsi="宋体" w:eastAsia="宋体" w:cs="宋体"/>
                <w:snapToGrid w:val="0"/>
                <w:color w:val="auto"/>
                <w:spacing w:val="-2"/>
                <w:kern w:val="0"/>
                <w:sz w:val="24"/>
                <w:szCs w:val="24"/>
                <w:lang w:eastAsia="en-US"/>
              </w:rPr>
              <w:t>流，汇合于吉祥，过遂宁市中区地界，注入涪江；任隆河源于县境内的低山区，流经遂宁组地层的中低丘区至荷叶注入涪江，洪枯变化显著，流</w:t>
            </w:r>
            <w:r>
              <w:rPr>
                <w:rFonts w:ascii="宋体" w:hAnsi="宋体" w:eastAsia="宋体" w:cs="宋体"/>
                <w:snapToGrid w:val="0"/>
                <w:color w:val="auto"/>
                <w:spacing w:val="-3"/>
                <w:kern w:val="0"/>
                <w:sz w:val="24"/>
                <w:szCs w:val="24"/>
                <w:lang w:eastAsia="en-US"/>
              </w:rPr>
              <w:t>域植被</w:t>
            </w:r>
            <w:r>
              <w:rPr>
                <w:rFonts w:ascii="宋体" w:hAnsi="宋体" w:eastAsia="宋体" w:cs="宋体"/>
                <w:snapToGrid w:val="0"/>
                <w:color w:val="auto"/>
                <w:spacing w:val="-1"/>
                <w:kern w:val="0"/>
                <w:sz w:val="24"/>
                <w:szCs w:val="24"/>
                <w:lang w:eastAsia="en-US"/>
              </w:rPr>
              <w:t>较少，水土流失严重。</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en-US" w:bidi="ar-SA"/>
              </w:rPr>
              <w:t>全县共修建库、堰、塘、提灌站等水利工程4850处，设计提水量1.16亿m</w:t>
            </w:r>
            <w:r>
              <w:rPr>
                <w:rFonts w:hint="default" w:ascii="Times New Roman" w:hAnsi="Times New Roman" w:eastAsia="宋体" w:cs="Times New Roman"/>
                <w:color w:val="auto"/>
                <w:kern w:val="2"/>
                <w:sz w:val="24"/>
                <w:szCs w:val="24"/>
                <w:highlight w:val="none"/>
                <w:vertAlign w:val="superscript"/>
                <w:lang w:val="en-US" w:eastAsia="en-US" w:bidi="ar-SA"/>
              </w:rPr>
              <w:t>3</w:t>
            </w:r>
            <w:r>
              <w:rPr>
                <w:rFonts w:hint="default" w:ascii="Times New Roman" w:hAnsi="Times New Roman" w:eastAsia="宋体" w:cs="Times New Roman"/>
                <w:color w:val="auto"/>
                <w:kern w:val="2"/>
                <w:sz w:val="24"/>
                <w:szCs w:val="24"/>
                <w:highlight w:val="none"/>
                <w:lang w:val="en-US" w:eastAsia="en-US" w:bidi="ar-SA"/>
              </w:rPr>
              <w:t>，有效水量为0.86亿m</w:t>
            </w:r>
            <w:r>
              <w:rPr>
                <w:rFonts w:hint="default" w:ascii="Times New Roman" w:hAnsi="Times New Roman" w:eastAsia="宋体" w:cs="Times New Roman"/>
                <w:color w:val="auto"/>
                <w:kern w:val="2"/>
                <w:sz w:val="24"/>
                <w:szCs w:val="24"/>
                <w:highlight w:val="none"/>
                <w:vertAlign w:val="superscript"/>
                <w:lang w:val="en-US" w:eastAsia="en-US" w:bidi="ar-SA"/>
              </w:rPr>
              <w:t>3</w:t>
            </w:r>
            <w:r>
              <w:rPr>
                <w:rFonts w:hint="default" w:ascii="Times New Roman" w:hAnsi="Times New Roman" w:eastAsia="宋体" w:cs="Times New Roman"/>
                <w:color w:val="auto"/>
                <w:kern w:val="2"/>
                <w:sz w:val="24"/>
                <w:szCs w:val="24"/>
                <w:highlight w:val="none"/>
                <w:lang w:val="en-US" w:eastAsia="en-US" w:bidi="ar-SA"/>
              </w:rPr>
              <w:t>，占设计量的86.3%。全县大中型水库有白鹤林水库、赤城湖水库</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ordWrap/>
              <w:overflowPunct/>
              <w:topLinePunct w:val="0"/>
              <w:bidi w:val="0"/>
              <w:spacing w:line="360" w:lineRule="auto"/>
              <w:ind w:left="0" w:firstLine="480" w:firstLineChars="200"/>
              <w:rPr>
                <w:rFonts w:hint="eastAsia" w:eastAsia="黑体"/>
                <w:color w:val="auto"/>
                <w:sz w:val="24"/>
                <w:szCs w:val="24"/>
                <w:lang w:val="en-US" w:eastAsia="zh-CN"/>
              </w:rPr>
            </w:pPr>
            <w:r>
              <w:rPr>
                <w:rFonts w:hint="eastAsia" w:eastAsia="黑体"/>
                <w:color w:val="auto"/>
                <w:sz w:val="24"/>
                <w:szCs w:val="24"/>
                <w:lang w:val="en-US" w:eastAsia="zh-CN"/>
              </w:rPr>
              <w:t>3、土地资源</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蓬溪土地总面积1251.64km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，其中农林用地1106.08km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，建设用地总共110.32km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，自然保护地共有35.24km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。农林用地中，耕地面积511.88km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，占土地面积的40.90%；园地用地28.94km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，占土地面积的2.31%；林地用地521.41km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，占土地面积的41.66%；牧草地用地0.01km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，其他农用地43.84km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，占土地面积的3.50%。</w:t>
            </w:r>
          </w:p>
          <w:p>
            <w:pPr>
              <w:keepNext w:val="0"/>
              <w:keepLines w:val="0"/>
              <w:pageBreakBefore w:val="0"/>
              <w:wordWrap/>
              <w:overflowPunct/>
              <w:topLinePunct w:val="0"/>
              <w:bidi w:val="0"/>
              <w:spacing w:line="360" w:lineRule="auto"/>
              <w:ind w:left="0" w:firstLine="480" w:firstLineChars="200"/>
              <w:rPr>
                <w:rFonts w:hint="eastAsia" w:eastAsia="黑体"/>
                <w:color w:val="auto"/>
                <w:sz w:val="24"/>
                <w:szCs w:val="24"/>
                <w:lang w:val="en-US" w:eastAsia="zh-CN"/>
              </w:rPr>
            </w:pPr>
            <w:r>
              <w:rPr>
                <w:rFonts w:hint="eastAsia" w:eastAsia="黑体"/>
                <w:color w:val="auto"/>
                <w:sz w:val="24"/>
                <w:szCs w:val="24"/>
                <w:lang w:val="en-US" w:eastAsia="zh-CN"/>
              </w:rPr>
              <w:t>4、森林资源</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（1）林地面积</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根据蓬溪县最新森林资源管理“一张图”成果，全县土地总面积125167hm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，其中：林地面积34456hm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，占土地总面积的27.53%；非林地面积90711hm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，占72.47%（其中非林地上成片森林面积3196hm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）。林地面积中，有林地33205hm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，占96.37%；疏林地55hm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，占0.16%；灌木林地206hm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，占0.60%；未成林造林地869hm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，占2.52%；无立木林地121hm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，占0.35%。</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全县森林面积36519hm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（包括非林地上成片森林），森林覆盖率29.2%。</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（2）林木蓄积</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根据蓬溪县最新森林资源管理“一张图”成果，全县活立木总蓄积2558746m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。其中：林地蓄积2484147m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，占活立木总蓄积97.08%；非林地蓄积74599m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，占2.92%。森林蓄积2554577m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，占活立木总蓄积99.84%。</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在林地蓄积中乔木林蓄积2480632m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，疏林地蓄积1369m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，散生木蓄积2146m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在非林地蓄积中，四旁树蓄积696m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，非林地上成片森林蓄积73903m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（3）林地内森林面积蓄积</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全县林地内森林面积33323hm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，其中：有林地33205hm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，占林地内森林面积的99.64%；国家特别规定灌木林地119hm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，占0.36%。有林地面积中，乔木林面积31528hm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，占有林地面积的94.95%；竹林面积1676hm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，占5.05%。</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全县林地内森林蓄积2480674m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，其中乔木林蓄积2480632m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（4）林分质量</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乔木林单位面积蓄积较低。全县乔木林每公顷蓄积78.68m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，森林质量不高，乔木林单位面积蓄积处于偏下水平。</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乔木林树种结构单一。全县乔木林中优势树种主要以柏木为主，面积和蓄积均占92%以上，树种结构单一，生物多样性较差。</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乔木林龄组结构以幼、中龄林为主。乔木林中、幼龄林面积29808hm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，幼、中龄林面积占比达94.5%。</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乔木林林分纯林多。全县乔木林中，纯林31371hm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，占99.5%；混交林仅有158hm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，占0.5%。</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乔木林密度大。全县乔木林中郁闭度0.7以上（含0.7）的面积27336hm2，占了86.7%。</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（5）森林生态功能</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森林生态功能是指森林生态系统及其生态过程所形成的有利于人类生存与发展的生态环境条件与效用，包括水源涵养功能、水土保持功能、气候调节功能、环境净化功能、生物多样性保护功能等。通过利用反映森林生物量、生物多样性和森林结构的有关特征因子(森林蓄积量、自然度、群落结构、树种结构、植被总覆盖度、郁闭度、平均树高、枯枝落叶厚度等级等)，按相对重要性来综合评定森林生态功能等级。按《四川省森林资源规划设计调查技术细则》中关于森林生态功能计算公式计算，森林生态功能综合得分2.2273，按森林生态功能等级评定标准，蓬溪县森林生态功能处于中等。</w:t>
            </w:r>
          </w:p>
          <w:p>
            <w:pPr>
              <w:keepNext w:val="0"/>
              <w:keepLines w:val="0"/>
              <w:pageBreakBefore w:val="0"/>
              <w:wordWrap/>
              <w:overflowPunct/>
              <w:topLinePunct w:val="0"/>
              <w:bidi w:val="0"/>
              <w:spacing w:line="360" w:lineRule="auto"/>
              <w:ind w:left="0" w:firstLine="480" w:firstLineChars="200"/>
              <w:rPr>
                <w:rFonts w:hint="eastAsia" w:eastAsia="黑体"/>
                <w:color w:val="auto"/>
                <w:sz w:val="24"/>
                <w:szCs w:val="24"/>
                <w:lang w:val="en-US" w:eastAsia="zh-CN"/>
              </w:rPr>
            </w:pPr>
            <w:r>
              <w:rPr>
                <w:rFonts w:hint="eastAsia" w:eastAsia="黑体"/>
                <w:color w:val="auto"/>
                <w:sz w:val="24"/>
                <w:szCs w:val="24"/>
                <w:lang w:val="en-US" w:eastAsia="zh-CN"/>
              </w:rPr>
              <w:t>5、植物资源</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蓬溪县已知名的植物为103科，171属，349种（含12个亚种，58个变种。不含农作物种）以上。分属苔藓植物门、蕨类植物门，裸子植物门和被子植物门。</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森林植被类型主要有阔叶林（桤木、泡桐、香椿、栎类、油桐、桉树等），针叶林（主要树种为柏木、湿地松），针阔混交林（柏桤混交、柏栎混交林、柏刺混交林），柏木疏林草丛（柏木、黄荆、马桑、黄茅、黄背草、芭茅、金发草等），竹林（多为慈竹纯林），灌丛（黄荆、马桑、火棘、蔷薇等），草丛（黄茅、衰衣草、白茅、孔颖草等），经济林（茶树林、甜橙林、柑橘林、柚林、柠檬林、梨林、桃李林、枣林、枇杷林、桑树林、油桐林等）。</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全县植被水平分布特征比较明显：在遂宁组和蓬莱镇组成母质分布区的部分低丘、中丘、深丘顶部及少数丘坡，分布着柏木林或柏栎、柏桤混交林和黄荆、马桑为主的灌木林或灌丛，这是全县分布最普遍的植被类型；在涪江流域的老河床上，发育着老冲积黄壤，分布着湿地松和茶树林；在涪江沿岸的浅丘，热量资源丰富，分布着橙、红橘、柚、柠檬、梨、桃、李、核桃、香桂等经济林；在农舍四旁都栽有慈竹，农田地埂广泛分布着桑树、千丈、麻柳、桤木、柏木、香椿、泡桐等用材树种。</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由于地势相对高差不大，多数为“馒头山”，植被垂直分布变化不甚明显，有林地、疏林地带状、片状分布于山上，主要是柏木林、松林、柏栎、柏桤混交林、柏木疏林、黄荆、马桑灌丛和草丛等。</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经2020年普查，蓬溪县共有古树424株，其中一级古树14株，二级古树48株，三级古树362株。</w:t>
            </w:r>
          </w:p>
          <w:p>
            <w:pPr>
              <w:keepNext w:val="0"/>
              <w:keepLines w:val="0"/>
              <w:pageBreakBefore w:val="0"/>
              <w:wordWrap/>
              <w:overflowPunct/>
              <w:topLinePunct w:val="0"/>
              <w:bidi w:val="0"/>
              <w:spacing w:line="360" w:lineRule="auto"/>
              <w:ind w:left="0" w:firstLine="480" w:firstLineChars="200"/>
              <w:rPr>
                <w:rFonts w:hint="eastAsia" w:eastAsia="黑体"/>
                <w:color w:val="auto"/>
                <w:sz w:val="24"/>
                <w:szCs w:val="24"/>
                <w:lang w:val="en-US" w:eastAsia="zh-CN"/>
              </w:rPr>
            </w:pPr>
            <w:r>
              <w:rPr>
                <w:rFonts w:hint="eastAsia" w:eastAsia="黑体"/>
                <w:color w:val="auto"/>
                <w:sz w:val="24"/>
                <w:szCs w:val="24"/>
                <w:lang w:val="en-US" w:eastAsia="zh-CN"/>
              </w:rPr>
              <w:t>6、动物资源</w:t>
            </w:r>
          </w:p>
          <w:p>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蓬溪县野生动物受栖息环境的影响，种类不多，数量也较少，据统计，陆生野生动物为44科，335种，其中昆虫纲215种，线虫纲1种，腹足纲2种，鸟纲100种，爬行纲9种，两栖纲3种，田壳纲1种，哺乳纲15种。国家重点保护动物有水獭、白鹤、鸳鸯、鹰。益农动物有蛇、青蛙、啄木鸟、猫头鹰等。县内常见的水生野生动物有鱼类有6目12科56种，主要经济鱼类有鲤科的鲢、鳙、草、鲫、鳊、鲂、赤眼鳝、翘嘴红和鳢科的乌鱼、鲶鱼、江团、青波、白甲等。</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二、环境质量现状</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1、大气环境质量现状</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根据《202</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rPr>
              <w:t>年遂宁市环境质量公告》，202</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rPr>
              <w:t>年遂宁市城区环境空气质量155天优、188天良、20天轻度污染、1天中度污染、2天重度污染，空气质量达标率为93.7%，主要污染物SO</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、NO</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、PM</w:t>
            </w:r>
            <w:r>
              <w:rPr>
                <w:rFonts w:hint="default" w:ascii="Times New Roman" w:hAnsi="Times New Roman" w:eastAsia="宋体" w:cs="Times New Roman"/>
                <w:bCs/>
                <w:color w:val="auto"/>
                <w:sz w:val="24"/>
                <w:vertAlign w:val="subscript"/>
              </w:rPr>
              <w:t>10</w:t>
            </w:r>
            <w:r>
              <w:rPr>
                <w:rFonts w:hint="default" w:ascii="Times New Roman" w:hAnsi="Times New Roman" w:eastAsia="宋体" w:cs="Times New Roman"/>
                <w:bCs/>
                <w:color w:val="auto"/>
                <w:sz w:val="24"/>
              </w:rPr>
              <w:t>、PM</w:t>
            </w:r>
            <w:r>
              <w:rPr>
                <w:rFonts w:hint="default" w:ascii="Times New Roman" w:hAnsi="Times New Roman" w:eastAsia="宋体" w:cs="Times New Roman"/>
                <w:bCs/>
                <w:color w:val="auto"/>
                <w:sz w:val="24"/>
                <w:vertAlign w:val="subscript"/>
              </w:rPr>
              <w:t>2.5</w:t>
            </w:r>
            <w:r>
              <w:rPr>
                <w:rFonts w:hint="default" w:ascii="Times New Roman" w:hAnsi="Times New Roman" w:eastAsia="宋体" w:cs="Times New Roman"/>
                <w:bCs/>
                <w:color w:val="auto"/>
                <w:sz w:val="24"/>
              </w:rPr>
              <w:t>、CO和O</w:t>
            </w:r>
            <w:r>
              <w:rPr>
                <w:rFonts w:hint="default" w:ascii="Times New Roman" w:hAnsi="Times New Roman" w:eastAsia="宋体" w:cs="Times New Roman"/>
                <w:bCs/>
                <w:color w:val="auto"/>
                <w:sz w:val="24"/>
                <w:vertAlign w:val="subscript"/>
              </w:rPr>
              <w:t>3</w:t>
            </w:r>
            <w:r>
              <w:rPr>
                <w:rFonts w:hint="default" w:ascii="Times New Roman" w:hAnsi="Times New Roman" w:eastAsia="宋体" w:cs="Times New Roman"/>
                <w:bCs/>
                <w:color w:val="auto"/>
                <w:sz w:val="24"/>
              </w:rPr>
              <w:t>的</w:t>
            </w:r>
            <w:r>
              <w:rPr>
                <w:rFonts w:hint="eastAsia" w:cs="Times New Roman"/>
                <w:bCs/>
                <w:color w:val="auto"/>
                <w:sz w:val="24"/>
                <w:lang w:val="en-US" w:eastAsia="zh-CN"/>
              </w:rPr>
              <w:t>年</w:t>
            </w:r>
            <w:r>
              <w:rPr>
                <w:rFonts w:hint="default" w:ascii="Times New Roman" w:hAnsi="Times New Roman" w:eastAsia="宋体" w:cs="Times New Roman"/>
                <w:bCs/>
                <w:color w:val="auto"/>
                <w:sz w:val="24"/>
              </w:rPr>
              <w:t>均值分别为9.6微克/立方米、20.5微克/立方米、46.0微克/立方米、26.5微克/立方米、0.8毫克/立方米和143.5微克/立方米。同比NO</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、PM</w:t>
            </w:r>
            <w:r>
              <w:rPr>
                <w:rFonts w:hint="default" w:ascii="Times New Roman" w:hAnsi="Times New Roman" w:eastAsia="宋体" w:cs="Times New Roman"/>
                <w:bCs/>
                <w:color w:val="auto"/>
                <w:sz w:val="24"/>
                <w:vertAlign w:val="subscript"/>
              </w:rPr>
              <w:t>10</w:t>
            </w:r>
            <w:r>
              <w:rPr>
                <w:rFonts w:hint="default" w:ascii="Times New Roman" w:hAnsi="Times New Roman" w:eastAsia="宋体" w:cs="Times New Roman"/>
                <w:bCs/>
                <w:color w:val="auto"/>
                <w:sz w:val="24"/>
              </w:rPr>
              <w:t>、PM</w:t>
            </w:r>
            <w:r>
              <w:rPr>
                <w:rFonts w:hint="default" w:ascii="Times New Roman" w:hAnsi="Times New Roman" w:eastAsia="宋体" w:cs="Times New Roman"/>
                <w:bCs/>
                <w:color w:val="auto"/>
                <w:sz w:val="24"/>
                <w:vertAlign w:val="subscript"/>
              </w:rPr>
              <w:t>2.5</w:t>
            </w:r>
            <w:r>
              <w:rPr>
                <w:rFonts w:hint="default" w:ascii="Times New Roman" w:hAnsi="Times New Roman" w:eastAsia="宋体" w:cs="Times New Roman"/>
                <w:bCs/>
                <w:color w:val="auto"/>
                <w:sz w:val="24"/>
              </w:rPr>
              <w:t>、CO、O</w:t>
            </w:r>
            <w:r>
              <w:rPr>
                <w:rFonts w:hint="default" w:ascii="Times New Roman" w:hAnsi="Times New Roman" w:eastAsia="宋体" w:cs="Times New Roman"/>
                <w:bCs/>
                <w:color w:val="auto"/>
                <w:sz w:val="24"/>
                <w:vertAlign w:val="subscript"/>
              </w:rPr>
              <w:t>3</w:t>
            </w:r>
            <w:r>
              <w:rPr>
                <w:rFonts w:hint="default" w:ascii="Times New Roman" w:hAnsi="Times New Roman" w:eastAsia="宋体" w:cs="Times New Roman"/>
                <w:bCs/>
                <w:color w:val="auto"/>
                <w:sz w:val="24"/>
              </w:rPr>
              <w:t>浓度分别下降16.7%、11.0%、11.7%、20.0%、0.6%，SO</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浓</w:t>
            </w:r>
            <w:r>
              <w:rPr>
                <w:rFonts w:hint="eastAsia" w:cs="Times New Roman"/>
                <w:bCs/>
                <w:color w:val="auto"/>
                <w:sz w:val="24"/>
                <w:lang w:val="en-US" w:eastAsia="zh-CN"/>
              </w:rPr>
              <w:t>度</w:t>
            </w:r>
            <w:r>
              <w:rPr>
                <w:rFonts w:hint="eastAsia" w:ascii="Times New Roman" w:hAnsi="Times New Roman" w:eastAsia="宋体" w:cs="Times New Roman"/>
                <w:bCs/>
                <w:color w:val="auto"/>
                <w:sz w:val="24"/>
                <w:lang w:val="en-US" w:eastAsia="zh-CN"/>
              </w:rPr>
              <w:t>升高</w:t>
            </w:r>
            <w:r>
              <w:rPr>
                <w:rFonts w:hint="default" w:ascii="Times New Roman" w:hAnsi="Times New Roman" w:eastAsia="宋体" w:cs="Times New Roman"/>
                <w:bCs/>
                <w:color w:val="auto"/>
                <w:sz w:val="24"/>
              </w:rPr>
              <w:t>24.7%。202</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rPr>
              <w:t>年遂宁市环境空气质量</w:t>
            </w:r>
            <w:r>
              <w:rPr>
                <w:rFonts w:hint="eastAsia" w:cs="Times New Roman"/>
                <w:bCs/>
                <w:color w:val="auto"/>
                <w:sz w:val="24"/>
                <w:lang w:val="en-US" w:eastAsia="zh-CN"/>
              </w:rPr>
              <w:t>监测</w:t>
            </w:r>
            <w:r>
              <w:rPr>
                <w:rFonts w:hint="default" w:ascii="Times New Roman" w:hAnsi="Times New Roman" w:eastAsia="宋体" w:cs="Times New Roman"/>
                <w:bCs/>
                <w:color w:val="auto"/>
                <w:sz w:val="24"/>
              </w:rPr>
              <w:t>结果见下表。</w:t>
            </w:r>
          </w:p>
          <w:p>
            <w:pPr>
              <w:adjustRightInd w:val="0"/>
              <w:snapToGrid w:val="0"/>
              <w:spacing w:before="120" w:beforeLines="50"/>
              <w:jc w:val="center"/>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表3-1  202</w:t>
            </w:r>
            <w:r>
              <w:rPr>
                <w:rFonts w:hint="eastAsia" w:ascii="Times New Roman" w:hAnsi="Times New Roman" w:eastAsia="宋体" w:cs="Times New Roman"/>
                <w:b/>
                <w:bCs/>
                <w:snapToGrid w:val="0"/>
                <w:color w:val="auto"/>
                <w:sz w:val="21"/>
                <w:szCs w:val="21"/>
                <w:lang w:val="en-US" w:eastAsia="zh-CN" w:bidi="ar-SA"/>
              </w:rPr>
              <w:t>4</w:t>
            </w:r>
            <w:r>
              <w:rPr>
                <w:rFonts w:hint="default" w:ascii="Times New Roman" w:hAnsi="Times New Roman" w:eastAsia="宋体" w:cs="Times New Roman"/>
                <w:b/>
                <w:bCs/>
                <w:snapToGrid w:val="0"/>
                <w:color w:val="auto"/>
                <w:sz w:val="21"/>
                <w:szCs w:val="21"/>
                <w:lang w:val="en-US" w:eastAsia="zh-CN" w:bidi="ar-SA"/>
              </w:rPr>
              <w:t>年遂宁市城区环境空气质量主要污染物浓度（单位：</w:t>
            </w:r>
            <w:r>
              <w:rPr>
                <w:rFonts w:hint="default" w:ascii="Times New Roman" w:hAnsi="Times New Roman" w:eastAsia="仿宋" w:cs="Times New Roman"/>
                <w:b/>
                <w:bCs/>
                <w:snapToGrid w:val="0"/>
                <w:color w:val="auto"/>
                <w:kern w:val="2"/>
                <w:sz w:val="21"/>
                <w:szCs w:val="21"/>
                <w:lang w:val="en-US" w:eastAsia="zh-CN" w:bidi="ar-SA"/>
              </w:rPr>
              <w:t>μg/m</w:t>
            </w:r>
            <w:r>
              <w:rPr>
                <w:rFonts w:hint="default" w:ascii="Times New Roman" w:hAnsi="Times New Roman" w:eastAsia="仿宋" w:cs="Times New Roman"/>
                <w:b/>
                <w:bCs/>
                <w:snapToGrid w:val="0"/>
                <w:color w:val="auto"/>
                <w:kern w:val="2"/>
                <w:sz w:val="21"/>
                <w:szCs w:val="21"/>
                <w:vertAlign w:val="superscript"/>
                <w:lang w:val="en-US" w:eastAsia="zh-CN" w:bidi="ar-SA"/>
              </w:rPr>
              <w:t>3</w:t>
            </w:r>
            <w:r>
              <w:rPr>
                <w:rFonts w:hint="default" w:ascii="Times New Roman" w:hAnsi="Times New Roman" w:eastAsia="宋体" w:cs="Times New Roman"/>
                <w:b/>
                <w:bCs/>
                <w:snapToGrid w:val="0"/>
                <w:color w:val="auto"/>
                <w:sz w:val="21"/>
                <w:szCs w:val="21"/>
                <w:lang w:val="en-US" w:eastAsia="zh-CN" w:bidi="ar-SA"/>
              </w:rPr>
              <w:t>）</w:t>
            </w:r>
          </w:p>
          <w:tbl>
            <w:tblPr>
              <w:tblStyle w:val="22"/>
              <w:tblW w:w="8154"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610"/>
              <w:gridCol w:w="1325"/>
              <w:gridCol w:w="1174"/>
              <w:gridCol w:w="1565"/>
              <w:gridCol w:w="128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tcBorders>
                    <w:tl2br w:val="nil"/>
                    <w:tr2bl w:val="nil"/>
                  </w:tcBorders>
                  <w:noWrap w:val="0"/>
                  <w:vAlign w:val="center"/>
                </w:tcPr>
                <w:p>
                  <w:pPr>
                    <w:pStyle w:val="47"/>
                    <w:keepNext w:val="0"/>
                    <w:keepLines w:val="0"/>
                    <w:pageBreakBefore w:val="0"/>
                    <w:kinsoku/>
                    <w:wordWrap/>
                    <w:overflowPunct/>
                    <w:topLinePunct w:val="0"/>
                    <w:autoSpaceDE/>
                    <w:autoSpaceDN/>
                    <w:bidi w:val="0"/>
                    <w:spacing w:before="0" w:beforeLines="0" w:line="240" w:lineRule="auto"/>
                    <w:ind w:firstLine="0" w:firstLineChars="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污染物</w:t>
                  </w:r>
                </w:p>
              </w:tc>
              <w:tc>
                <w:tcPr>
                  <w:tcW w:w="1610" w:type="dxa"/>
                  <w:tcBorders>
                    <w:tl2br w:val="nil"/>
                    <w:tr2bl w:val="nil"/>
                  </w:tcBorders>
                  <w:noWrap w:val="0"/>
                  <w:vAlign w:val="center"/>
                </w:tcPr>
                <w:p>
                  <w:pPr>
                    <w:pStyle w:val="47"/>
                    <w:keepNext w:val="0"/>
                    <w:keepLines w:val="0"/>
                    <w:pageBreakBefore w:val="0"/>
                    <w:kinsoku/>
                    <w:wordWrap/>
                    <w:overflowPunct/>
                    <w:topLinePunct w:val="0"/>
                    <w:autoSpaceDE/>
                    <w:autoSpaceDN/>
                    <w:bidi w:val="0"/>
                    <w:spacing w:before="0" w:before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评价指标</w:t>
                  </w:r>
                </w:p>
              </w:tc>
              <w:tc>
                <w:tcPr>
                  <w:tcW w:w="1325" w:type="dxa"/>
                  <w:tcBorders>
                    <w:tl2br w:val="nil"/>
                    <w:tr2bl w:val="nil"/>
                  </w:tcBorders>
                  <w:noWrap w:val="0"/>
                  <w:vAlign w:val="center"/>
                </w:tcPr>
                <w:p>
                  <w:pPr>
                    <w:pStyle w:val="47"/>
                    <w:keepNext w:val="0"/>
                    <w:keepLines w:val="0"/>
                    <w:pageBreakBefore w:val="0"/>
                    <w:kinsoku/>
                    <w:wordWrap/>
                    <w:overflowPunct/>
                    <w:topLinePunct w:val="0"/>
                    <w:autoSpaceDE/>
                    <w:autoSpaceDN/>
                    <w:bidi w:val="0"/>
                    <w:spacing w:before="0" w:before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现状浓度</w:t>
                  </w:r>
                </w:p>
              </w:tc>
              <w:tc>
                <w:tcPr>
                  <w:tcW w:w="1174" w:type="dxa"/>
                  <w:tcBorders>
                    <w:tl2br w:val="nil"/>
                    <w:tr2bl w:val="nil"/>
                  </w:tcBorders>
                  <w:noWrap w:val="0"/>
                  <w:vAlign w:val="center"/>
                </w:tcPr>
                <w:p>
                  <w:pPr>
                    <w:pStyle w:val="47"/>
                    <w:keepNext w:val="0"/>
                    <w:keepLines w:val="0"/>
                    <w:pageBreakBefore w:val="0"/>
                    <w:kinsoku/>
                    <w:wordWrap/>
                    <w:overflowPunct/>
                    <w:topLinePunct w:val="0"/>
                    <w:autoSpaceDE/>
                    <w:autoSpaceDN/>
                    <w:bidi w:val="0"/>
                    <w:spacing w:before="0" w:before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1565" w:type="dxa"/>
                  <w:tcBorders>
                    <w:tl2br w:val="nil"/>
                    <w:tr2bl w:val="nil"/>
                  </w:tcBorders>
                  <w:noWrap w:val="0"/>
                  <w:vAlign w:val="center"/>
                </w:tcPr>
                <w:p>
                  <w:pPr>
                    <w:pStyle w:val="47"/>
                    <w:keepNext w:val="0"/>
                    <w:keepLines w:val="0"/>
                    <w:pageBreakBefore w:val="0"/>
                    <w:kinsoku/>
                    <w:wordWrap/>
                    <w:overflowPunct/>
                    <w:topLinePunct w:val="0"/>
                    <w:autoSpaceDE/>
                    <w:autoSpaceDN/>
                    <w:bidi w:val="0"/>
                    <w:spacing w:before="0" w:before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占标率</w:t>
                  </w:r>
                  <w:r>
                    <w:rPr>
                      <w:rFonts w:hint="default" w:ascii="Times New Roman" w:hAnsi="Times New Roman" w:eastAsia="宋体" w:cs="Times New Roman"/>
                      <w:color w:val="auto"/>
                      <w:sz w:val="21"/>
                      <w:szCs w:val="21"/>
                      <w:lang w:val="en-US" w:eastAsia="zh-CN"/>
                    </w:rPr>
                    <w:t>/%</w:t>
                  </w:r>
                </w:p>
              </w:tc>
              <w:tc>
                <w:tcPr>
                  <w:tcW w:w="1282" w:type="dxa"/>
                  <w:tcBorders>
                    <w:tl2br w:val="nil"/>
                    <w:tr2bl w:val="nil"/>
                  </w:tcBorders>
                  <w:noWrap w:val="0"/>
                  <w:vAlign w:val="center"/>
                </w:tcPr>
                <w:p>
                  <w:pPr>
                    <w:pStyle w:val="47"/>
                    <w:keepNext w:val="0"/>
                    <w:keepLines w:val="0"/>
                    <w:pageBreakBefore w:val="0"/>
                    <w:kinsoku/>
                    <w:wordWrap/>
                    <w:overflowPunct/>
                    <w:topLinePunct w:val="0"/>
                    <w:autoSpaceDE/>
                    <w:autoSpaceDN/>
                    <w:bidi w:val="0"/>
                    <w:spacing w:before="0" w:beforeLines="0" w:line="240" w:lineRule="auto"/>
                    <w:ind w:firstLine="0" w:firstLineChars="0"/>
                    <w:textAlignment w:val="auto"/>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color w:val="auto"/>
                      <w:sz w:val="21"/>
                      <w:szCs w:val="21"/>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SO</w:t>
                  </w:r>
                  <w:r>
                    <w:rPr>
                      <w:rFonts w:hint="default" w:ascii="Times New Roman" w:hAnsi="Times New Roman" w:cs="Times New Roman"/>
                      <w:color w:val="auto"/>
                      <w:kern w:val="2"/>
                      <w:sz w:val="21"/>
                      <w:szCs w:val="21"/>
                      <w:vertAlign w:val="subscript"/>
                    </w:rPr>
                    <w:t>2</w:t>
                  </w:r>
                </w:p>
              </w:tc>
              <w:tc>
                <w:tcPr>
                  <w:tcW w:w="1610" w:type="dxa"/>
                  <w:tcBorders>
                    <w:tl2br w:val="nil"/>
                    <w:tr2bl w:val="nil"/>
                  </w:tcBorders>
                  <w:noWrap w:val="0"/>
                  <w:vAlign w:val="center"/>
                </w:tcPr>
                <w:p>
                  <w:pPr>
                    <w:pStyle w:val="47"/>
                    <w:keepNext w:val="0"/>
                    <w:keepLines w:val="0"/>
                    <w:pageBreakBefore w:val="0"/>
                    <w:kinsoku/>
                    <w:wordWrap/>
                    <w:overflowPunct/>
                    <w:topLinePunct w:val="0"/>
                    <w:autoSpaceDE/>
                    <w:autoSpaceDN/>
                    <w:bidi w:val="0"/>
                    <w:spacing w:before="0" w:beforeLines="0" w:line="240" w:lineRule="auto"/>
                    <w:ind w:firstLine="0" w:firstLineChars="0"/>
                    <w:textAlignment w:val="auto"/>
                    <w:rPr>
                      <w:rFonts w:hint="default" w:ascii="Times New Roman" w:hAnsi="Times New Roman" w:eastAsia="宋体" w:cs="Times New Roman"/>
                      <w:b w:val="0"/>
                      <w:bCs w:val="0"/>
                      <w:snapToGrid/>
                      <w:color w:val="auto"/>
                      <w:kern w:val="2"/>
                      <w:sz w:val="21"/>
                      <w:szCs w:val="21"/>
                      <w:lang w:val="en-US" w:eastAsia="zh-CN" w:bidi="ar-SA"/>
                    </w:rPr>
                  </w:pPr>
                  <w:r>
                    <w:rPr>
                      <w:rFonts w:hint="default" w:ascii="Times New Roman" w:hAnsi="Times New Roman" w:eastAsia="宋体" w:cs="Times New Roman"/>
                      <w:b w:val="0"/>
                      <w:bCs w:val="0"/>
                      <w:snapToGrid/>
                      <w:color w:val="auto"/>
                      <w:kern w:val="2"/>
                      <w:sz w:val="21"/>
                      <w:szCs w:val="21"/>
                      <w:lang w:val="en-US" w:eastAsia="zh-CN" w:bidi="ar-SA"/>
                    </w:rPr>
                    <w:t>年平均值</w:t>
                  </w:r>
                </w:p>
              </w:tc>
              <w:tc>
                <w:tcPr>
                  <w:tcW w:w="1325" w:type="dxa"/>
                  <w:tcBorders>
                    <w:tl2br w:val="nil"/>
                    <w:tr2bl w:val="nil"/>
                  </w:tcBorders>
                  <w:noWrap w:val="0"/>
                  <w:vAlign w:val="center"/>
                </w:tcPr>
                <w:p>
                  <w:pPr>
                    <w:pStyle w:val="47"/>
                    <w:keepNext w:val="0"/>
                    <w:keepLines w:val="0"/>
                    <w:pageBreakBefore w:val="0"/>
                    <w:kinsoku/>
                    <w:wordWrap/>
                    <w:overflowPunct/>
                    <w:topLinePunct w:val="0"/>
                    <w:autoSpaceDE/>
                    <w:autoSpaceDN/>
                    <w:bidi w:val="0"/>
                    <w:spacing w:before="0" w:beforeLines="0" w:line="240" w:lineRule="auto"/>
                    <w:ind w:firstLine="0" w:firstLineChars="0"/>
                    <w:textAlignment w:val="auto"/>
                    <w:rPr>
                      <w:rFonts w:hint="default" w:ascii="Times New Roman" w:hAnsi="Times New Roman" w:eastAsia="宋体" w:cs="Times New Roman"/>
                      <w:b w:val="0"/>
                      <w:bCs w:val="0"/>
                      <w:snapToGrid/>
                      <w:color w:val="auto"/>
                      <w:kern w:val="2"/>
                      <w:sz w:val="21"/>
                      <w:szCs w:val="21"/>
                      <w:lang w:val="en-US" w:eastAsia="zh-CN" w:bidi="ar-SA"/>
                    </w:rPr>
                  </w:pPr>
                  <w:r>
                    <w:rPr>
                      <w:rFonts w:hint="eastAsia" w:ascii="Times New Roman" w:hAnsi="Times New Roman" w:eastAsia="宋体" w:cs="Times New Roman"/>
                      <w:b w:val="0"/>
                      <w:bCs w:val="0"/>
                      <w:snapToGrid/>
                      <w:color w:val="auto"/>
                      <w:kern w:val="2"/>
                      <w:sz w:val="21"/>
                      <w:szCs w:val="21"/>
                      <w:lang w:val="en-US" w:eastAsia="zh-CN" w:bidi="ar-SA"/>
                    </w:rPr>
                    <w:t>9.6</w:t>
                  </w:r>
                </w:p>
              </w:tc>
              <w:tc>
                <w:tcPr>
                  <w:tcW w:w="1174" w:type="dxa"/>
                  <w:tcBorders>
                    <w:tl2br w:val="nil"/>
                    <w:tr2bl w:val="nil"/>
                  </w:tcBorders>
                  <w:noWrap w:val="0"/>
                  <w:vAlign w:val="center"/>
                </w:tcPr>
                <w:p>
                  <w:pPr>
                    <w:pStyle w:val="47"/>
                    <w:keepNext w:val="0"/>
                    <w:keepLines w:val="0"/>
                    <w:pageBreakBefore w:val="0"/>
                    <w:kinsoku/>
                    <w:wordWrap/>
                    <w:overflowPunct/>
                    <w:topLinePunct w:val="0"/>
                    <w:autoSpaceDE/>
                    <w:autoSpaceDN/>
                    <w:bidi w:val="0"/>
                    <w:spacing w:before="0" w:beforeLines="0" w:line="240" w:lineRule="auto"/>
                    <w:ind w:firstLine="0" w:firstLineChars="0"/>
                    <w:textAlignment w:val="auto"/>
                    <w:rPr>
                      <w:rFonts w:hint="default" w:ascii="Times New Roman" w:hAnsi="Times New Roman" w:eastAsia="宋体" w:cs="Times New Roman"/>
                      <w:b w:val="0"/>
                      <w:bCs w:val="0"/>
                      <w:snapToGrid/>
                      <w:color w:val="auto"/>
                      <w:kern w:val="2"/>
                      <w:sz w:val="21"/>
                      <w:szCs w:val="21"/>
                      <w:lang w:val="en-US" w:eastAsia="zh-CN" w:bidi="ar-SA"/>
                    </w:rPr>
                  </w:pPr>
                  <w:r>
                    <w:rPr>
                      <w:rFonts w:hint="default" w:ascii="Times New Roman" w:hAnsi="Times New Roman" w:eastAsia="宋体" w:cs="Times New Roman"/>
                      <w:b w:val="0"/>
                      <w:bCs w:val="0"/>
                      <w:snapToGrid/>
                      <w:color w:val="auto"/>
                      <w:kern w:val="2"/>
                      <w:sz w:val="21"/>
                      <w:szCs w:val="21"/>
                      <w:lang w:val="en-US" w:eastAsia="zh-CN" w:bidi="ar-SA"/>
                    </w:rPr>
                    <w:t>60</w:t>
                  </w:r>
                </w:p>
              </w:tc>
              <w:tc>
                <w:tcPr>
                  <w:tcW w:w="156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16</w:t>
                  </w:r>
                </w:p>
              </w:tc>
              <w:tc>
                <w:tcPr>
                  <w:tcW w:w="1282" w:type="dxa"/>
                  <w:tcBorders>
                    <w:tl2br w:val="nil"/>
                    <w:tr2bl w:val="nil"/>
                  </w:tcBorders>
                  <w:noWrap w:val="0"/>
                  <w:vAlign w:val="center"/>
                </w:tcPr>
                <w:p>
                  <w:pPr>
                    <w:pStyle w:val="47"/>
                    <w:keepNext w:val="0"/>
                    <w:keepLines w:val="0"/>
                    <w:pageBreakBefore w:val="0"/>
                    <w:kinsoku/>
                    <w:wordWrap/>
                    <w:overflowPunct/>
                    <w:topLinePunct w:val="0"/>
                    <w:autoSpaceDE/>
                    <w:autoSpaceDN/>
                    <w:bidi w:val="0"/>
                    <w:spacing w:before="0" w:beforeLines="0" w:line="240" w:lineRule="auto"/>
                    <w:ind w:firstLine="0" w:firstLineChars="0"/>
                    <w:textAlignment w:val="auto"/>
                    <w:rPr>
                      <w:rFonts w:hint="default" w:ascii="Times New Roman" w:hAnsi="Times New Roman" w:eastAsia="宋体" w:cs="Times New Roman"/>
                      <w:b w:val="0"/>
                      <w:bCs w:val="0"/>
                      <w:snapToGrid/>
                      <w:color w:val="auto"/>
                      <w:kern w:val="2"/>
                      <w:sz w:val="21"/>
                      <w:szCs w:val="21"/>
                      <w:lang w:val="en-US" w:eastAsia="zh-CN" w:bidi="ar-SA"/>
                    </w:rPr>
                  </w:pPr>
                  <w:r>
                    <w:rPr>
                      <w:rFonts w:hint="default" w:ascii="Times New Roman" w:hAnsi="Times New Roman" w:eastAsia="宋体" w:cs="Times New Roman"/>
                      <w:b w:val="0"/>
                      <w:bCs w:val="0"/>
                      <w:snapToGrid/>
                      <w:color w:val="auto"/>
                      <w:kern w:val="2"/>
                      <w:sz w:val="21"/>
                      <w:szCs w:val="21"/>
                      <w:lang w:val="en-US" w:eastAsia="zh-CN" w:bidi="ar-SA"/>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NO</w:t>
                  </w:r>
                  <w:r>
                    <w:rPr>
                      <w:rFonts w:hint="default" w:ascii="Times New Roman" w:hAnsi="Times New Roman" w:cs="Times New Roman"/>
                      <w:color w:val="auto"/>
                      <w:kern w:val="2"/>
                      <w:sz w:val="21"/>
                      <w:szCs w:val="21"/>
                      <w:vertAlign w:val="subscript"/>
                    </w:rPr>
                    <w:t>2</w:t>
                  </w:r>
                </w:p>
              </w:tc>
              <w:tc>
                <w:tcPr>
                  <w:tcW w:w="161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年</w:t>
                  </w:r>
                  <w:r>
                    <w:rPr>
                      <w:rFonts w:hint="default" w:ascii="Times New Roman" w:hAnsi="Times New Roman" w:eastAsia="宋体" w:cs="Times New Roman"/>
                      <w:color w:val="auto"/>
                      <w:kern w:val="2"/>
                      <w:sz w:val="21"/>
                      <w:szCs w:val="21"/>
                    </w:rPr>
                    <w:t>平均值</w:t>
                  </w:r>
                </w:p>
              </w:tc>
              <w:tc>
                <w:tcPr>
                  <w:tcW w:w="132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20.5</w:t>
                  </w:r>
                </w:p>
              </w:tc>
              <w:tc>
                <w:tcPr>
                  <w:tcW w:w="117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40</w:t>
                  </w:r>
                </w:p>
              </w:tc>
              <w:tc>
                <w:tcPr>
                  <w:tcW w:w="156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51.3</w:t>
                  </w:r>
                </w:p>
              </w:tc>
              <w:tc>
                <w:tcPr>
                  <w:tcW w:w="12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PM</w:t>
                  </w:r>
                  <w:r>
                    <w:rPr>
                      <w:rFonts w:hint="default" w:ascii="Times New Roman" w:hAnsi="Times New Roman" w:cs="Times New Roman"/>
                      <w:color w:val="auto"/>
                      <w:kern w:val="2"/>
                      <w:sz w:val="21"/>
                      <w:szCs w:val="21"/>
                      <w:vertAlign w:val="subscript"/>
                    </w:rPr>
                    <w:t>10</w:t>
                  </w:r>
                </w:p>
              </w:tc>
              <w:tc>
                <w:tcPr>
                  <w:tcW w:w="161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年</w:t>
                  </w:r>
                  <w:r>
                    <w:rPr>
                      <w:rFonts w:hint="default" w:ascii="Times New Roman" w:hAnsi="Times New Roman" w:eastAsia="宋体" w:cs="Times New Roman"/>
                      <w:color w:val="auto"/>
                      <w:kern w:val="2"/>
                      <w:sz w:val="21"/>
                      <w:szCs w:val="21"/>
                    </w:rPr>
                    <w:t>平均值</w:t>
                  </w:r>
                </w:p>
              </w:tc>
              <w:tc>
                <w:tcPr>
                  <w:tcW w:w="132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46</w:t>
                  </w:r>
                </w:p>
              </w:tc>
              <w:tc>
                <w:tcPr>
                  <w:tcW w:w="117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70</w:t>
                  </w:r>
                </w:p>
              </w:tc>
              <w:tc>
                <w:tcPr>
                  <w:tcW w:w="156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65.7</w:t>
                  </w:r>
                </w:p>
              </w:tc>
              <w:tc>
                <w:tcPr>
                  <w:tcW w:w="12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PM</w:t>
                  </w:r>
                  <w:r>
                    <w:rPr>
                      <w:rFonts w:hint="default" w:ascii="Times New Roman" w:hAnsi="Times New Roman" w:cs="Times New Roman"/>
                      <w:color w:val="auto"/>
                      <w:kern w:val="2"/>
                      <w:sz w:val="21"/>
                      <w:szCs w:val="21"/>
                      <w:vertAlign w:val="subscript"/>
                    </w:rPr>
                    <w:t>2.5</w:t>
                  </w:r>
                </w:p>
              </w:tc>
              <w:tc>
                <w:tcPr>
                  <w:tcW w:w="161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年</w:t>
                  </w:r>
                  <w:r>
                    <w:rPr>
                      <w:rFonts w:hint="default" w:ascii="Times New Roman" w:hAnsi="Times New Roman" w:eastAsia="宋体" w:cs="Times New Roman"/>
                      <w:color w:val="auto"/>
                      <w:kern w:val="2"/>
                      <w:sz w:val="21"/>
                      <w:szCs w:val="21"/>
                    </w:rPr>
                    <w:t>平均值</w:t>
                  </w:r>
                </w:p>
              </w:tc>
              <w:tc>
                <w:tcPr>
                  <w:tcW w:w="132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26.5</w:t>
                  </w:r>
                </w:p>
              </w:tc>
              <w:tc>
                <w:tcPr>
                  <w:tcW w:w="117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35</w:t>
                  </w:r>
                </w:p>
              </w:tc>
              <w:tc>
                <w:tcPr>
                  <w:tcW w:w="156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75.7</w:t>
                  </w:r>
                </w:p>
              </w:tc>
              <w:tc>
                <w:tcPr>
                  <w:tcW w:w="12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CO</w:t>
                  </w:r>
                </w:p>
              </w:tc>
              <w:tc>
                <w:tcPr>
                  <w:tcW w:w="161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年</w:t>
                  </w:r>
                  <w:r>
                    <w:rPr>
                      <w:rFonts w:hint="default" w:ascii="Times New Roman" w:hAnsi="Times New Roman" w:eastAsia="宋体" w:cs="Times New Roman"/>
                      <w:color w:val="auto"/>
                      <w:kern w:val="2"/>
                      <w:sz w:val="21"/>
                      <w:szCs w:val="21"/>
                    </w:rPr>
                    <w:t>平均值</w:t>
                  </w:r>
                </w:p>
              </w:tc>
              <w:tc>
                <w:tcPr>
                  <w:tcW w:w="132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8</w:t>
                  </w:r>
                  <w:r>
                    <w:rPr>
                      <w:rFonts w:hint="default" w:ascii="Times New Roman" w:hAnsi="Times New Roman" w:eastAsia="宋体" w:cs="Times New Roman"/>
                      <w:color w:val="auto"/>
                      <w:kern w:val="2"/>
                      <w:sz w:val="21"/>
                      <w:szCs w:val="21"/>
                      <w:lang w:val="en-US" w:eastAsia="zh-CN"/>
                    </w:rPr>
                    <w:t>00</w:t>
                  </w:r>
                </w:p>
              </w:tc>
              <w:tc>
                <w:tcPr>
                  <w:tcW w:w="117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4</w:t>
                  </w:r>
                  <w:r>
                    <w:rPr>
                      <w:rFonts w:hint="default" w:ascii="Times New Roman" w:hAnsi="Times New Roman" w:eastAsia="宋体" w:cs="Times New Roman"/>
                      <w:color w:val="auto"/>
                      <w:kern w:val="2"/>
                      <w:sz w:val="21"/>
                      <w:szCs w:val="21"/>
                      <w:lang w:val="en-US" w:eastAsia="zh-CN"/>
                    </w:rPr>
                    <w:t>000</w:t>
                  </w:r>
                </w:p>
              </w:tc>
              <w:tc>
                <w:tcPr>
                  <w:tcW w:w="156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20</w:t>
                  </w:r>
                </w:p>
              </w:tc>
              <w:tc>
                <w:tcPr>
                  <w:tcW w:w="12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8" w:type="dxa"/>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beforeLines="0" w:afterLines="0" w:line="240" w:lineRule="auto"/>
                    <w:ind w:left="0"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O</w:t>
                  </w:r>
                  <w:r>
                    <w:rPr>
                      <w:rFonts w:hint="default" w:ascii="Times New Roman" w:hAnsi="Times New Roman" w:cs="Times New Roman"/>
                      <w:color w:val="auto"/>
                      <w:kern w:val="2"/>
                      <w:sz w:val="21"/>
                      <w:szCs w:val="21"/>
                      <w:vertAlign w:val="subscript"/>
                    </w:rPr>
                    <w:t>3</w:t>
                  </w:r>
                </w:p>
              </w:tc>
              <w:tc>
                <w:tcPr>
                  <w:tcW w:w="161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年</w:t>
                  </w:r>
                  <w:r>
                    <w:rPr>
                      <w:rFonts w:hint="default" w:ascii="Times New Roman" w:hAnsi="Times New Roman" w:eastAsia="宋体" w:cs="Times New Roman"/>
                      <w:color w:val="auto"/>
                      <w:kern w:val="2"/>
                      <w:sz w:val="21"/>
                      <w:szCs w:val="21"/>
                    </w:rPr>
                    <w:t>平均值</w:t>
                  </w:r>
                </w:p>
              </w:tc>
              <w:tc>
                <w:tcPr>
                  <w:tcW w:w="132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14</w:t>
                  </w:r>
                  <w:r>
                    <w:rPr>
                      <w:rFonts w:hint="eastAsia" w:ascii="Times New Roman" w:hAnsi="Times New Roman" w:eastAsia="宋体" w:cs="Times New Roman"/>
                      <w:color w:val="auto"/>
                      <w:kern w:val="2"/>
                      <w:sz w:val="21"/>
                      <w:szCs w:val="21"/>
                      <w:lang w:val="en-US" w:eastAsia="zh-CN"/>
                    </w:rPr>
                    <w:t>3.5</w:t>
                  </w:r>
                </w:p>
              </w:tc>
              <w:tc>
                <w:tcPr>
                  <w:tcW w:w="117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160</w:t>
                  </w:r>
                </w:p>
              </w:tc>
              <w:tc>
                <w:tcPr>
                  <w:tcW w:w="156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89.7</w:t>
                  </w:r>
                </w:p>
              </w:tc>
              <w:tc>
                <w:tcPr>
                  <w:tcW w:w="12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154"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rPr>
                  </w:pPr>
                  <w:r>
                    <w:rPr>
                      <w:rFonts w:hint="eastAsia" w:ascii="Times New Roman" w:hAnsi="Times New Roman" w:cs="Times New Roman"/>
                      <w:bCs/>
                      <w:color w:val="auto"/>
                      <w:sz w:val="21"/>
                      <w:szCs w:val="21"/>
                      <w:lang w:val="en-US" w:eastAsia="zh-CN"/>
                    </w:rPr>
                    <w:t>注：臭氧年平均值为日最大8小时平均浓度值第90百分位数，一氧化碳年平均值为日平均浓度值第95百分位数。</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Cs/>
                <w:color w:val="auto"/>
                <w:sz w:val="24"/>
                <w:lang w:val="en-US" w:eastAsia="zh-CN"/>
              </w:rPr>
              <w:t>本项目位于</w:t>
            </w:r>
            <w:r>
              <w:rPr>
                <w:rFonts w:hint="eastAsia" w:ascii="Times New Roman" w:hAnsi="Times New Roman" w:eastAsia="宋体" w:cs="Times New Roman"/>
                <w:color w:val="auto"/>
                <w:sz w:val="24"/>
                <w:lang w:eastAsia="zh-CN"/>
              </w:rPr>
              <w:t>遂宁市蓬溪县，由上表可知，项目所在区域环境空气中六项基本污染物均达到《环境空气质量标准》（GB3095-2012）二级标准，因此项目所在区域环境空气质量达标，为达标区。</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eastAsia="宋体" w:cs="Times New Roman"/>
                <w:b/>
                <w:bCs/>
                <w:color w:val="auto"/>
                <w:kern w:val="2"/>
                <w:sz w:val="24"/>
                <w:szCs w:val="24"/>
                <w:highlight w:val="none"/>
                <w:lang w:val="en-US" w:eastAsia="zh-CN" w:bidi="ar-SA"/>
              </w:rPr>
              <w:t>地表水环境质量现状</w:t>
            </w:r>
          </w:p>
          <w:p>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4"/>
                <w:lang w:bidi="ar"/>
              </w:rPr>
              <w:t>项目地表水环境根据《202</w:t>
            </w:r>
            <w:r>
              <w:rPr>
                <w:rFonts w:hint="eastAsia" w:ascii="Times New Roman" w:hAnsi="Times New Roman" w:eastAsia="宋体" w:cs="Times New Roman"/>
                <w:color w:val="auto"/>
                <w:kern w:val="0"/>
                <w:sz w:val="24"/>
                <w:lang w:val="en-US" w:eastAsia="zh-CN" w:bidi="ar"/>
              </w:rPr>
              <w:t>4</w:t>
            </w:r>
            <w:r>
              <w:rPr>
                <w:rFonts w:hint="default" w:ascii="Times New Roman" w:hAnsi="Times New Roman" w:eastAsia="宋体" w:cs="Times New Roman"/>
                <w:color w:val="auto"/>
                <w:kern w:val="0"/>
                <w:sz w:val="24"/>
                <w:lang w:bidi="ar"/>
              </w:rPr>
              <w:t>年遂宁市环境质量公告》</w:t>
            </w:r>
            <w:r>
              <w:rPr>
                <w:rFonts w:hint="default" w:ascii="Times New Roman" w:hAnsi="Times New Roman" w:eastAsia="宋体" w:cs="Times New Roman"/>
                <w:color w:val="auto"/>
                <w:kern w:val="0"/>
                <w:sz w:val="24"/>
                <w:lang w:eastAsia="zh-CN" w:bidi="ar"/>
              </w:rPr>
              <w:t>（https://www.suining.gov.cn/xinwen/show/a85cb0af2f2330ab59ac4fb8c9320be9.html）</w:t>
            </w:r>
            <w:r>
              <w:rPr>
                <w:rFonts w:hint="default" w:ascii="Times New Roman" w:hAnsi="Times New Roman" w:eastAsia="宋体" w:cs="Times New Roman"/>
                <w:color w:val="auto"/>
                <w:kern w:val="0"/>
                <w:sz w:val="24"/>
                <w:lang w:bidi="ar"/>
              </w:rPr>
              <w:t>进行评价，202</w:t>
            </w:r>
            <w:r>
              <w:rPr>
                <w:rFonts w:hint="eastAsia" w:ascii="Times New Roman" w:hAnsi="Times New Roman" w:eastAsia="宋体" w:cs="Times New Roman"/>
                <w:color w:val="auto"/>
                <w:kern w:val="0"/>
                <w:sz w:val="24"/>
                <w:lang w:val="en-US" w:eastAsia="zh-CN" w:bidi="ar"/>
              </w:rPr>
              <w:t>4</w:t>
            </w:r>
            <w:r>
              <w:rPr>
                <w:rFonts w:hint="default" w:ascii="Times New Roman" w:hAnsi="Times New Roman" w:eastAsia="宋体" w:cs="Times New Roman"/>
                <w:color w:val="auto"/>
                <w:kern w:val="0"/>
                <w:sz w:val="24"/>
                <w:lang w:bidi="ar"/>
              </w:rPr>
              <w:t>年遂宁辖区内9个国、省控地表水监测断面（含2个长江经济带监测断面）水环境质量状况、主要污染因子指标、环比和同比情况见下表。</w:t>
            </w:r>
          </w:p>
          <w:p>
            <w:pPr>
              <w:keepNext w:val="0"/>
              <w:keepLines w:val="0"/>
              <w:pageBreakBefore w:val="0"/>
              <w:widowControl/>
              <w:kinsoku/>
              <w:wordWrap/>
              <w:overflowPunct/>
              <w:topLinePunct w:val="0"/>
              <w:autoSpaceDE/>
              <w:autoSpaceDN/>
              <w:bidi w:val="0"/>
              <w:adjustRightInd w:val="0"/>
              <w:snapToGrid w:val="0"/>
              <w:spacing w:before="0" w:beforeLines="0"/>
              <w:jc w:val="center"/>
              <w:textAlignment w:val="auto"/>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表3-</w:t>
            </w:r>
            <w:r>
              <w:rPr>
                <w:rFonts w:hint="eastAsia" w:cs="Times New Roman"/>
                <w:b/>
                <w:bCs/>
                <w:snapToGrid w:val="0"/>
                <w:color w:val="auto"/>
                <w:sz w:val="21"/>
                <w:szCs w:val="21"/>
                <w:lang w:val="en-US" w:eastAsia="zh-CN" w:bidi="ar-SA"/>
              </w:rPr>
              <w:t>2</w:t>
            </w:r>
            <w:r>
              <w:rPr>
                <w:rFonts w:hint="default" w:ascii="Times New Roman" w:hAnsi="Times New Roman" w:eastAsia="宋体" w:cs="Times New Roman"/>
                <w:b/>
                <w:bCs/>
                <w:snapToGrid w:val="0"/>
                <w:color w:val="auto"/>
                <w:sz w:val="21"/>
                <w:szCs w:val="21"/>
                <w:lang w:val="en-US" w:eastAsia="zh-CN" w:bidi="ar-SA"/>
              </w:rPr>
              <w:t xml:space="preserve">  202</w:t>
            </w:r>
            <w:r>
              <w:rPr>
                <w:rFonts w:hint="eastAsia" w:ascii="Times New Roman" w:hAnsi="Times New Roman" w:eastAsia="宋体" w:cs="Times New Roman"/>
                <w:b/>
                <w:bCs/>
                <w:snapToGrid w:val="0"/>
                <w:color w:val="auto"/>
                <w:sz w:val="21"/>
                <w:szCs w:val="21"/>
                <w:lang w:val="en-US" w:eastAsia="zh-CN" w:bidi="ar-SA"/>
              </w:rPr>
              <w:t>4</w:t>
            </w:r>
            <w:r>
              <w:rPr>
                <w:rFonts w:hint="default" w:ascii="Times New Roman" w:hAnsi="Times New Roman" w:eastAsia="宋体" w:cs="Times New Roman"/>
                <w:b/>
                <w:bCs/>
                <w:snapToGrid w:val="0"/>
                <w:color w:val="auto"/>
                <w:sz w:val="21"/>
                <w:szCs w:val="21"/>
                <w:lang w:val="en-US" w:eastAsia="zh-CN" w:bidi="ar-SA"/>
              </w:rPr>
              <w:t>年遂宁河流水质评价结果表</w:t>
            </w:r>
          </w:p>
          <w:tbl>
            <w:tblPr>
              <w:tblStyle w:val="22"/>
              <w:tblW w:w="7821"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81"/>
              <w:gridCol w:w="974"/>
              <w:gridCol w:w="949"/>
              <w:gridCol w:w="720"/>
              <w:gridCol w:w="648"/>
              <w:gridCol w:w="852"/>
              <w:gridCol w:w="740"/>
              <w:gridCol w:w="1045"/>
              <w:gridCol w:w="101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河流</w:t>
                  </w:r>
                  <w:r>
                    <w:rPr>
                      <w:rFonts w:hint="eastAsia" w:cs="Times New Roman"/>
                      <w:b/>
                      <w:bCs/>
                      <w:color w:val="auto"/>
                      <w:kern w:val="0"/>
                      <w:sz w:val="21"/>
                      <w:szCs w:val="21"/>
                      <w:lang w:val="en-US" w:eastAsia="zh-CN"/>
                    </w:rPr>
                    <w:t>名称</w:t>
                  </w:r>
                  <w:r>
                    <w:rPr>
                      <w:rFonts w:hint="default" w:ascii="Times New Roman" w:hAnsi="Times New Roman" w:eastAsia="宋体" w:cs="Times New Roman"/>
                      <w:b/>
                      <w:bCs/>
                      <w:color w:val="auto"/>
                      <w:kern w:val="0"/>
                      <w:sz w:val="21"/>
                      <w:szCs w:val="21"/>
                    </w:rPr>
                    <w:cr/>
                  </w:r>
                </w:p>
              </w:tc>
              <w:tc>
                <w:tcPr>
                  <w:tcW w:w="97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断</w:t>
                  </w:r>
                  <w:r>
                    <w:rPr>
                      <w:rFonts w:hint="eastAsia" w:cs="Times New Roman"/>
                      <w:b/>
                      <w:bCs/>
                      <w:color w:val="auto"/>
                      <w:kern w:val="0"/>
                      <w:sz w:val="21"/>
                      <w:szCs w:val="21"/>
                      <w:lang w:val="en-US" w:eastAsia="zh-CN"/>
                    </w:rPr>
                    <w:t>面</w:t>
                  </w:r>
                  <w:r>
                    <w:rPr>
                      <w:rFonts w:hint="default" w:ascii="Times New Roman" w:hAnsi="Times New Roman" w:eastAsia="宋体" w:cs="Times New Roman"/>
                      <w:b/>
                      <w:bCs/>
                      <w:color w:val="auto"/>
                      <w:kern w:val="0"/>
                      <w:sz w:val="21"/>
                      <w:szCs w:val="21"/>
                    </w:rPr>
                    <w:cr/>
                  </w:r>
                  <w:r>
                    <w:rPr>
                      <w:rFonts w:hint="default" w:ascii="Times New Roman" w:hAnsi="Times New Roman" w:eastAsia="宋体" w:cs="Times New Roman"/>
                      <w:b/>
                      <w:bCs/>
                      <w:color w:val="auto"/>
                      <w:kern w:val="0"/>
                      <w:sz w:val="21"/>
                      <w:szCs w:val="21"/>
                    </w:rPr>
                    <w:t>名称</w:t>
                  </w:r>
                </w:p>
              </w:tc>
              <w:tc>
                <w:tcPr>
                  <w:tcW w:w="949"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所在地</w:t>
                  </w:r>
                </w:p>
              </w:tc>
              <w:tc>
                <w:tcPr>
                  <w:tcW w:w="72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断面类别</w:t>
                  </w:r>
                </w:p>
              </w:tc>
              <w:tc>
                <w:tcPr>
                  <w:tcW w:w="648"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规定类别</w:t>
                  </w:r>
                </w:p>
              </w:tc>
              <w:tc>
                <w:tcPr>
                  <w:tcW w:w="85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上年度类别</w:t>
                  </w:r>
                </w:p>
              </w:tc>
              <w:tc>
                <w:tcPr>
                  <w:tcW w:w="74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本年度类别</w:t>
                  </w:r>
                </w:p>
              </w:tc>
              <w:tc>
                <w:tcPr>
                  <w:tcW w:w="1045"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主要污染指标</w:t>
                  </w:r>
                  <w:r>
                    <w:rPr>
                      <w:rFonts w:hint="default" w:ascii="Times New Roman" w:hAnsi="Times New Roman" w:eastAsia="宋体" w:cs="Times New Roman"/>
                      <w:b/>
                      <w:bCs/>
                      <w:color w:val="auto"/>
                      <w:kern w:val="0"/>
                      <w:sz w:val="21"/>
                      <w:szCs w:val="21"/>
                    </w:rPr>
                    <w:cr/>
                  </w:r>
                  <w:r>
                    <w:rPr>
                      <w:rFonts w:hint="default" w:ascii="Times New Roman" w:hAnsi="Times New Roman" w:eastAsia="宋体" w:cs="Times New Roman"/>
                      <w:b/>
                      <w:bCs/>
                      <w:color w:val="auto"/>
                      <w:kern w:val="0"/>
                      <w:sz w:val="21"/>
                      <w:szCs w:val="21"/>
                    </w:rPr>
                    <w:t>/超标倍数</w:t>
                  </w:r>
                </w:p>
              </w:tc>
              <w:tc>
                <w:tcPr>
                  <w:tcW w:w="101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单独</w:t>
                  </w:r>
                  <w:r>
                    <w:rPr>
                      <w:rFonts w:hint="eastAsia" w:ascii="Times New Roman" w:hAnsi="Times New Roman" w:eastAsia="宋体" w:cs="Times New Roman"/>
                      <w:b/>
                      <w:bCs/>
                      <w:color w:val="auto"/>
                      <w:kern w:val="0"/>
                      <w:sz w:val="21"/>
                      <w:szCs w:val="21"/>
                      <w:lang w:eastAsia="zh-CN"/>
                    </w:rPr>
                    <w:t>评价</w:t>
                  </w:r>
                  <w:r>
                    <w:rPr>
                      <w:rFonts w:hint="default" w:ascii="Times New Roman" w:hAnsi="Times New Roman" w:eastAsia="宋体" w:cs="Times New Roman"/>
                      <w:b/>
                      <w:bCs/>
                      <w:color w:val="auto"/>
                      <w:kern w:val="0"/>
                      <w:sz w:val="21"/>
                      <w:szCs w:val="21"/>
                    </w:rPr>
                    <w:cr/>
                  </w:r>
                  <w:r>
                    <w:rPr>
                      <w:rFonts w:hint="default" w:ascii="Times New Roman" w:hAnsi="Times New Roman" w:eastAsia="宋体" w:cs="Times New Roman"/>
                      <w:b/>
                      <w:bCs/>
                      <w:color w:val="auto"/>
                      <w:kern w:val="0"/>
                      <w:sz w:val="21"/>
                      <w:szCs w:val="21"/>
                    </w:rPr>
                    <w:t>指标/</w:t>
                  </w:r>
                  <w:r>
                    <w:rPr>
                      <w:rFonts w:hint="default" w:ascii="Times New Roman" w:hAnsi="Times New Roman" w:eastAsia="宋体" w:cs="Times New Roman"/>
                      <w:b/>
                      <w:bCs/>
                      <w:color w:val="auto"/>
                      <w:kern w:val="0"/>
                      <w:sz w:val="21"/>
                      <w:szCs w:val="21"/>
                    </w:rPr>
                    <w:cr/>
                  </w:r>
                  <w:r>
                    <w:rPr>
                      <w:rFonts w:hint="default" w:ascii="Times New Roman" w:hAnsi="Times New Roman" w:eastAsia="宋体" w:cs="Times New Roman"/>
                      <w:b/>
                      <w:bCs/>
                      <w:color w:val="auto"/>
                      <w:kern w:val="0"/>
                      <w:sz w:val="21"/>
                      <w:szCs w:val="21"/>
                    </w:rPr>
                    <w:t>标倍数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涪江</w:t>
                  </w:r>
                </w:p>
              </w:tc>
              <w:tc>
                <w:tcPr>
                  <w:tcW w:w="97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红江渡口</w:t>
                  </w:r>
                </w:p>
              </w:tc>
              <w:tc>
                <w:tcPr>
                  <w:tcW w:w="949"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蓬溪县</w:t>
                  </w:r>
                </w:p>
              </w:tc>
              <w:tc>
                <w:tcPr>
                  <w:tcW w:w="72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国控</w:t>
                  </w:r>
                </w:p>
              </w:tc>
              <w:tc>
                <w:tcPr>
                  <w:tcW w:w="648"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w:t>
                  </w:r>
                </w:p>
              </w:tc>
              <w:tc>
                <w:tcPr>
                  <w:tcW w:w="85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II</w:t>
                  </w:r>
                </w:p>
              </w:tc>
              <w:tc>
                <w:tcPr>
                  <w:tcW w:w="74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w:t>
                  </w:r>
                </w:p>
              </w:tc>
              <w:tc>
                <w:tcPr>
                  <w:tcW w:w="1045"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01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涪江</w:t>
                  </w:r>
                </w:p>
              </w:tc>
              <w:tc>
                <w:tcPr>
                  <w:tcW w:w="97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玉溪</w:t>
                  </w:r>
                </w:p>
              </w:tc>
              <w:tc>
                <w:tcPr>
                  <w:tcW w:w="949"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重庆潼南</w:t>
                  </w:r>
                </w:p>
              </w:tc>
              <w:tc>
                <w:tcPr>
                  <w:tcW w:w="72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国控</w:t>
                  </w:r>
                </w:p>
              </w:tc>
              <w:tc>
                <w:tcPr>
                  <w:tcW w:w="648"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w:t>
                  </w:r>
                </w:p>
              </w:tc>
              <w:tc>
                <w:tcPr>
                  <w:tcW w:w="85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II</w:t>
                  </w:r>
                </w:p>
              </w:tc>
              <w:tc>
                <w:tcPr>
                  <w:tcW w:w="74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w:t>
                  </w:r>
                </w:p>
              </w:tc>
              <w:tc>
                <w:tcPr>
                  <w:tcW w:w="1045"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01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琼江</w:t>
                  </w:r>
                </w:p>
              </w:tc>
              <w:tc>
                <w:tcPr>
                  <w:tcW w:w="97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跑马滩</w:t>
                  </w:r>
                </w:p>
              </w:tc>
              <w:tc>
                <w:tcPr>
                  <w:tcW w:w="949"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安居区</w:t>
                  </w:r>
                </w:p>
              </w:tc>
              <w:tc>
                <w:tcPr>
                  <w:tcW w:w="72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国控</w:t>
                  </w:r>
                </w:p>
              </w:tc>
              <w:tc>
                <w:tcPr>
                  <w:tcW w:w="648"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III</w:t>
                  </w:r>
                </w:p>
              </w:tc>
              <w:tc>
                <w:tcPr>
                  <w:tcW w:w="85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III</w:t>
                  </w:r>
                </w:p>
              </w:tc>
              <w:tc>
                <w:tcPr>
                  <w:tcW w:w="74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III</w:t>
                  </w:r>
                </w:p>
              </w:tc>
              <w:tc>
                <w:tcPr>
                  <w:tcW w:w="1045"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01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琼江</w:t>
                  </w:r>
                </w:p>
              </w:tc>
              <w:tc>
                <w:tcPr>
                  <w:tcW w:w="97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大安</w:t>
                  </w:r>
                </w:p>
              </w:tc>
              <w:tc>
                <w:tcPr>
                  <w:tcW w:w="949"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安居区</w:t>
                  </w:r>
                </w:p>
              </w:tc>
              <w:tc>
                <w:tcPr>
                  <w:tcW w:w="72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国控</w:t>
                  </w:r>
                </w:p>
              </w:tc>
              <w:tc>
                <w:tcPr>
                  <w:tcW w:w="648"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III</w:t>
                  </w:r>
                </w:p>
              </w:tc>
              <w:tc>
                <w:tcPr>
                  <w:tcW w:w="85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III</w:t>
                  </w:r>
                </w:p>
              </w:tc>
              <w:tc>
                <w:tcPr>
                  <w:tcW w:w="74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III</w:t>
                  </w:r>
                </w:p>
              </w:tc>
              <w:tc>
                <w:tcPr>
                  <w:tcW w:w="1045"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w:t>
                  </w:r>
                </w:p>
              </w:tc>
              <w:tc>
                <w:tcPr>
                  <w:tcW w:w="101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郪江</w:t>
                  </w:r>
                </w:p>
              </w:tc>
              <w:tc>
                <w:tcPr>
                  <w:tcW w:w="97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郪江口</w:t>
                  </w:r>
                </w:p>
              </w:tc>
              <w:tc>
                <w:tcPr>
                  <w:tcW w:w="949"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大英县</w:t>
                  </w:r>
                </w:p>
              </w:tc>
              <w:tc>
                <w:tcPr>
                  <w:tcW w:w="72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国控</w:t>
                  </w:r>
                </w:p>
              </w:tc>
              <w:tc>
                <w:tcPr>
                  <w:tcW w:w="648"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III</w:t>
                  </w:r>
                </w:p>
              </w:tc>
              <w:tc>
                <w:tcPr>
                  <w:tcW w:w="85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III</w:t>
                  </w:r>
                </w:p>
              </w:tc>
              <w:tc>
                <w:tcPr>
                  <w:tcW w:w="74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III</w:t>
                  </w:r>
                </w:p>
              </w:tc>
              <w:tc>
                <w:tcPr>
                  <w:tcW w:w="1045"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cr/>
                  </w:r>
                </w:p>
              </w:tc>
              <w:tc>
                <w:tcPr>
                  <w:tcW w:w="101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梓江</w:t>
                  </w:r>
                </w:p>
              </w:tc>
              <w:tc>
                <w:tcPr>
                  <w:tcW w:w="97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梓江大桥</w:t>
                  </w:r>
                </w:p>
              </w:tc>
              <w:tc>
                <w:tcPr>
                  <w:tcW w:w="949"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射洪市</w:t>
                  </w:r>
                </w:p>
              </w:tc>
              <w:tc>
                <w:tcPr>
                  <w:tcW w:w="72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国控</w:t>
                  </w:r>
                </w:p>
              </w:tc>
              <w:tc>
                <w:tcPr>
                  <w:tcW w:w="648"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w:t>
                  </w:r>
                </w:p>
              </w:tc>
              <w:tc>
                <w:tcPr>
                  <w:tcW w:w="85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II</w:t>
                  </w:r>
                </w:p>
              </w:tc>
              <w:tc>
                <w:tcPr>
                  <w:tcW w:w="74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w:t>
                  </w:r>
                </w:p>
              </w:tc>
              <w:tc>
                <w:tcPr>
                  <w:tcW w:w="1045"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01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西眉河</w:t>
                  </w:r>
                </w:p>
              </w:tc>
              <w:tc>
                <w:tcPr>
                  <w:tcW w:w="97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白鹤桥</w:t>
                  </w:r>
                </w:p>
              </w:tc>
              <w:tc>
                <w:tcPr>
                  <w:tcW w:w="949"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安居区</w:t>
                  </w:r>
                </w:p>
              </w:tc>
              <w:tc>
                <w:tcPr>
                  <w:tcW w:w="72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省控（长江经济</w:t>
                  </w:r>
                  <w:r>
                    <w:rPr>
                      <w:rFonts w:hint="default" w:ascii="Times New Roman" w:hAnsi="Times New Roman" w:eastAsia="宋体" w:cs="Times New Roman"/>
                      <w:color w:val="auto"/>
                      <w:kern w:val="0"/>
                      <w:sz w:val="21"/>
                      <w:szCs w:val="21"/>
                    </w:rPr>
                    <w:cr/>
                  </w:r>
                  <w:r>
                    <w:rPr>
                      <w:rFonts w:hint="default" w:ascii="Times New Roman" w:hAnsi="Times New Roman" w:eastAsia="宋体" w:cs="Times New Roman"/>
                      <w:color w:val="auto"/>
                      <w:kern w:val="0"/>
                      <w:sz w:val="21"/>
                      <w:szCs w:val="21"/>
                    </w:rPr>
                    <w:t>）</w:t>
                  </w:r>
                </w:p>
              </w:tc>
              <w:tc>
                <w:tcPr>
                  <w:tcW w:w="648"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III</w:t>
                  </w:r>
                </w:p>
              </w:tc>
              <w:tc>
                <w:tcPr>
                  <w:tcW w:w="85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III</w:t>
                  </w:r>
                </w:p>
              </w:tc>
              <w:tc>
                <w:tcPr>
                  <w:tcW w:w="74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III</w:t>
                  </w:r>
                </w:p>
              </w:tc>
              <w:tc>
                <w:tcPr>
                  <w:tcW w:w="1045"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p>
              </w:tc>
              <w:tc>
                <w:tcPr>
                  <w:tcW w:w="101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芝溪河</w:t>
                  </w:r>
                </w:p>
              </w:tc>
              <w:tc>
                <w:tcPr>
                  <w:tcW w:w="97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涪山坝</w:t>
                  </w:r>
                </w:p>
              </w:tc>
              <w:tc>
                <w:tcPr>
                  <w:tcW w:w="949"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蓬溪县</w:t>
                  </w:r>
                </w:p>
              </w:tc>
              <w:tc>
                <w:tcPr>
                  <w:tcW w:w="72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省控（</w:t>
                  </w:r>
                  <w:r>
                    <w:rPr>
                      <w:rFonts w:hint="default" w:ascii="Times New Roman" w:hAnsi="Times New Roman" w:eastAsia="宋体" w:cs="Times New Roman"/>
                      <w:color w:val="auto"/>
                      <w:kern w:val="0"/>
                      <w:sz w:val="21"/>
                      <w:szCs w:val="21"/>
                    </w:rPr>
                    <w:cr/>
                  </w:r>
                  <w:r>
                    <w:rPr>
                      <w:rFonts w:hint="default" w:ascii="Times New Roman" w:hAnsi="Times New Roman" w:eastAsia="宋体" w:cs="Times New Roman"/>
                      <w:color w:val="auto"/>
                      <w:kern w:val="0"/>
                      <w:sz w:val="21"/>
                      <w:szCs w:val="21"/>
                    </w:rPr>
                    <w:t>江</w:t>
                  </w:r>
                  <w:r>
                    <w:rPr>
                      <w:rFonts w:hint="default" w:ascii="Times New Roman" w:hAnsi="Times New Roman" w:eastAsia="宋体" w:cs="Times New Roman"/>
                      <w:color w:val="auto"/>
                      <w:kern w:val="0"/>
                      <w:sz w:val="21"/>
                      <w:szCs w:val="21"/>
                    </w:rPr>
                    <w:cr/>
                  </w:r>
                  <w:r>
                    <w:rPr>
                      <w:rFonts w:hint="default" w:ascii="Times New Roman" w:hAnsi="Times New Roman" w:eastAsia="宋体" w:cs="Times New Roman"/>
                      <w:color w:val="auto"/>
                      <w:kern w:val="0"/>
                      <w:sz w:val="21"/>
                      <w:szCs w:val="21"/>
                    </w:rPr>
                    <w:t>济带）</w:t>
                  </w:r>
                </w:p>
              </w:tc>
              <w:tc>
                <w:tcPr>
                  <w:tcW w:w="648"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III</w:t>
                  </w:r>
                </w:p>
              </w:tc>
              <w:tc>
                <w:tcPr>
                  <w:tcW w:w="85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III</w:t>
                  </w:r>
                </w:p>
              </w:tc>
              <w:tc>
                <w:tcPr>
                  <w:tcW w:w="74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III</w:t>
                  </w:r>
                </w:p>
              </w:tc>
              <w:tc>
                <w:tcPr>
                  <w:tcW w:w="1045"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cr/>
                  </w:r>
                  <w:r>
                    <w:rPr>
                      <w:rFonts w:hint="default" w:ascii="Times New Roman" w:hAnsi="Times New Roman" w:eastAsia="宋体" w:cs="Times New Roman"/>
                      <w:color w:val="auto"/>
                      <w:kern w:val="0"/>
                      <w:sz w:val="21"/>
                      <w:szCs w:val="21"/>
                    </w:rPr>
                    <w:t>/</w:t>
                  </w:r>
                </w:p>
              </w:tc>
              <w:tc>
                <w:tcPr>
                  <w:tcW w:w="101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粪大肠菌群/0.</w:t>
                  </w:r>
                  <w:r>
                    <w:rPr>
                      <w:rFonts w:hint="eastAsia" w:ascii="Times New Roman" w:hAnsi="Times New Roman" w:eastAsia="宋体"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涪江</w:t>
                  </w:r>
                </w:p>
              </w:tc>
              <w:tc>
                <w:tcPr>
                  <w:tcW w:w="97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米家桥</w:t>
                  </w:r>
                </w:p>
              </w:tc>
              <w:tc>
                <w:tcPr>
                  <w:tcW w:w="949"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船山区</w:t>
                  </w:r>
                </w:p>
              </w:tc>
              <w:tc>
                <w:tcPr>
                  <w:tcW w:w="72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省控</w:t>
                  </w:r>
                </w:p>
              </w:tc>
              <w:tc>
                <w:tcPr>
                  <w:tcW w:w="648"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w:t>
                  </w:r>
                </w:p>
              </w:tc>
              <w:tc>
                <w:tcPr>
                  <w:tcW w:w="85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II</w:t>
                  </w:r>
                </w:p>
              </w:tc>
              <w:tc>
                <w:tcPr>
                  <w:tcW w:w="74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II</w:t>
                  </w:r>
                </w:p>
              </w:tc>
              <w:tc>
                <w:tcPr>
                  <w:tcW w:w="1045"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012"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21" w:type="dxa"/>
                  <w:gridSpan w:val="9"/>
                  <w:tcBorders>
                    <w:tl2br w:val="nil"/>
                    <w:tr2bl w:val="nil"/>
                  </w:tcBorders>
                  <w:noWrap w:val="0"/>
                  <w:vAlign w:val="center"/>
                </w:tcPr>
                <w:p>
                  <w:pPr>
                    <w:widowControl/>
                    <w:spacing w:line="240" w:lineRule="auto"/>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注：1.地表水环境评价执行《地表水环境质量标准》（GB3838-2002）和《地表水环境质量评价办法（试行）》（环办〔2011〕22号）。</w:t>
                  </w:r>
                </w:p>
                <w:p>
                  <w:pPr>
                    <w:widowControl/>
                    <w:spacing w:line="240" w:lineRule="auto"/>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2.21项评价指标为：pH、溶解氧、高锰酸盐指数、五日生化需氧量、氨氮、石油类、酚、汞、铅、镉、阴离子表面活性剂、铬（六价）、氟化物、总磷、氰化物、硫化物、砷、化学需氧量、铜、锌、硒。</w:t>
                  </w:r>
                </w:p>
                <w:p>
                  <w:pPr>
                    <w:widowControl/>
                    <w:spacing w:line="240" w:lineRule="auto"/>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3.超过Ⅲ类水质标准的指标为断面污染指标，取超标倍数最大的前三项为主要污染指标。</w:t>
                  </w:r>
                </w:p>
                <w:p>
                  <w:pPr>
                    <w:widowControl/>
                    <w:spacing w:line="240" w:lineRule="auto"/>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4.红江渡口、玉溪、跑马滩</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cr/>
                  </w:r>
                  <w:r>
                    <w:rPr>
                      <w:rFonts w:hint="default" w:ascii="Times New Roman" w:hAnsi="Times New Roman" w:eastAsia="宋体" w:cs="Times New Roman"/>
                      <w:color w:val="auto"/>
                      <w:kern w:val="0"/>
                      <w:sz w:val="21"/>
                      <w:szCs w:val="21"/>
                    </w:rPr>
                    <w:t>大安、郪江口和梓江大</w:t>
                  </w:r>
                  <w:r>
                    <w:rPr>
                      <w:rFonts w:hint="eastAsia" w:ascii="Times New Roman" w:hAnsi="Times New Roman" w:eastAsia="宋体" w:cs="Times New Roman"/>
                      <w:color w:val="auto"/>
                      <w:kern w:val="0"/>
                      <w:sz w:val="21"/>
                      <w:szCs w:val="21"/>
                      <w:lang w:val="en-US" w:eastAsia="zh-CN"/>
                    </w:rPr>
                    <w:t>桥6</w:t>
                  </w:r>
                  <w:r>
                    <w:rPr>
                      <w:rFonts w:hint="default" w:ascii="Times New Roman" w:hAnsi="Times New Roman" w:eastAsia="宋体" w:cs="Times New Roman"/>
                      <w:color w:val="auto"/>
                      <w:kern w:val="0"/>
                      <w:sz w:val="21"/>
                      <w:szCs w:val="21"/>
                    </w:rPr>
                    <w:cr/>
                  </w:r>
                  <w:r>
                    <w:rPr>
                      <w:rFonts w:hint="default" w:ascii="Times New Roman" w:hAnsi="Times New Roman" w:eastAsia="宋体" w:cs="Times New Roman"/>
                      <w:color w:val="auto"/>
                      <w:kern w:val="0"/>
                      <w:sz w:val="21"/>
                      <w:szCs w:val="21"/>
                    </w:rPr>
                    <w:cr/>
                  </w:r>
                  <w:r>
                    <w:rPr>
                      <w:rFonts w:hint="default" w:ascii="Times New Roman" w:hAnsi="Times New Roman" w:eastAsia="宋体" w:cs="Times New Roman"/>
                      <w:color w:val="auto"/>
                      <w:kern w:val="0"/>
                      <w:sz w:val="21"/>
                      <w:szCs w:val="21"/>
                    </w:rPr>
                    <w:t>个国控断面</w:t>
                  </w:r>
                  <w:r>
                    <w:rPr>
                      <w:rFonts w:hint="default" w:ascii="Times New Roman" w:hAnsi="Times New Roman" w:eastAsia="宋体" w:cs="Times New Roman"/>
                      <w:color w:val="auto"/>
                      <w:kern w:val="0"/>
                      <w:sz w:val="21"/>
                      <w:szCs w:val="21"/>
                    </w:rPr>
                    <w:cr/>
                  </w:r>
                  <w:r>
                    <w:rPr>
                      <w:rFonts w:hint="default" w:ascii="Times New Roman" w:hAnsi="Times New Roman" w:eastAsia="宋体" w:cs="Times New Roman"/>
                      <w:color w:val="auto"/>
                      <w:kern w:val="0"/>
                      <w:sz w:val="21"/>
                      <w:szCs w:val="21"/>
                    </w:rPr>
                    <w:t>用国家反馈的采测分离数据（含部分市级</w:t>
                  </w:r>
                  <w:r>
                    <w:rPr>
                      <w:rFonts w:hint="default" w:ascii="Times New Roman" w:hAnsi="Times New Roman" w:eastAsia="宋体" w:cs="Times New Roman"/>
                      <w:color w:val="auto"/>
                      <w:kern w:val="0"/>
                      <w:sz w:val="21"/>
                      <w:szCs w:val="21"/>
                      <w:lang w:eastAsia="zh-CN"/>
                    </w:rPr>
                    <w:t>补充</w:t>
                  </w:r>
                  <w:r>
                    <w:rPr>
                      <w:rFonts w:hint="default" w:ascii="Times New Roman" w:hAnsi="Times New Roman" w:eastAsia="宋体" w:cs="Times New Roman"/>
                      <w:color w:val="auto"/>
                      <w:kern w:val="0"/>
                      <w:sz w:val="21"/>
                      <w:szCs w:val="21"/>
                    </w:rPr>
                    <w:t>监测数据）进行评价</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cr/>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Cs/>
                <w:color w:val="auto"/>
                <w:sz w:val="24"/>
              </w:rPr>
              <w:t>根据《202</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rPr>
              <w:t>年遂宁市环境质量公告》遂宁市河流水质评价结果表可以看出，</w:t>
            </w:r>
            <w:r>
              <w:rPr>
                <w:rFonts w:hint="eastAsia" w:ascii="Times New Roman" w:hAnsi="Times New Roman" w:eastAsia="宋体" w:cs="Times New Roman"/>
                <w:bCs/>
                <w:color w:val="auto"/>
                <w:sz w:val="24"/>
                <w:lang w:val="en-US" w:eastAsia="zh-CN"/>
              </w:rPr>
              <w:t>蓬溪县内涪江国控断面</w:t>
            </w:r>
            <w:r>
              <w:rPr>
                <w:rFonts w:hint="default" w:ascii="Times New Roman" w:hAnsi="Times New Roman" w:eastAsia="宋体" w:cs="Times New Roman"/>
                <w:bCs/>
                <w:color w:val="auto"/>
                <w:sz w:val="24"/>
              </w:rPr>
              <w:t>满足</w:t>
            </w:r>
            <w:r>
              <w:rPr>
                <w:rFonts w:hint="default" w:ascii="Times New Roman" w:hAnsi="Times New Roman" w:eastAsia="宋体" w:cs="Times New Roman"/>
                <w:color w:val="auto"/>
                <w:sz w:val="24"/>
              </w:rPr>
              <w:t>《地表水环境质量标准》（GB3838-2002）</w:t>
            </w:r>
            <w:r>
              <w:rPr>
                <w:rFonts w:hint="eastAsia" w:ascii="宋体" w:hAnsi="宋体" w:eastAsia="宋体" w:cs="宋体"/>
                <w:color w:val="auto"/>
                <w:sz w:val="24"/>
              </w:rPr>
              <w:t>Ⅱ</w:t>
            </w:r>
            <w:r>
              <w:rPr>
                <w:rFonts w:hint="default" w:ascii="Times New Roman" w:hAnsi="Times New Roman" w:eastAsia="宋体" w:cs="Times New Roman"/>
                <w:color w:val="auto"/>
                <w:sz w:val="24"/>
              </w:rPr>
              <w:t>类水域标准要求</w:t>
            </w:r>
            <w:r>
              <w:rPr>
                <w:rFonts w:hint="eastAsia" w:ascii="Times New Roman" w:hAnsi="Times New Roman" w:eastAsia="宋体" w:cs="Times New Roman"/>
                <w:bCs/>
                <w:color w:val="auto"/>
                <w:sz w:val="24"/>
                <w:lang w:val="en-US" w:eastAsia="zh-CN"/>
              </w:rPr>
              <w:t>，芝溪河省控断面</w:t>
            </w:r>
            <w:r>
              <w:rPr>
                <w:rFonts w:hint="default" w:ascii="Times New Roman" w:hAnsi="Times New Roman" w:eastAsia="宋体" w:cs="Times New Roman"/>
                <w:bCs/>
                <w:color w:val="auto"/>
                <w:sz w:val="24"/>
              </w:rPr>
              <w:t>满足</w:t>
            </w:r>
            <w:r>
              <w:rPr>
                <w:rFonts w:hint="default" w:ascii="Times New Roman" w:hAnsi="Times New Roman" w:eastAsia="宋体" w:cs="Times New Roman"/>
                <w:color w:val="auto"/>
                <w:sz w:val="24"/>
              </w:rPr>
              <w:t>《地表水环境质量标准》（GB3838-2002）III类水域标准要求</w:t>
            </w:r>
            <w:r>
              <w:rPr>
                <w:rFonts w:hint="default" w:ascii="Times New Roman" w:hAnsi="Times New Roman" w:eastAsia="宋体" w:cs="Times New Roman"/>
                <w:bCs/>
                <w:color w:val="auto"/>
                <w:sz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3、声环境质量现状</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w:t>
            </w:r>
            <w:r>
              <w:rPr>
                <w:rFonts w:hint="eastAsia" w:ascii="Times New Roman" w:hAnsi="Times New Roman" w:eastAsia="宋体" w:cs="Times New Roman"/>
                <w:bCs/>
                <w:color w:val="auto"/>
                <w:sz w:val="24"/>
                <w:lang w:val="en-US" w:eastAsia="zh-CN"/>
              </w:rPr>
              <w:t>次环评</w:t>
            </w:r>
            <w:r>
              <w:rPr>
                <w:rFonts w:hint="default" w:ascii="Times New Roman" w:hAnsi="Times New Roman" w:eastAsia="宋体" w:cs="Times New Roman"/>
                <w:bCs/>
                <w:color w:val="auto"/>
                <w:sz w:val="24"/>
                <w:lang w:val="en-US" w:eastAsia="zh-CN"/>
              </w:rPr>
              <w:t>委托四川清蓝检测科技有限公司对本项目</w:t>
            </w:r>
            <w:r>
              <w:rPr>
                <w:rFonts w:hint="eastAsia" w:ascii="Times New Roman" w:hAnsi="Times New Roman" w:eastAsia="宋体" w:cs="Times New Roman"/>
                <w:bCs/>
                <w:color w:val="auto"/>
                <w:sz w:val="24"/>
                <w:lang w:val="en-US" w:eastAsia="zh-CN"/>
              </w:rPr>
              <w:t>所在区域</w:t>
            </w:r>
            <w:r>
              <w:rPr>
                <w:rFonts w:hint="default" w:ascii="Times New Roman" w:hAnsi="Times New Roman" w:eastAsia="宋体" w:cs="Times New Roman"/>
                <w:bCs/>
                <w:color w:val="auto"/>
                <w:sz w:val="24"/>
                <w:lang w:val="en-US" w:eastAsia="zh-CN"/>
              </w:rPr>
              <w:t>进行了噪声监测。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cs="Times New Roman"/>
                <w:bCs/>
                <w:color w:val="auto"/>
                <w:sz w:val="24"/>
                <w:lang w:val="en-US" w:eastAsia="zh-CN"/>
              </w:rPr>
              <w:t>1）</w:t>
            </w:r>
            <w:r>
              <w:rPr>
                <w:rFonts w:hint="eastAsia" w:ascii="Times New Roman" w:hAnsi="Times New Roman" w:eastAsia="宋体" w:cs="Times New Roman"/>
                <w:bCs/>
                <w:color w:val="auto"/>
                <w:sz w:val="24"/>
                <w:lang w:val="en-US" w:eastAsia="zh-CN"/>
              </w:rPr>
              <w:t>监测点位</w:t>
            </w:r>
          </w:p>
          <w:p>
            <w:pPr>
              <w:keepNext w:val="0"/>
              <w:keepLines w:val="0"/>
              <w:pageBreakBefore w:val="0"/>
              <w:widowControl/>
              <w:kinsoku/>
              <w:wordWrap/>
              <w:overflowPunct/>
              <w:topLinePunct w:val="0"/>
              <w:autoSpaceDE/>
              <w:autoSpaceDN/>
              <w:bidi w:val="0"/>
              <w:adjustRightInd w:val="0"/>
              <w:snapToGrid w:val="0"/>
              <w:spacing w:before="0" w:beforeLines="0"/>
              <w:jc w:val="center"/>
              <w:textAlignment w:val="auto"/>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表</w:t>
            </w:r>
            <w:r>
              <w:rPr>
                <w:rFonts w:hint="eastAsia" w:ascii="Times New Roman" w:hAnsi="Times New Roman" w:eastAsia="宋体" w:cs="Times New Roman"/>
                <w:b/>
                <w:bCs/>
                <w:snapToGrid w:val="0"/>
                <w:color w:val="auto"/>
                <w:sz w:val="21"/>
                <w:szCs w:val="21"/>
                <w:lang w:val="en-US" w:eastAsia="zh-CN" w:bidi="ar-SA"/>
              </w:rPr>
              <w:t>3-3</w:t>
            </w:r>
            <w:r>
              <w:rPr>
                <w:rFonts w:hint="default" w:ascii="Times New Roman" w:hAnsi="Times New Roman" w:eastAsia="宋体" w:cs="Times New Roman"/>
                <w:b/>
                <w:bCs/>
                <w:snapToGrid w:val="0"/>
                <w:color w:val="auto"/>
                <w:sz w:val="21"/>
                <w:szCs w:val="21"/>
                <w:lang w:val="en-US" w:eastAsia="zh-CN" w:bidi="ar-SA"/>
              </w:rPr>
              <w:t xml:space="preserve">  噪声监测点位设置</w:t>
            </w:r>
            <w:r>
              <w:rPr>
                <w:rFonts w:hint="eastAsia" w:ascii="Times New Roman" w:hAnsi="Times New Roman" w:eastAsia="宋体" w:cs="Times New Roman"/>
                <w:b/>
                <w:bCs/>
                <w:snapToGrid w:val="0"/>
                <w:color w:val="auto"/>
                <w:sz w:val="21"/>
                <w:szCs w:val="21"/>
                <w:lang w:val="en-US" w:eastAsia="zh-CN" w:bidi="ar-SA"/>
              </w:rPr>
              <w:t>表</w:t>
            </w:r>
          </w:p>
          <w:tbl>
            <w:tblPr>
              <w:tblStyle w:val="22"/>
              <w:tblW w:w="8057"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2749"/>
              <w:gridCol w:w="2657"/>
              <w:gridCol w:w="148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监测点位</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监测点名称及分布位置</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坐标</w:t>
                  </w:r>
                </w:p>
              </w:tc>
              <w:tc>
                <w:tcPr>
                  <w:tcW w:w="1481"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监测项目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1#</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普安街道墨砚湖片区点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105.713886，30.748486</w:t>
                  </w:r>
                </w:p>
              </w:tc>
              <w:tc>
                <w:tcPr>
                  <w:tcW w:w="1481"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等效连续A声级（LAeq）</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9"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2#</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赤城镇香溪谷片区点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105.696484，30.776124</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3#</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红江镇点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105.483645，30.693126</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4#</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天福镇点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105.472723，30.727351</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5#</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文井镇高峰山片区点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105.651090，30.916961</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6#</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宝梵镇点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105.686367，30.713081</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7</w:t>
                  </w:r>
                  <w:r>
                    <w:rPr>
                      <w:rFonts w:hint="default" w:ascii="Times New Roman" w:hAnsi="Times New Roman" w:eastAsia="宋体" w:cs="Times New Roman"/>
                      <w:b w:val="0"/>
                      <w:bCs w:val="0"/>
                      <w:color w:val="auto"/>
                      <w:kern w:val="2"/>
                      <w:sz w:val="21"/>
                      <w:szCs w:val="21"/>
                      <w:highlight w:val="none"/>
                      <w:lang w:val="en-US" w:eastAsia="zh-CN"/>
                    </w:rPr>
                    <w:t>#</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荷叶乡金桥之心点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105.645876，30.445139</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8#</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大石镇牛角沟村点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105.614355，30.635555</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9#</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槐花镇香桂产业园点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105.592339，30.813417</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常乐镇书法森林公园点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105.555239，30.760277</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11#</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明月镇点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105.628032，30.765059</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12#</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金桥镇点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105.676592，30.510258</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13#</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吉祥镇点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105.515402，30.665998</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14#</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鸣凤镇狮子山点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105.711588，30.660516</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17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15#</w:t>
                  </w:r>
                </w:p>
              </w:tc>
              <w:tc>
                <w:tcPr>
                  <w:tcW w:w="2749"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蓬南镇点</w:t>
                  </w:r>
                </w:p>
              </w:tc>
              <w:tc>
                <w:tcPr>
                  <w:tcW w:w="265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105.876320，30.445456</w:t>
                  </w:r>
                </w:p>
              </w:tc>
              <w:tc>
                <w:tcPr>
                  <w:tcW w:w="1481" w:type="dxa"/>
                  <w:vMerge w:val="continue"/>
                  <w:tcBorders>
                    <w:tl2br w:val="nil"/>
                    <w:tr2bl w:val="nil"/>
                  </w:tcBorders>
                  <w:noWrap w:val="0"/>
                  <w:vAlign w:val="center"/>
                </w:tcPr>
                <w:p>
                  <w:pPr>
                    <w:adjustRightInd w:val="0"/>
                    <w:snapToGrid w:val="0"/>
                    <w:spacing w:line="240" w:lineRule="auto"/>
                    <w:jc w:val="center"/>
                    <w:rPr>
                      <w:color w:val="auto"/>
                      <w:sz w:val="21"/>
                      <w:szCs w:val="21"/>
                    </w:rPr>
                  </w:pP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eastAsia" w:cs="Times New Roman"/>
                <w:bCs/>
                <w:color w:val="auto"/>
                <w:sz w:val="24"/>
                <w:lang w:val="en-US" w:eastAsia="zh-CN"/>
              </w:rPr>
              <w:t>2）</w:t>
            </w:r>
            <w:r>
              <w:rPr>
                <w:rFonts w:hint="default" w:ascii="Times New Roman" w:hAnsi="Times New Roman" w:eastAsia="宋体" w:cs="Times New Roman"/>
                <w:bCs/>
                <w:color w:val="auto"/>
                <w:sz w:val="24"/>
                <w:lang w:val="en-US" w:eastAsia="zh-CN"/>
              </w:rPr>
              <w:t>监测时间及频次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202</w:t>
            </w:r>
            <w:r>
              <w:rPr>
                <w:rFonts w:hint="eastAsia" w:ascii="Times New Roman" w:hAnsi="Times New Roman" w:eastAsia="宋体" w:cs="Times New Roman"/>
                <w:bCs/>
                <w:color w:val="auto"/>
                <w:sz w:val="24"/>
                <w:lang w:val="en-US" w:eastAsia="zh-CN"/>
              </w:rPr>
              <w:t>5</w:t>
            </w:r>
            <w:r>
              <w:rPr>
                <w:rFonts w:hint="default" w:ascii="Times New Roman" w:hAnsi="Times New Roman" w:eastAsia="宋体" w:cs="Times New Roman"/>
                <w:bCs/>
                <w:color w:val="auto"/>
                <w:sz w:val="24"/>
                <w:lang w:val="en-US" w:eastAsia="zh-CN"/>
              </w:rPr>
              <w:t>年</w:t>
            </w:r>
            <w:bookmarkStart w:id="8" w:name="日期"/>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val="en-US" w:eastAsia="zh-CN"/>
              </w:rPr>
              <w:t>月</w:t>
            </w:r>
            <w:r>
              <w:rPr>
                <w:rFonts w:hint="eastAsia" w:ascii="Times New Roman" w:hAnsi="Times New Roman" w:eastAsia="宋体" w:cs="Times New Roman"/>
                <w:bCs/>
                <w:color w:val="auto"/>
                <w:sz w:val="24"/>
                <w:lang w:val="en-US" w:eastAsia="zh-CN"/>
              </w:rPr>
              <w:t>24</w:t>
            </w:r>
            <w:r>
              <w:rPr>
                <w:rFonts w:hint="default" w:ascii="Times New Roman" w:hAnsi="Times New Roman" w:eastAsia="宋体" w:cs="Times New Roman"/>
                <w:bCs/>
                <w:color w:val="auto"/>
                <w:sz w:val="24"/>
                <w:lang w:val="en-US" w:eastAsia="zh-CN"/>
              </w:rPr>
              <w:t>日</w:t>
            </w:r>
            <w:bookmarkEnd w:id="8"/>
            <w:r>
              <w:rPr>
                <w:rFonts w:hint="eastAsia" w:ascii="Times New Roman" w:hAnsi="Times New Roman" w:eastAsia="宋体" w:cs="Times New Roman"/>
                <w:bCs/>
                <w:color w:val="auto"/>
                <w:sz w:val="24"/>
                <w:lang w:val="en-US" w:eastAsia="zh-CN"/>
              </w:rPr>
              <w:t>~26日</w:t>
            </w:r>
            <w:r>
              <w:rPr>
                <w:rFonts w:hint="default" w:ascii="Times New Roman" w:hAnsi="Times New Roman" w:eastAsia="宋体" w:cs="Times New Roman"/>
                <w:bCs/>
                <w:color w:val="auto"/>
                <w:sz w:val="24"/>
                <w:lang w:val="en-US" w:eastAsia="zh-CN"/>
              </w:rPr>
              <w:t>，</w:t>
            </w:r>
            <w:r>
              <w:rPr>
                <w:rFonts w:hint="eastAsia" w:ascii="Times New Roman" w:hAnsi="Times New Roman" w:eastAsia="宋体" w:cs="Times New Roman"/>
                <w:bCs/>
                <w:color w:val="auto"/>
                <w:sz w:val="24"/>
                <w:lang w:val="en-US" w:eastAsia="zh-CN"/>
              </w:rPr>
              <w:t>昼夜各</w:t>
            </w:r>
            <w:r>
              <w:rPr>
                <w:rFonts w:hint="default" w:ascii="Times New Roman" w:hAnsi="Times New Roman" w:eastAsia="宋体" w:cs="Times New Roman"/>
                <w:bCs/>
                <w:color w:val="auto"/>
                <w:sz w:val="24"/>
                <w:lang w:val="en-US" w:eastAsia="zh-CN"/>
              </w:rPr>
              <w:t>一次。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eastAsia" w:cs="Times New Roman"/>
                <w:bCs/>
                <w:color w:val="auto"/>
                <w:sz w:val="24"/>
                <w:lang w:val="en-US" w:eastAsia="zh-CN"/>
              </w:rPr>
              <w:t>3）</w:t>
            </w:r>
            <w:r>
              <w:rPr>
                <w:rFonts w:hint="default" w:ascii="Times New Roman" w:hAnsi="Times New Roman" w:eastAsia="宋体" w:cs="Times New Roman"/>
                <w:bCs/>
                <w:color w:val="auto"/>
                <w:sz w:val="24"/>
                <w:lang w:val="en-US" w:eastAsia="zh-CN"/>
              </w:rPr>
              <w:t>监测结果</w:t>
            </w:r>
          </w:p>
          <w:p>
            <w:pPr>
              <w:keepNext w:val="0"/>
              <w:keepLines w:val="0"/>
              <w:pageBreakBefore w:val="0"/>
              <w:widowControl/>
              <w:kinsoku/>
              <w:wordWrap/>
              <w:overflowPunct/>
              <w:topLinePunct w:val="0"/>
              <w:autoSpaceDE/>
              <w:autoSpaceDN/>
              <w:bidi w:val="0"/>
              <w:adjustRightInd w:val="0"/>
              <w:snapToGrid w:val="0"/>
              <w:spacing w:before="0" w:beforeLines="0"/>
              <w:jc w:val="center"/>
              <w:textAlignment w:val="auto"/>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表3-</w:t>
            </w:r>
            <w:r>
              <w:rPr>
                <w:rFonts w:hint="eastAsia" w:ascii="Times New Roman" w:hAnsi="Times New Roman" w:eastAsia="宋体" w:cs="Times New Roman"/>
                <w:b/>
                <w:bCs/>
                <w:snapToGrid w:val="0"/>
                <w:color w:val="auto"/>
                <w:sz w:val="21"/>
                <w:szCs w:val="21"/>
                <w:lang w:val="en-US" w:eastAsia="zh-CN" w:bidi="ar-SA"/>
              </w:rPr>
              <w:t>4</w:t>
            </w:r>
            <w:r>
              <w:rPr>
                <w:rFonts w:hint="default" w:ascii="Times New Roman" w:hAnsi="Times New Roman" w:eastAsia="宋体" w:cs="Times New Roman"/>
                <w:b/>
                <w:bCs/>
                <w:snapToGrid w:val="0"/>
                <w:color w:val="auto"/>
                <w:sz w:val="21"/>
                <w:szCs w:val="21"/>
                <w:lang w:val="en-US" w:eastAsia="zh-CN" w:bidi="ar-SA"/>
              </w:rPr>
              <w:t xml:space="preserve">  噪声检测结果表</w:t>
            </w:r>
          </w:p>
          <w:tbl>
            <w:tblPr>
              <w:tblStyle w:val="22"/>
              <w:tblW w:w="7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643"/>
              <w:gridCol w:w="40"/>
              <w:gridCol w:w="814"/>
              <w:gridCol w:w="699"/>
              <w:gridCol w:w="79"/>
              <w:gridCol w:w="619"/>
              <w:gridCol w:w="184"/>
              <w:gridCol w:w="514"/>
              <w:gridCol w:w="318"/>
              <w:gridCol w:w="381"/>
              <w:gridCol w:w="464"/>
              <w:gridCol w:w="237"/>
              <w:gridCol w:w="583"/>
              <w:gridCol w:w="121"/>
              <w:gridCol w:w="641"/>
              <w:gridCol w:w="62"/>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检测日期</w:t>
                  </w:r>
                </w:p>
              </w:tc>
              <w:tc>
                <w:tcPr>
                  <w:tcW w:w="1497" w:type="dxa"/>
                  <w:gridSpan w:val="3"/>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ascii="Times New Roman" w:hAnsi="Times New Roman" w:cs="Times New Roman"/>
                      <w:b w:val="0"/>
                      <w:bCs w:val="0"/>
                      <w:color w:val="auto"/>
                      <w:kern w:val="2"/>
                      <w:sz w:val="21"/>
                      <w:szCs w:val="21"/>
                      <w:highlight w:val="none"/>
                    </w:rPr>
                  </w:pPr>
                  <w:r>
                    <w:rPr>
                      <w:rFonts w:ascii="Times New Roman" w:hAnsi="Times New Roman" w:cs="Times New Roman"/>
                      <w:b w:val="0"/>
                      <w:bCs w:val="0"/>
                      <w:color w:val="auto"/>
                      <w:kern w:val="2"/>
                      <w:sz w:val="21"/>
                      <w:szCs w:val="21"/>
                      <w:highlight w:val="none"/>
                    </w:rPr>
                    <w:t>检测时段</w:t>
                  </w:r>
                </w:p>
              </w:tc>
              <w:tc>
                <w:tcPr>
                  <w:tcW w:w="5650" w:type="dxa"/>
                  <w:gridSpan w:val="14"/>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ascii="Times New Roman" w:hAnsi="Times New Roman" w:cs="Times New Roman"/>
                      <w:b w:val="0"/>
                      <w:bCs w:val="0"/>
                      <w:color w:val="auto"/>
                      <w:kern w:val="2"/>
                      <w:sz w:val="21"/>
                      <w:szCs w:val="21"/>
                      <w:highlight w:val="none"/>
                    </w:rPr>
                  </w:pPr>
                  <w:r>
                    <w:rPr>
                      <w:rFonts w:ascii="Times New Roman" w:hAnsi="Times New Roman" w:cs="Times New Roman"/>
                      <w:b w:val="0"/>
                      <w:bCs w:val="0"/>
                      <w:color w:val="auto"/>
                      <w:kern w:val="2"/>
                      <w:sz w:val="21"/>
                      <w:szCs w:val="21"/>
                      <w:highlight w:val="none"/>
                    </w:rPr>
                    <w:t>检测点及检测结果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8"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ascii="Times New Roman" w:hAnsi="Times New Roman" w:cs="Times New Roman"/>
                      <w:b w:val="0"/>
                      <w:bCs w:val="0"/>
                      <w:color w:val="auto"/>
                      <w:kern w:val="2"/>
                      <w:sz w:val="21"/>
                      <w:szCs w:val="21"/>
                      <w:highlight w:val="none"/>
                    </w:rPr>
                  </w:pPr>
                </w:p>
              </w:tc>
              <w:tc>
                <w:tcPr>
                  <w:tcW w:w="1497" w:type="dxa"/>
                  <w:gridSpan w:val="3"/>
                  <w:vMerge w:val="continue"/>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Times New Roman" w:hAnsi="Times New Roman" w:cs="Times New Roman"/>
                      <w:b w:val="0"/>
                      <w:bCs w:val="0"/>
                      <w:color w:val="auto"/>
                      <w:kern w:val="2"/>
                      <w:sz w:val="21"/>
                      <w:szCs w:val="21"/>
                      <w:highlight w:val="none"/>
                    </w:rPr>
                  </w:pPr>
                </w:p>
              </w:tc>
              <w:tc>
                <w:tcPr>
                  <w:tcW w:w="778" w:type="dxa"/>
                  <w:gridSpan w:val="2"/>
                  <w:shd w:val="clear" w:color="auto" w:fill="auto"/>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rPr>
                    <w:t>N1</w:t>
                  </w:r>
                </w:p>
              </w:tc>
              <w:tc>
                <w:tcPr>
                  <w:tcW w:w="803" w:type="dxa"/>
                  <w:gridSpan w:val="2"/>
                  <w:shd w:val="clear" w:color="auto" w:fill="auto"/>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N2</w:t>
                  </w:r>
                </w:p>
              </w:tc>
              <w:tc>
                <w:tcPr>
                  <w:tcW w:w="832" w:type="dxa"/>
                  <w:gridSpan w:val="2"/>
                  <w:shd w:val="clear" w:color="auto" w:fill="auto"/>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N3</w:t>
                  </w:r>
                </w:p>
              </w:tc>
              <w:tc>
                <w:tcPr>
                  <w:tcW w:w="845" w:type="dxa"/>
                  <w:gridSpan w:val="2"/>
                  <w:shd w:val="clear" w:color="auto" w:fill="auto"/>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N4</w:t>
                  </w:r>
                </w:p>
              </w:tc>
              <w:tc>
                <w:tcPr>
                  <w:tcW w:w="820" w:type="dxa"/>
                  <w:gridSpan w:val="2"/>
                  <w:shd w:val="clear" w:color="auto" w:fill="auto"/>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N5</w:t>
                  </w:r>
                </w:p>
              </w:tc>
              <w:tc>
                <w:tcPr>
                  <w:tcW w:w="762" w:type="dxa"/>
                  <w:gridSpan w:val="2"/>
                  <w:shd w:val="clear" w:color="auto" w:fill="auto"/>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N6</w:t>
                  </w:r>
                </w:p>
              </w:tc>
              <w:tc>
                <w:tcPr>
                  <w:tcW w:w="810" w:type="dxa"/>
                  <w:gridSpan w:val="2"/>
                  <w:shd w:val="clear" w:color="auto" w:fill="auto"/>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N7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8" w:type="dxa"/>
                  <w:vMerge w:val="restart"/>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Theme="minorEastAsia"/>
                      <w:b w:val="0"/>
                      <w:bCs w:val="0"/>
                      <w:color w:val="auto"/>
                      <w:sz w:val="21"/>
                      <w:szCs w:val="21"/>
                      <w:highlight w:val="none"/>
                      <w:lang w:val="en-US" w:eastAsia="zh-CN"/>
                    </w:rPr>
                  </w:pPr>
                  <w:r>
                    <w:rPr>
                      <w:rFonts w:hint="eastAsia" w:ascii="Times New Roman" w:hAnsi="Times New Roman" w:eastAsiaTheme="minorEastAsia"/>
                      <w:b w:val="0"/>
                      <w:bCs w:val="0"/>
                      <w:color w:val="auto"/>
                      <w:sz w:val="21"/>
                      <w:szCs w:val="21"/>
                      <w:highlight w:val="none"/>
                      <w:lang w:val="en-US" w:eastAsia="zh-CN"/>
                    </w:rPr>
                    <w:t>2025-02-24</w:t>
                  </w:r>
                </w:p>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Theme="minorEastAsia"/>
                      <w:b w:val="0"/>
                      <w:bCs w:val="0"/>
                      <w:color w:val="auto"/>
                      <w:sz w:val="21"/>
                      <w:szCs w:val="21"/>
                      <w:highlight w:val="none"/>
                      <w:lang w:val="en-US" w:eastAsia="zh-CN"/>
                    </w:rPr>
                  </w:pPr>
                  <w:r>
                    <w:rPr>
                      <w:rFonts w:hint="eastAsia" w:ascii="Times New Roman" w:hAnsi="Times New Roman" w:eastAsiaTheme="minorEastAsia"/>
                      <w:b w:val="0"/>
                      <w:bCs w:val="0"/>
                      <w:color w:val="auto"/>
                      <w:sz w:val="21"/>
                      <w:szCs w:val="21"/>
                      <w:highlight w:val="none"/>
                      <w:lang w:val="en-US" w:eastAsia="zh-CN"/>
                    </w:rPr>
                    <w:t>~</w:t>
                  </w:r>
                </w:p>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Theme="minorEastAsia"/>
                      <w:b w:val="0"/>
                      <w:bCs w:val="0"/>
                      <w:color w:val="auto"/>
                      <w:sz w:val="21"/>
                      <w:szCs w:val="21"/>
                      <w:highlight w:val="none"/>
                      <w:lang w:val="en-US" w:eastAsia="zh-CN"/>
                    </w:rPr>
                  </w:pPr>
                  <w:r>
                    <w:rPr>
                      <w:rFonts w:hint="eastAsia" w:ascii="Times New Roman" w:hAnsi="Times New Roman" w:eastAsiaTheme="minorEastAsia"/>
                      <w:b w:val="0"/>
                      <w:bCs w:val="0"/>
                      <w:color w:val="auto"/>
                      <w:sz w:val="21"/>
                      <w:szCs w:val="21"/>
                      <w:highlight w:val="none"/>
                      <w:lang w:val="en-US" w:eastAsia="zh-CN"/>
                    </w:rPr>
                    <w:t>2025-02-26</w:t>
                  </w:r>
                </w:p>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Theme="minorEastAsia"/>
                      <w:b w:val="0"/>
                      <w:bCs w:val="0"/>
                      <w:color w:val="auto"/>
                      <w:sz w:val="21"/>
                      <w:szCs w:val="21"/>
                      <w:highlight w:val="none"/>
                      <w:lang w:val="en-US" w:eastAsia="zh-CN"/>
                    </w:rPr>
                  </w:pPr>
                </w:p>
              </w:tc>
              <w:tc>
                <w:tcPr>
                  <w:tcW w:w="683"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昼间</w:t>
                  </w:r>
                </w:p>
              </w:tc>
              <w:tc>
                <w:tcPr>
                  <w:tcW w:w="814" w:type="dxa"/>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rPr>
                    <w:t>L</w:t>
                  </w:r>
                  <w:r>
                    <w:rPr>
                      <w:rFonts w:hint="eastAsia" w:ascii="Times New Roman" w:hAnsi="Times New Roman" w:cs="Times New Roman"/>
                      <w:b w:val="0"/>
                      <w:bCs w:val="0"/>
                      <w:color w:val="auto"/>
                      <w:kern w:val="2"/>
                      <w:sz w:val="21"/>
                      <w:szCs w:val="21"/>
                      <w:highlight w:val="none"/>
                      <w:vertAlign w:val="subscript"/>
                    </w:rPr>
                    <w:t>eq</w:t>
                  </w:r>
                </w:p>
              </w:tc>
              <w:tc>
                <w:tcPr>
                  <w:tcW w:w="778"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45</w:t>
                  </w:r>
                </w:p>
              </w:tc>
              <w:tc>
                <w:tcPr>
                  <w:tcW w:w="803"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43</w:t>
                  </w:r>
                </w:p>
              </w:tc>
              <w:tc>
                <w:tcPr>
                  <w:tcW w:w="832"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46</w:t>
                  </w:r>
                </w:p>
              </w:tc>
              <w:tc>
                <w:tcPr>
                  <w:tcW w:w="845"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47</w:t>
                  </w:r>
                </w:p>
              </w:tc>
              <w:tc>
                <w:tcPr>
                  <w:tcW w:w="820"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46</w:t>
                  </w:r>
                </w:p>
              </w:tc>
              <w:tc>
                <w:tcPr>
                  <w:tcW w:w="762"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43</w:t>
                  </w:r>
                </w:p>
              </w:tc>
              <w:tc>
                <w:tcPr>
                  <w:tcW w:w="810"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8" w:type="dxa"/>
                  <w:vMerge w:val="continue"/>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sz w:val="21"/>
                      <w:szCs w:val="21"/>
                      <w:highlight w:val="none"/>
                      <w:lang w:val="en-US" w:eastAsia="zh-CN"/>
                    </w:rPr>
                  </w:pPr>
                </w:p>
              </w:tc>
              <w:tc>
                <w:tcPr>
                  <w:tcW w:w="1497" w:type="dxa"/>
                  <w:gridSpan w:val="3"/>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标准</w:t>
                  </w:r>
                  <w:r>
                    <w:rPr>
                      <w:rFonts w:hint="eastAsia" w:ascii="Times New Roman" w:hAnsi="Times New Roman" w:cs="Times New Roman"/>
                      <w:b w:val="0"/>
                      <w:bCs w:val="0"/>
                      <w:color w:val="auto"/>
                      <w:kern w:val="2"/>
                      <w:sz w:val="21"/>
                      <w:szCs w:val="21"/>
                      <w:highlight w:val="none"/>
                    </w:rPr>
                    <w:t>限值</w:t>
                  </w:r>
                </w:p>
              </w:tc>
              <w:tc>
                <w:tcPr>
                  <w:tcW w:w="778"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60</w:t>
                  </w:r>
                </w:p>
              </w:tc>
              <w:tc>
                <w:tcPr>
                  <w:tcW w:w="803"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rPr>
                    <w:t>60</w:t>
                  </w:r>
                </w:p>
              </w:tc>
              <w:tc>
                <w:tcPr>
                  <w:tcW w:w="832"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60</w:t>
                  </w:r>
                </w:p>
              </w:tc>
              <w:tc>
                <w:tcPr>
                  <w:tcW w:w="845"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60</w:t>
                  </w:r>
                </w:p>
              </w:tc>
              <w:tc>
                <w:tcPr>
                  <w:tcW w:w="820"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60</w:t>
                  </w:r>
                </w:p>
              </w:tc>
              <w:tc>
                <w:tcPr>
                  <w:tcW w:w="762"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60</w:t>
                  </w:r>
                </w:p>
              </w:tc>
              <w:tc>
                <w:tcPr>
                  <w:tcW w:w="810"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8" w:type="dxa"/>
                  <w:vMerge w:val="continue"/>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sz w:val="21"/>
                      <w:szCs w:val="21"/>
                      <w:highlight w:val="none"/>
                      <w:lang w:val="en-US" w:eastAsia="zh-CN"/>
                    </w:rPr>
                  </w:pPr>
                </w:p>
              </w:tc>
              <w:tc>
                <w:tcPr>
                  <w:tcW w:w="1497" w:type="dxa"/>
                  <w:gridSpan w:val="3"/>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评价结果</w:t>
                  </w:r>
                </w:p>
              </w:tc>
              <w:tc>
                <w:tcPr>
                  <w:tcW w:w="778"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rPr>
                    <w:t>达标</w:t>
                  </w:r>
                </w:p>
              </w:tc>
              <w:tc>
                <w:tcPr>
                  <w:tcW w:w="803"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rPr>
                    <w:t>达标</w:t>
                  </w:r>
                </w:p>
              </w:tc>
              <w:tc>
                <w:tcPr>
                  <w:tcW w:w="832"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845"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820"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762"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810"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8" w:type="dxa"/>
                  <w:vMerge w:val="continue"/>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683"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ascii="Times New Roman" w:hAnsi="Times New Roman" w:cs="Times New Roman"/>
                      <w:b w:val="0"/>
                      <w:bCs w:val="0"/>
                      <w:color w:val="auto"/>
                      <w:kern w:val="2"/>
                      <w:sz w:val="21"/>
                      <w:szCs w:val="21"/>
                      <w:highlight w:val="none"/>
                    </w:rPr>
                  </w:pPr>
                  <w:r>
                    <w:rPr>
                      <w:rFonts w:ascii="Times New Roman" w:hAnsi="Times New Roman" w:cs="Times New Roman"/>
                      <w:b w:val="0"/>
                      <w:bCs w:val="0"/>
                      <w:color w:val="auto"/>
                      <w:kern w:val="2"/>
                      <w:sz w:val="21"/>
                      <w:szCs w:val="21"/>
                      <w:highlight w:val="none"/>
                    </w:rPr>
                    <w:t>夜间</w:t>
                  </w:r>
                </w:p>
              </w:tc>
              <w:tc>
                <w:tcPr>
                  <w:tcW w:w="814" w:type="dxa"/>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rPr>
                    <w:t>L</w:t>
                  </w:r>
                  <w:r>
                    <w:rPr>
                      <w:rFonts w:hint="eastAsia" w:ascii="Times New Roman" w:hAnsi="Times New Roman" w:cs="Times New Roman"/>
                      <w:b w:val="0"/>
                      <w:bCs w:val="0"/>
                      <w:color w:val="auto"/>
                      <w:kern w:val="2"/>
                      <w:sz w:val="21"/>
                      <w:szCs w:val="21"/>
                      <w:highlight w:val="none"/>
                      <w:vertAlign w:val="subscript"/>
                    </w:rPr>
                    <w:t>eq</w:t>
                  </w:r>
                </w:p>
              </w:tc>
              <w:tc>
                <w:tcPr>
                  <w:tcW w:w="778"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40</w:t>
                  </w:r>
                </w:p>
              </w:tc>
              <w:tc>
                <w:tcPr>
                  <w:tcW w:w="803"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41</w:t>
                  </w:r>
                </w:p>
              </w:tc>
              <w:tc>
                <w:tcPr>
                  <w:tcW w:w="832"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41</w:t>
                  </w:r>
                </w:p>
              </w:tc>
              <w:tc>
                <w:tcPr>
                  <w:tcW w:w="845"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42</w:t>
                  </w:r>
                </w:p>
              </w:tc>
              <w:tc>
                <w:tcPr>
                  <w:tcW w:w="820"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42</w:t>
                  </w:r>
                </w:p>
              </w:tc>
              <w:tc>
                <w:tcPr>
                  <w:tcW w:w="762"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40</w:t>
                  </w:r>
                </w:p>
              </w:tc>
              <w:tc>
                <w:tcPr>
                  <w:tcW w:w="810"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8" w:type="dxa"/>
                  <w:vMerge w:val="continue"/>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497" w:type="dxa"/>
                  <w:gridSpan w:val="3"/>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标准</w:t>
                  </w:r>
                  <w:r>
                    <w:rPr>
                      <w:rFonts w:hint="eastAsia" w:ascii="Times New Roman" w:hAnsi="Times New Roman" w:cs="Times New Roman"/>
                      <w:b w:val="0"/>
                      <w:bCs w:val="0"/>
                      <w:color w:val="auto"/>
                      <w:kern w:val="2"/>
                      <w:sz w:val="21"/>
                      <w:szCs w:val="21"/>
                      <w:highlight w:val="none"/>
                    </w:rPr>
                    <w:t>限值</w:t>
                  </w:r>
                </w:p>
              </w:tc>
              <w:tc>
                <w:tcPr>
                  <w:tcW w:w="778"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50</w:t>
                  </w:r>
                </w:p>
              </w:tc>
              <w:tc>
                <w:tcPr>
                  <w:tcW w:w="803"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rPr>
                    <w:t>50</w:t>
                  </w:r>
                </w:p>
              </w:tc>
              <w:tc>
                <w:tcPr>
                  <w:tcW w:w="832"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50</w:t>
                  </w:r>
                </w:p>
              </w:tc>
              <w:tc>
                <w:tcPr>
                  <w:tcW w:w="845"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50</w:t>
                  </w:r>
                </w:p>
              </w:tc>
              <w:tc>
                <w:tcPr>
                  <w:tcW w:w="820"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50</w:t>
                  </w:r>
                </w:p>
              </w:tc>
              <w:tc>
                <w:tcPr>
                  <w:tcW w:w="762"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50</w:t>
                  </w:r>
                </w:p>
              </w:tc>
              <w:tc>
                <w:tcPr>
                  <w:tcW w:w="810"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8" w:type="dxa"/>
                  <w:vMerge w:val="continue"/>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497" w:type="dxa"/>
                  <w:gridSpan w:val="3"/>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评价结果</w:t>
                  </w:r>
                </w:p>
              </w:tc>
              <w:tc>
                <w:tcPr>
                  <w:tcW w:w="778"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rPr>
                    <w:t>达标</w:t>
                  </w:r>
                </w:p>
              </w:tc>
              <w:tc>
                <w:tcPr>
                  <w:tcW w:w="803"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rPr>
                    <w:t>达标</w:t>
                  </w:r>
                </w:p>
              </w:tc>
              <w:tc>
                <w:tcPr>
                  <w:tcW w:w="832"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845"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820"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762"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810" w:type="dxa"/>
                  <w:gridSpan w:val="2"/>
                  <w:vAlign w:val="center"/>
                </w:tcPr>
                <w:p>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78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kern w:val="2"/>
                      <w:sz w:val="21"/>
                      <w:szCs w:val="21"/>
                      <w:highlight w:val="none"/>
                    </w:rPr>
                    <w:t>检测日期</w:t>
                  </w:r>
                </w:p>
              </w:tc>
              <w:tc>
                <w:tcPr>
                  <w:tcW w:w="1497" w:type="dxa"/>
                  <w:gridSpan w:val="3"/>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ascii="Times New Roman" w:hAnsi="Times New Roman" w:cs="Times New Roman"/>
                      <w:b w:val="0"/>
                      <w:bCs w:val="0"/>
                      <w:color w:val="auto"/>
                      <w:kern w:val="2"/>
                      <w:sz w:val="21"/>
                      <w:szCs w:val="21"/>
                      <w:highlight w:val="none"/>
                    </w:rPr>
                    <w:t>检测时段</w:t>
                  </w:r>
                </w:p>
              </w:tc>
              <w:tc>
                <w:tcPr>
                  <w:tcW w:w="5650" w:type="dxa"/>
                  <w:gridSpan w:val="14"/>
                  <w:vAlign w:val="center"/>
                </w:tcPr>
                <w:p>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ascii="Times New Roman" w:hAnsi="Times New Roman" w:cs="Times New Roman"/>
                      <w:b w:val="0"/>
                      <w:bCs w:val="0"/>
                      <w:color w:val="auto"/>
                      <w:kern w:val="2"/>
                      <w:sz w:val="21"/>
                      <w:szCs w:val="21"/>
                      <w:highlight w:val="none"/>
                    </w:rPr>
                    <w:t>检测点及检测结果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788"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497" w:type="dxa"/>
                  <w:gridSpan w:val="3"/>
                  <w:vMerge w:val="continue"/>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p>
              </w:tc>
              <w:tc>
                <w:tcPr>
                  <w:tcW w:w="699"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N8</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N9</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N10</w:t>
                  </w:r>
                </w:p>
              </w:tc>
              <w:tc>
                <w:tcPr>
                  <w:tcW w:w="699"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N11</w:t>
                  </w:r>
                </w:p>
              </w:tc>
              <w:tc>
                <w:tcPr>
                  <w:tcW w:w="701"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N12</w:t>
                  </w:r>
                </w:p>
              </w:tc>
              <w:tc>
                <w:tcPr>
                  <w:tcW w:w="704"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N13</w:t>
                  </w:r>
                </w:p>
              </w:tc>
              <w:tc>
                <w:tcPr>
                  <w:tcW w:w="703"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N14</w:t>
                  </w:r>
                </w:p>
              </w:tc>
              <w:tc>
                <w:tcPr>
                  <w:tcW w:w="748"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b w:val="0"/>
                      <w:bCs w:val="0"/>
                      <w:color w:val="auto"/>
                    </w:rPr>
                  </w:pPr>
                  <w:r>
                    <w:rPr>
                      <w:rFonts w:hint="eastAsia" w:ascii="Times New Roman" w:hAnsi="Times New Roman" w:cs="Times New Roman"/>
                      <w:b w:val="0"/>
                      <w:bCs w:val="0"/>
                      <w:color w:val="auto"/>
                      <w:kern w:val="2"/>
                      <w:sz w:val="21"/>
                      <w:szCs w:val="21"/>
                      <w:highlight w:val="none"/>
                      <w:lang w:val="en-US" w:eastAsia="zh-CN"/>
                    </w:rPr>
                    <w:t>N15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788" w:type="dxa"/>
                  <w:vMerge w:val="restart"/>
                  <w:vAlign w:val="center"/>
                </w:tcPr>
                <w:p>
                  <w:pPr>
                    <w:keepNext w:val="0"/>
                    <w:keepLines w:val="0"/>
                    <w:pageBreakBefore w:val="0"/>
                    <w:widowControl w:val="0"/>
                    <w:kinsoku/>
                    <w:wordWrap/>
                    <w:overflowPunct/>
                    <w:topLinePunct w:val="0"/>
                    <w:bidi w:val="0"/>
                    <w:adjustRightInd/>
                    <w:snapToGrid/>
                    <w:spacing w:after="0" w:line="220" w:lineRule="atLeast"/>
                    <w:ind w:firstLine="0" w:firstLineChars="0"/>
                    <w:jc w:val="center"/>
                    <w:textAlignment w:val="auto"/>
                    <w:rPr>
                      <w:rFonts w:hint="eastAsia" w:ascii="Times New Roman" w:hAnsi="Times New Roman" w:eastAsiaTheme="minorEastAsia"/>
                      <w:b w:val="0"/>
                      <w:bCs w:val="0"/>
                      <w:color w:val="auto"/>
                      <w:sz w:val="21"/>
                      <w:szCs w:val="21"/>
                      <w:highlight w:val="none"/>
                      <w:lang w:val="en-US" w:eastAsia="zh-CN"/>
                    </w:rPr>
                  </w:pPr>
                  <w:r>
                    <w:rPr>
                      <w:rFonts w:hint="eastAsia" w:ascii="Times New Roman" w:hAnsi="Times New Roman" w:eastAsiaTheme="minorEastAsia"/>
                      <w:b w:val="0"/>
                      <w:bCs w:val="0"/>
                      <w:color w:val="auto"/>
                      <w:sz w:val="21"/>
                      <w:szCs w:val="21"/>
                      <w:highlight w:val="none"/>
                      <w:lang w:val="en-US" w:eastAsia="zh-CN"/>
                    </w:rPr>
                    <w:t>2025-02-24</w:t>
                  </w:r>
                </w:p>
                <w:p>
                  <w:pPr>
                    <w:keepNext w:val="0"/>
                    <w:keepLines w:val="0"/>
                    <w:pageBreakBefore w:val="0"/>
                    <w:widowControl w:val="0"/>
                    <w:kinsoku/>
                    <w:wordWrap/>
                    <w:overflowPunct/>
                    <w:topLinePunct w:val="0"/>
                    <w:bidi w:val="0"/>
                    <w:adjustRightInd/>
                    <w:snapToGrid/>
                    <w:spacing w:after="0" w:line="220" w:lineRule="atLeast"/>
                    <w:ind w:firstLine="0" w:firstLineChars="0"/>
                    <w:jc w:val="center"/>
                    <w:textAlignment w:val="auto"/>
                    <w:rPr>
                      <w:rFonts w:hint="eastAsia" w:ascii="Times New Roman" w:hAnsi="Times New Roman" w:eastAsiaTheme="minorEastAsia"/>
                      <w:b w:val="0"/>
                      <w:bCs w:val="0"/>
                      <w:color w:val="auto"/>
                      <w:sz w:val="21"/>
                      <w:szCs w:val="21"/>
                      <w:highlight w:val="none"/>
                      <w:lang w:val="en-US" w:eastAsia="zh-CN"/>
                    </w:rPr>
                  </w:pPr>
                  <w:r>
                    <w:rPr>
                      <w:rFonts w:hint="eastAsia" w:ascii="Times New Roman" w:hAnsi="Times New Roman" w:eastAsiaTheme="minorEastAsia"/>
                      <w:b w:val="0"/>
                      <w:bCs w:val="0"/>
                      <w:color w:val="auto"/>
                      <w:sz w:val="21"/>
                      <w:szCs w:val="21"/>
                      <w:highlight w:val="none"/>
                      <w:lang w:val="en-US" w:eastAsia="zh-CN"/>
                    </w:rPr>
                    <w:t>~</w:t>
                  </w:r>
                </w:p>
                <w:p>
                  <w:pPr>
                    <w:keepNext w:val="0"/>
                    <w:keepLines w:val="0"/>
                    <w:pageBreakBefore w:val="0"/>
                    <w:widowControl w:val="0"/>
                    <w:kinsoku/>
                    <w:wordWrap/>
                    <w:overflowPunct/>
                    <w:topLinePunct w:val="0"/>
                    <w:bidi w:val="0"/>
                    <w:adjustRightInd/>
                    <w:snapToGrid/>
                    <w:spacing w:after="0" w:line="220" w:lineRule="atLeast"/>
                    <w:ind w:firstLine="0" w:firstLineChars="0"/>
                    <w:jc w:val="center"/>
                    <w:textAlignment w:val="auto"/>
                    <w:rPr>
                      <w:rFonts w:hint="default" w:ascii="Times New Roman" w:hAnsi="Times New Roman" w:eastAsiaTheme="minorEastAsia"/>
                      <w:b w:val="0"/>
                      <w:bCs w:val="0"/>
                      <w:color w:val="auto"/>
                      <w:sz w:val="21"/>
                      <w:szCs w:val="21"/>
                      <w:highlight w:val="none"/>
                      <w:lang w:val="en-US" w:eastAsia="zh-CN"/>
                    </w:rPr>
                  </w:pPr>
                  <w:r>
                    <w:rPr>
                      <w:rFonts w:hint="eastAsia" w:ascii="Times New Roman" w:hAnsi="Times New Roman" w:eastAsiaTheme="minorEastAsia"/>
                      <w:b w:val="0"/>
                      <w:bCs w:val="0"/>
                      <w:color w:val="auto"/>
                      <w:sz w:val="21"/>
                      <w:szCs w:val="21"/>
                      <w:highlight w:val="none"/>
                      <w:lang w:val="en-US" w:eastAsia="zh-CN"/>
                    </w:rPr>
                    <w:t>2025-02-26</w:t>
                  </w:r>
                </w:p>
                <w:p>
                  <w:pPr>
                    <w:keepNext w:val="0"/>
                    <w:keepLines w:val="0"/>
                    <w:pageBreakBefore w:val="0"/>
                    <w:widowControl w:val="0"/>
                    <w:kinsoku/>
                    <w:wordWrap/>
                    <w:overflowPunct/>
                    <w:topLinePunct w:val="0"/>
                    <w:bidi w:val="0"/>
                    <w:adjustRightInd/>
                    <w:snapToGrid/>
                    <w:spacing w:after="0" w:line="220" w:lineRule="atLeast"/>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643"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昼间</w:t>
                  </w:r>
                </w:p>
              </w:tc>
              <w:tc>
                <w:tcPr>
                  <w:tcW w:w="854"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L</w:t>
                  </w:r>
                  <w:r>
                    <w:rPr>
                      <w:rFonts w:hint="eastAsia" w:ascii="Times New Roman" w:hAnsi="Times New Roman" w:cs="Times New Roman"/>
                      <w:b w:val="0"/>
                      <w:bCs w:val="0"/>
                      <w:color w:val="auto"/>
                      <w:kern w:val="2"/>
                      <w:sz w:val="21"/>
                      <w:szCs w:val="21"/>
                      <w:highlight w:val="none"/>
                      <w:vertAlign w:val="subscript"/>
                    </w:rPr>
                    <w:t>eq</w:t>
                  </w:r>
                </w:p>
              </w:tc>
              <w:tc>
                <w:tcPr>
                  <w:tcW w:w="699"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44</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43</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46</w:t>
                  </w:r>
                </w:p>
              </w:tc>
              <w:tc>
                <w:tcPr>
                  <w:tcW w:w="699"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45</w:t>
                  </w:r>
                </w:p>
              </w:tc>
              <w:tc>
                <w:tcPr>
                  <w:tcW w:w="701"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44</w:t>
                  </w:r>
                </w:p>
              </w:tc>
              <w:tc>
                <w:tcPr>
                  <w:tcW w:w="704"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41</w:t>
                  </w:r>
                </w:p>
              </w:tc>
              <w:tc>
                <w:tcPr>
                  <w:tcW w:w="703"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45</w:t>
                  </w:r>
                </w:p>
              </w:tc>
              <w:tc>
                <w:tcPr>
                  <w:tcW w:w="748"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b w:val="0"/>
                      <w:bCs w:val="0"/>
                      <w:color w:val="auto"/>
                    </w:rPr>
                  </w:pPr>
                  <w:r>
                    <w:rPr>
                      <w:rFonts w:hint="eastAsia" w:ascii="Times New Roman" w:hAnsi="Times New Roman" w:cs="Times New Roman"/>
                      <w:b w:val="0"/>
                      <w:bCs w:val="0"/>
                      <w:color w:val="auto"/>
                      <w:kern w:val="2"/>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788" w:type="dxa"/>
                  <w:vMerge w:val="continue"/>
                  <w:vAlign w:val="center"/>
                </w:tcPr>
                <w:p>
                  <w:pPr>
                    <w:keepNext w:val="0"/>
                    <w:keepLines w:val="0"/>
                    <w:pageBreakBefore w:val="0"/>
                    <w:widowControl w:val="0"/>
                    <w:kinsoku/>
                    <w:wordWrap/>
                    <w:overflowPunct/>
                    <w:topLinePunct w:val="0"/>
                    <w:bidi w:val="0"/>
                    <w:adjustRightInd/>
                    <w:snapToGrid/>
                    <w:spacing w:after="0" w:line="220" w:lineRule="atLeast"/>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497" w:type="dxa"/>
                  <w:gridSpan w:val="3"/>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标准</w:t>
                  </w:r>
                  <w:r>
                    <w:rPr>
                      <w:rFonts w:hint="eastAsia" w:ascii="Times New Roman" w:hAnsi="Times New Roman" w:cs="Times New Roman"/>
                      <w:b w:val="0"/>
                      <w:bCs w:val="0"/>
                      <w:color w:val="auto"/>
                      <w:kern w:val="2"/>
                      <w:sz w:val="21"/>
                      <w:szCs w:val="21"/>
                      <w:highlight w:val="none"/>
                    </w:rPr>
                    <w:t>限值</w:t>
                  </w:r>
                </w:p>
              </w:tc>
              <w:tc>
                <w:tcPr>
                  <w:tcW w:w="699"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60</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60</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60</w:t>
                  </w:r>
                </w:p>
              </w:tc>
              <w:tc>
                <w:tcPr>
                  <w:tcW w:w="699"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60</w:t>
                  </w:r>
                </w:p>
              </w:tc>
              <w:tc>
                <w:tcPr>
                  <w:tcW w:w="701"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60</w:t>
                  </w:r>
                </w:p>
              </w:tc>
              <w:tc>
                <w:tcPr>
                  <w:tcW w:w="704"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60</w:t>
                  </w:r>
                </w:p>
              </w:tc>
              <w:tc>
                <w:tcPr>
                  <w:tcW w:w="703"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60</w:t>
                  </w:r>
                </w:p>
              </w:tc>
              <w:tc>
                <w:tcPr>
                  <w:tcW w:w="748"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b w:val="0"/>
                      <w:bCs w:val="0"/>
                      <w:color w:val="auto"/>
                    </w:rPr>
                  </w:pPr>
                  <w:r>
                    <w:rPr>
                      <w:rFonts w:hint="eastAsia" w:ascii="Times New Roman" w:hAnsi="Times New Roman" w:cs="Times New Roman"/>
                      <w:b w:val="0"/>
                      <w:bCs w:val="0"/>
                      <w:color w:val="auto"/>
                      <w:kern w:val="2"/>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788" w:type="dxa"/>
                  <w:vMerge w:val="continue"/>
                  <w:vAlign w:val="center"/>
                </w:tcPr>
                <w:p>
                  <w:pPr>
                    <w:keepNext w:val="0"/>
                    <w:keepLines w:val="0"/>
                    <w:pageBreakBefore w:val="0"/>
                    <w:widowControl w:val="0"/>
                    <w:kinsoku/>
                    <w:wordWrap/>
                    <w:overflowPunct/>
                    <w:topLinePunct w:val="0"/>
                    <w:bidi w:val="0"/>
                    <w:adjustRightInd/>
                    <w:snapToGrid/>
                    <w:spacing w:after="0" w:line="220" w:lineRule="atLeast"/>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497" w:type="dxa"/>
                  <w:gridSpan w:val="3"/>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评价结果</w:t>
                  </w:r>
                </w:p>
              </w:tc>
              <w:tc>
                <w:tcPr>
                  <w:tcW w:w="699"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699"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701"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704"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703"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748"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b w:val="0"/>
                      <w:bCs w:val="0"/>
                      <w:color w:val="auto"/>
                    </w:rPr>
                  </w:pPr>
                  <w:r>
                    <w:rPr>
                      <w:rFonts w:hint="eastAsia" w:ascii="Times New Roman" w:hAnsi="Times New Roman" w:cs="Times New Roman"/>
                      <w:b w:val="0"/>
                      <w:bCs w:val="0"/>
                      <w:color w:val="auto"/>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jc w:val="center"/>
              </w:trPr>
              <w:tc>
                <w:tcPr>
                  <w:tcW w:w="788" w:type="dxa"/>
                  <w:vMerge w:val="continue"/>
                  <w:vAlign w:val="center"/>
                </w:tcPr>
                <w:p>
                  <w:pPr>
                    <w:keepNext w:val="0"/>
                    <w:keepLines w:val="0"/>
                    <w:pageBreakBefore w:val="0"/>
                    <w:widowControl w:val="0"/>
                    <w:kinsoku/>
                    <w:wordWrap/>
                    <w:overflowPunct/>
                    <w:topLinePunct w:val="0"/>
                    <w:bidi w:val="0"/>
                    <w:adjustRightInd/>
                    <w:snapToGrid/>
                    <w:spacing w:after="0" w:line="220" w:lineRule="atLeast"/>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643"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ascii="Times New Roman" w:hAnsi="Times New Roman" w:cs="Times New Roman"/>
                      <w:b w:val="0"/>
                      <w:bCs w:val="0"/>
                      <w:color w:val="auto"/>
                      <w:kern w:val="2"/>
                      <w:sz w:val="21"/>
                      <w:szCs w:val="21"/>
                      <w:highlight w:val="none"/>
                    </w:rPr>
                    <w:t>夜间</w:t>
                  </w:r>
                </w:p>
              </w:tc>
              <w:tc>
                <w:tcPr>
                  <w:tcW w:w="854"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L</w:t>
                  </w:r>
                  <w:r>
                    <w:rPr>
                      <w:rFonts w:hint="eastAsia" w:ascii="Times New Roman" w:hAnsi="Times New Roman" w:cs="Times New Roman"/>
                      <w:b w:val="0"/>
                      <w:bCs w:val="0"/>
                      <w:color w:val="auto"/>
                      <w:kern w:val="2"/>
                      <w:sz w:val="21"/>
                      <w:szCs w:val="21"/>
                      <w:highlight w:val="none"/>
                      <w:vertAlign w:val="subscript"/>
                    </w:rPr>
                    <w:t>eq</w:t>
                  </w:r>
                </w:p>
              </w:tc>
              <w:tc>
                <w:tcPr>
                  <w:tcW w:w="699"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40</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41</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42</w:t>
                  </w:r>
                </w:p>
              </w:tc>
              <w:tc>
                <w:tcPr>
                  <w:tcW w:w="699"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42</w:t>
                  </w:r>
                </w:p>
              </w:tc>
              <w:tc>
                <w:tcPr>
                  <w:tcW w:w="701"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41</w:t>
                  </w:r>
                </w:p>
              </w:tc>
              <w:tc>
                <w:tcPr>
                  <w:tcW w:w="704"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39</w:t>
                  </w:r>
                </w:p>
              </w:tc>
              <w:tc>
                <w:tcPr>
                  <w:tcW w:w="703"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bidi="ar-SA"/>
                    </w:rPr>
                    <w:t>42</w:t>
                  </w:r>
                </w:p>
              </w:tc>
              <w:tc>
                <w:tcPr>
                  <w:tcW w:w="748"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b w:val="0"/>
                      <w:bCs w:val="0"/>
                      <w:color w:val="auto"/>
                    </w:rPr>
                  </w:pPr>
                  <w:r>
                    <w:rPr>
                      <w:rFonts w:hint="eastAsia" w:ascii="Times New Roman" w:hAnsi="Times New Roman" w:cs="Times New Roman"/>
                      <w:b w:val="0"/>
                      <w:bCs w:val="0"/>
                      <w:color w:val="auto"/>
                      <w:kern w:val="2"/>
                      <w:sz w:val="21"/>
                      <w:szCs w:val="21"/>
                      <w:highlight w:val="no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 w:hRule="atLeast"/>
                <w:jc w:val="center"/>
              </w:trPr>
              <w:tc>
                <w:tcPr>
                  <w:tcW w:w="788" w:type="dxa"/>
                  <w:vMerge w:val="continue"/>
                  <w:vAlign w:val="center"/>
                </w:tcPr>
                <w:p>
                  <w:pPr>
                    <w:keepNext w:val="0"/>
                    <w:keepLines w:val="0"/>
                    <w:pageBreakBefore w:val="0"/>
                    <w:widowControl w:val="0"/>
                    <w:kinsoku/>
                    <w:wordWrap/>
                    <w:overflowPunct/>
                    <w:topLinePunct w:val="0"/>
                    <w:bidi w:val="0"/>
                    <w:adjustRightInd/>
                    <w:snapToGrid/>
                    <w:spacing w:after="0" w:line="220" w:lineRule="atLeast"/>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497" w:type="dxa"/>
                  <w:gridSpan w:val="3"/>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标准</w:t>
                  </w:r>
                  <w:r>
                    <w:rPr>
                      <w:rFonts w:hint="eastAsia" w:ascii="Times New Roman" w:hAnsi="Times New Roman" w:cs="Times New Roman"/>
                      <w:b w:val="0"/>
                      <w:bCs w:val="0"/>
                      <w:color w:val="auto"/>
                      <w:kern w:val="2"/>
                      <w:sz w:val="21"/>
                      <w:szCs w:val="21"/>
                      <w:highlight w:val="none"/>
                    </w:rPr>
                    <w:t>限值</w:t>
                  </w:r>
                </w:p>
              </w:tc>
              <w:tc>
                <w:tcPr>
                  <w:tcW w:w="699"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50</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50</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50</w:t>
                  </w:r>
                </w:p>
              </w:tc>
              <w:tc>
                <w:tcPr>
                  <w:tcW w:w="699"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50</w:t>
                  </w:r>
                </w:p>
              </w:tc>
              <w:tc>
                <w:tcPr>
                  <w:tcW w:w="701"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50</w:t>
                  </w:r>
                </w:p>
              </w:tc>
              <w:tc>
                <w:tcPr>
                  <w:tcW w:w="704"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50</w:t>
                  </w:r>
                </w:p>
              </w:tc>
              <w:tc>
                <w:tcPr>
                  <w:tcW w:w="703"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rPr>
                    <w:t>50</w:t>
                  </w:r>
                </w:p>
              </w:tc>
              <w:tc>
                <w:tcPr>
                  <w:tcW w:w="748"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b w:val="0"/>
                      <w:bCs w:val="0"/>
                      <w:color w:val="auto"/>
                    </w:rPr>
                  </w:pPr>
                  <w:r>
                    <w:rPr>
                      <w:rFonts w:hint="eastAsia" w:ascii="Times New Roman" w:hAnsi="Times New Roman" w:cs="Times New Roman"/>
                      <w:b w:val="0"/>
                      <w:bCs w:val="0"/>
                      <w:color w:val="auto"/>
                      <w:kern w:val="2"/>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788" w:type="dxa"/>
                  <w:vMerge w:val="continue"/>
                  <w:vAlign w:val="center"/>
                </w:tcPr>
                <w:p>
                  <w:pPr>
                    <w:keepNext w:val="0"/>
                    <w:keepLines w:val="0"/>
                    <w:pageBreakBefore w:val="0"/>
                    <w:widowControl w:val="0"/>
                    <w:kinsoku/>
                    <w:wordWrap/>
                    <w:overflowPunct/>
                    <w:topLinePunct w:val="0"/>
                    <w:bidi w:val="0"/>
                    <w:adjustRightInd/>
                    <w:snapToGrid/>
                    <w:spacing w:after="0" w:line="220" w:lineRule="atLeast"/>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1497" w:type="dxa"/>
                  <w:gridSpan w:val="3"/>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评价结果</w:t>
                  </w:r>
                </w:p>
              </w:tc>
              <w:tc>
                <w:tcPr>
                  <w:tcW w:w="699"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698"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699"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701"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704"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703" w:type="dxa"/>
                  <w:gridSpan w:val="2"/>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rFonts w:hint="eastAsia" w:ascii="Times New Roman" w:hAnsi="Times New Roman" w:cs="Times New Roman"/>
                      <w:b w:val="0"/>
                      <w:bCs w:val="0"/>
                      <w:color w:val="auto"/>
                      <w:kern w:val="2"/>
                      <w:sz w:val="21"/>
                      <w:szCs w:val="21"/>
                      <w:highlight w:val="none"/>
                    </w:rPr>
                  </w:pPr>
                  <w:r>
                    <w:rPr>
                      <w:rFonts w:hint="eastAsia" w:ascii="Times New Roman" w:hAnsi="Times New Roman" w:cs="Times New Roman"/>
                      <w:b w:val="0"/>
                      <w:bCs w:val="0"/>
                      <w:color w:val="auto"/>
                      <w:kern w:val="2"/>
                      <w:sz w:val="21"/>
                      <w:szCs w:val="21"/>
                      <w:highlight w:val="none"/>
                    </w:rPr>
                    <w:t>达标</w:t>
                  </w:r>
                </w:p>
              </w:tc>
              <w:tc>
                <w:tcPr>
                  <w:tcW w:w="748" w:type="dxa"/>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rPr>
                      <w:b w:val="0"/>
                      <w:bCs w:val="0"/>
                      <w:color w:val="auto"/>
                    </w:rPr>
                  </w:pPr>
                  <w:r>
                    <w:rPr>
                      <w:rFonts w:hint="eastAsia" w:ascii="Times New Roman" w:hAnsi="Times New Roman" w:cs="Times New Roman"/>
                      <w:b w:val="0"/>
                      <w:bCs w:val="0"/>
                      <w:color w:val="auto"/>
                      <w:kern w:val="2"/>
                      <w:sz w:val="21"/>
                      <w:szCs w:val="21"/>
                      <w:highlight w:val="none"/>
                    </w:rPr>
                    <w:t>达标</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由上表可知，监测点处</w:t>
            </w:r>
            <w:r>
              <w:rPr>
                <w:rFonts w:hint="default" w:ascii="Times New Roman" w:hAnsi="Times New Roman" w:eastAsia="宋体" w:cs="Times New Roman"/>
                <w:bCs/>
                <w:color w:val="auto"/>
                <w:sz w:val="24"/>
              </w:rPr>
              <w:t>噪声值</w:t>
            </w:r>
            <w:r>
              <w:rPr>
                <w:rFonts w:hint="eastAsia" w:cs="Times New Roman"/>
                <w:bCs/>
                <w:color w:val="auto"/>
                <w:sz w:val="24"/>
                <w:lang w:val="en-US" w:eastAsia="zh-CN"/>
              </w:rPr>
              <w:t>均</w:t>
            </w:r>
            <w:r>
              <w:rPr>
                <w:rFonts w:hint="default" w:ascii="Times New Roman" w:hAnsi="Times New Roman" w:eastAsia="宋体" w:cs="Times New Roman"/>
                <w:bCs/>
                <w:color w:val="auto"/>
                <w:sz w:val="24"/>
              </w:rPr>
              <w:t>满足《声环境质量标准》（GB3096-2008）中2类标准限值要求。</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、土壤环境质量现状</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蓬溪县土壤属由中生代侏罗系河湖相紫色砂泥岩风化碎屑物、残积物、坡积物和新生代涪江地文期及近代冲积物奠定的成土物质基础。全县以紫色土为主，该类土系由中统上沙溪庙组、上统蓬莱镇组下段、遂宁组岩层紫色砂泥岩分别发育而成灰棕紫泥土、棕紫泥土、红棕紫泥土三个土属；其次为潮土，由近代河流新冲积物形成，共有灰棕潮土、紫潮土两个土属；还有少量的老冲积黄壤，共有黄泥土、卵石黄泥土、老冲积黄壤三个土属。全境土壤成土母质，主要为侏罗纪系紫色砂泥岩风化而成的紫色土，砂石、页岩、粘土、盐卤等资源储量丰富。</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、地下水环境质量现状</w:t>
            </w:r>
          </w:p>
          <w:p>
            <w:pPr>
              <w:adjustRightInd w:val="0"/>
              <w:snapToGrid w:val="0"/>
              <w:rPr>
                <w:rFonts w:ascii="宋体" w:hAnsi="宋体" w:eastAsia="宋体" w:cs="宋体"/>
                <w:color w:val="auto"/>
                <w:kern w:val="0"/>
                <w:szCs w:val="21"/>
              </w:rPr>
            </w:pPr>
            <w:r>
              <w:rPr>
                <w:rFonts w:hint="default" w:ascii="Times New Roman" w:hAnsi="Times New Roman" w:eastAsia="宋体" w:cs="Times New Roman"/>
                <w:color w:val="auto"/>
                <w:kern w:val="2"/>
                <w:sz w:val="24"/>
                <w:szCs w:val="24"/>
                <w:highlight w:val="none"/>
                <w:lang w:val="en-US" w:eastAsia="zh-CN" w:bidi="ar-SA"/>
              </w:rPr>
              <w:t>根据《环境影响评价技术导则地下水环境》（HJ610-2016）建设项目对地下水环境影响的特征，本项目营运过程的给水水源主要来</w:t>
            </w:r>
            <w:r>
              <w:rPr>
                <w:rFonts w:hint="eastAsia" w:cs="Times New Roman"/>
                <w:color w:val="auto"/>
                <w:kern w:val="2"/>
                <w:sz w:val="24"/>
                <w:szCs w:val="24"/>
                <w:highlight w:val="none"/>
                <w:lang w:val="en-US" w:eastAsia="zh-CN" w:bidi="ar-SA"/>
              </w:rPr>
              <w:t>自</w:t>
            </w:r>
            <w:r>
              <w:rPr>
                <w:rFonts w:hint="default" w:ascii="Times New Roman" w:hAnsi="Times New Roman" w:eastAsia="宋体" w:cs="Times New Roman"/>
                <w:color w:val="auto"/>
                <w:kern w:val="2"/>
                <w:sz w:val="24"/>
                <w:szCs w:val="24"/>
                <w:highlight w:val="none"/>
                <w:lang w:val="en-US" w:eastAsia="zh-CN" w:bidi="ar-SA"/>
              </w:rPr>
              <w:t>地表水，项目产生的废水经妥善处理后，不会造成地下水水质的影响；根据导则附录A“地下水环境影响评价行业分类表”有关内容，本项目为“</w:t>
            </w:r>
            <w:r>
              <w:rPr>
                <w:rFonts w:hint="eastAsia" w:cs="Times New Roman"/>
                <w:color w:val="auto"/>
                <w:kern w:val="2"/>
                <w:sz w:val="24"/>
                <w:szCs w:val="24"/>
                <w:highlight w:val="none"/>
                <w:lang w:val="en-US" w:eastAsia="zh-CN" w:bidi="ar-SA"/>
              </w:rPr>
              <w:t>B</w:t>
            </w:r>
            <w:r>
              <w:rPr>
                <w:rFonts w:hint="default" w:ascii="Times New Roman" w:hAnsi="Times New Roman" w:eastAsia="宋体" w:cs="Times New Roman"/>
                <w:color w:val="auto"/>
                <w:kern w:val="2"/>
                <w:sz w:val="24"/>
                <w:szCs w:val="24"/>
                <w:highlight w:val="none"/>
                <w:lang w:val="en-US" w:eastAsia="zh-CN" w:bidi="ar-SA"/>
              </w:rPr>
              <w:t>农、林、牧、渔、海洋；</w:t>
            </w:r>
            <w:r>
              <w:rPr>
                <w:rFonts w:hint="eastAsia" w:cs="Times New Roman"/>
                <w:color w:val="auto"/>
                <w:kern w:val="2"/>
                <w:sz w:val="24"/>
                <w:szCs w:val="24"/>
                <w:highlight w:val="none"/>
                <w:lang w:val="en-US" w:eastAsia="zh-CN" w:bidi="ar-SA"/>
              </w:rPr>
              <w:t>11</w:t>
            </w:r>
            <w:r>
              <w:rPr>
                <w:rFonts w:hint="default" w:ascii="Times New Roman" w:hAnsi="Times New Roman" w:eastAsia="宋体" w:cs="Times New Roman"/>
                <w:color w:val="auto"/>
                <w:kern w:val="2"/>
                <w:sz w:val="24"/>
                <w:szCs w:val="24"/>
                <w:highlight w:val="none"/>
                <w:lang w:val="en-US" w:eastAsia="zh-CN" w:bidi="ar-SA"/>
              </w:rPr>
              <w:t>、经济林基地项目；”，属于地下水Ⅳ类项目，因此，本项目不开展地下水环境影响评价。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与项目有关的原有环境污染和生态破坏问题</w:t>
            </w:r>
          </w:p>
        </w:tc>
        <w:tc>
          <w:tcPr>
            <w:tcW w:w="8383" w:type="dxa"/>
            <w:noWrap w:val="0"/>
            <w:vAlign w:val="center"/>
          </w:tcPr>
          <w:p>
            <w:pPr>
              <w:rPr>
                <w:rFonts w:hint="default"/>
                <w:color w:val="auto"/>
              </w:rPr>
            </w:pPr>
            <w:r>
              <w:rPr>
                <w:rFonts w:hint="eastAsia"/>
                <w:color w:val="auto"/>
                <w:lang w:val="en-US" w:eastAsia="zh-CN"/>
              </w:rPr>
              <w:t>本</w:t>
            </w:r>
            <w:r>
              <w:rPr>
                <w:rFonts w:hint="default"/>
                <w:color w:val="auto"/>
              </w:rPr>
              <w:t>项目为新建项目，无与此有关的原有</w:t>
            </w:r>
            <w:r>
              <w:rPr>
                <w:rFonts w:hint="eastAsia"/>
                <w:color w:val="auto"/>
                <w:lang w:val="en-US" w:eastAsia="zh-CN"/>
              </w:rPr>
              <w:t>环境污染，区域现有主要生态问题为水土流失</w:t>
            </w:r>
            <w:r>
              <w:rPr>
                <w:rFonts w:hint="default"/>
                <w:color w:val="auto"/>
              </w:rPr>
              <w:t>。</w:t>
            </w:r>
          </w:p>
          <w:p>
            <w:pPr>
              <w:adjustRightInd w:val="0"/>
              <w:snapToGrid w:val="0"/>
              <w:rPr>
                <w:rFonts w:ascii="宋体" w:hAnsi="宋体" w:eastAsia="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67" w:hRule="atLeast"/>
          <w:jc w:val="center"/>
        </w:trPr>
        <w:tc>
          <w:tcPr>
            <w:tcW w:w="7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生态环境保护目标</w:t>
            </w:r>
          </w:p>
        </w:tc>
        <w:tc>
          <w:tcPr>
            <w:tcW w:w="8383" w:type="dxa"/>
            <w:noWrap w:val="0"/>
            <w:vAlign w:val="center"/>
          </w:tcPr>
          <w:p>
            <w:pPr>
              <w:rPr>
                <w:rFonts w:hint="default" w:cs="Times New Roman"/>
                <w:color w:val="auto"/>
                <w:sz w:val="24"/>
                <w:szCs w:val="24"/>
                <w:highlight w:val="none"/>
                <w:lang w:val="en-US" w:eastAsia="zh-CN"/>
              </w:rPr>
            </w:pPr>
            <w:r>
              <w:rPr>
                <w:rFonts w:hint="default" w:cs="Times New Roman"/>
                <w:color w:val="auto"/>
                <w:sz w:val="24"/>
                <w:szCs w:val="24"/>
                <w:highlight w:val="none"/>
                <w:lang w:val="en-US" w:eastAsia="zh-CN"/>
              </w:rPr>
              <w:t>项目建设地点位于蓬溪县</w:t>
            </w:r>
            <w:r>
              <w:rPr>
                <w:rFonts w:hint="eastAsia" w:cs="Times New Roman"/>
                <w:color w:val="auto"/>
                <w:sz w:val="24"/>
                <w:szCs w:val="24"/>
                <w:highlight w:val="none"/>
                <w:lang w:val="en-US" w:eastAsia="zh-CN"/>
              </w:rPr>
              <w:t>文井镇、任隆镇、槐花镇、金桥镇、常乐镇、宝梵镇、吉祥镇、天福镇、大石镇、三凤镇、明月镇、红江镇、赤城镇、蓬南镇、鸣凤镇、新会镇、群利镇、荷叶乡、高升乡19</w:t>
            </w:r>
            <w:r>
              <w:rPr>
                <w:rFonts w:hint="default" w:cs="Times New Roman"/>
                <w:color w:val="auto"/>
                <w:sz w:val="24"/>
                <w:szCs w:val="24"/>
                <w:highlight w:val="none"/>
                <w:lang w:val="en-US" w:eastAsia="zh-CN"/>
              </w:rPr>
              <w:t>个乡镇。经现场踏勘，项目建设不涉及自然保护区、风景名胜区、森林公园等，项目环境保护目标见下表。</w:t>
            </w:r>
          </w:p>
          <w:p>
            <w:pPr>
              <w:keepNext w:val="0"/>
              <w:keepLines w:val="0"/>
              <w:pageBreakBefore w:val="0"/>
              <w:widowControl/>
              <w:kinsoku/>
              <w:wordWrap/>
              <w:overflowPunct/>
              <w:topLinePunct w:val="0"/>
              <w:autoSpaceDE/>
              <w:autoSpaceDN/>
              <w:bidi w:val="0"/>
              <w:adjustRightInd w:val="0"/>
              <w:snapToGrid w:val="0"/>
              <w:spacing w:before="0" w:beforeLines="0"/>
              <w:jc w:val="center"/>
              <w:textAlignment w:val="auto"/>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表</w:t>
            </w:r>
            <w:r>
              <w:rPr>
                <w:rFonts w:hint="eastAsia" w:ascii="Times New Roman" w:hAnsi="Times New Roman" w:eastAsia="宋体" w:cs="Times New Roman"/>
                <w:b/>
                <w:bCs/>
                <w:snapToGrid w:val="0"/>
                <w:color w:val="auto"/>
                <w:sz w:val="21"/>
                <w:szCs w:val="21"/>
                <w:lang w:val="en-US" w:eastAsia="zh-CN" w:bidi="ar-SA"/>
              </w:rPr>
              <w:t>3-</w:t>
            </w:r>
            <w:r>
              <w:rPr>
                <w:rFonts w:hint="eastAsia" w:cs="Times New Roman"/>
                <w:b/>
                <w:bCs/>
                <w:snapToGrid w:val="0"/>
                <w:color w:val="auto"/>
                <w:sz w:val="21"/>
                <w:szCs w:val="21"/>
                <w:lang w:val="en-US" w:eastAsia="zh-CN" w:bidi="ar-SA"/>
              </w:rPr>
              <w:t>5</w:t>
            </w:r>
            <w:r>
              <w:rPr>
                <w:rFonts w:hint="eastAsia" w:ascii="Times New Roman" w:hAnsi="Times New Roman" w:eastAsia="宋体" w:cs="Times New Roman"/>
                <w:b/>
                <w:bCs/>
                <w:snapToGrid w:val="0"/>
                <w:color w:val="auto"/>
                <w:sz w:val="21"/>
                <w:szCs w:val="21"/>
                <w:lang w:val="en-US" w:eastAsia="zh-CN" w:bidi="ar-SA"/>
              </w:rPr>
              <w:t>　</w:t>
            </w:r>
            <w:r>
              <w:rPr>
                <w:rFonts w:hint="default" w:ascii="Times New Roman" w:hAnsi="Times New Roman" w:eastAsia="宋体" w:cs="Times New Roman"/>
                <w:b/>
                <w:bCs/>
                <w:snapToGrid w:val="0"/>
                <w:color w:val="auto"/>
                <w:sz w:val="21"/>
                <w:szCs w:val="21"/>
                <w:lang w:val="en-US" w:eastAsia="zh-CN" w:bidi="ar-SA"/>
              </w:rPr>
              <w:t>环境保护目标</w:t>
            </w:r>
          </w:p>
          <w:tbl>
            <w:tblPr>
              <w:tblStyle w:val="55"/>
              <w:tblW w:w="8145" w:type="dxa"/>
              <w:jc w:val="center"/>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498"/>
              <w:gridCol w:w="1451"/>
              <w:gridCol w:w="1412"/>
              <w:gridCol w:w="1709"/>
              <w:gridCol w:w="962"/>
              <w:gridCol w:w="2113"/>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514" w:hRule="atLeast"/>
                <w:jc w:val="center"/>
              </w:trPr>
              <w:tc>
                <w:tcPr>
                  <w:tcW w:w="498" w:type="dxa"/>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保护内容</w:t>
                  </w:r>
                </w:p>
              </w:tc>
              <w:tc>
                <w:tcPr>
                  <w:tcW w:w="145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保护对象</w:t>
                  </w:r>
                </w:p>
              </w:tc>
              <w:tc>
                <w:tcPr>
                  <w:tcW w:w="312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距离与方位</w:t>
                  </w:r>
                </w:p>
              </w:tc>
              <w:tc>
                <w:tcPr>
                  <w:tcW w:w="9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规模及</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功能</w:t>
                  </w:r>
                </w:p>
              </w:tc>
              <w:tc>
                <w:tcPr>
                  <w:tcW w:w="211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环境功能区</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578" w:hRule="atLeast"/>
                <w:jc w:val="center"/>
              </w:trPr>
              <w:tc>
                <w:tcPr>
                  <w:tcW w:w="498"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145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14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相对厂址方位</w:t>
                  </w:r>
                </w:p>
              </w:tc>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相对厂址距离（m）</w:t>
                  </w:r>
                </w:p>
              </w:tc>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21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549" w:hRule="atLeast"/>
                <w:jc w:val="center"/>
              </w:trPr>
              <w:tc>
                <w:tcPr>
                  <w:tcW w:w="498" w:type="dxa"/>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地表水</w:t>
                  </w:r>
                </w:p>
              </w:tc>
              <w:tc>
                <w:tcPr>
                  <w:tcW w:w="14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芝溪河</w:t>
                  </w:r>
                  <w:r>
                    <w:rPr>
                      <w:color w:val="auto"/>
                      <w:sz w:val="21"/>
                      <w:szCs w:val="21"/>
                    </w:rPr>
                    <w:t>及其支</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流</w:t>
                  </w:r>
                </w:p>
              </w:tc>
              <w:tc>
                <w:tcPr>
                  <w:tcW w:w="14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w:t>
                  </w:r>
                </w:p>
              </w:tc>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val="en-US" w:eastAsia="zh-CN"/>
                    </w:rPr>
                    <w:t>灌溉</w:t>
                  </w:r>
                </w:p>
              </w:tc>
              <w:tc>
                <w:tcPr>
                  <w:tcW w:w="211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《地表水环境质量标准》（GB3838-2002）Ⅲ类</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jc w:val="center"/>
              </w:trPr>
              <w:tc>
                <w:tcPr>
                  <w:tcW w:w="498"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14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赤城湖水库</w:t>
                  </w:r>
                </w:p>
              </w:tc>
              <w:tc>
                <w:tcPr>
                  <w:tcW w:w="14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饮用、灌溉</w:t>
                  </w:r>
                </w:p>
              </w:tc>
              <w:tc>
                <w:tcPr>
                  <w:tcW w:w="21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jc w:val="center"/>
              </w:trPr>
              <w:tc>
                <w:tcPr>
                  <w:tcW w:w="498"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14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default" w:ascii="Times New Roman" w:hAnsi="Times New Roman" w:eastAsia="宋体" w:cs="Times New Roman"/>
                      <w:color w:val="auto"/>
                      <w:spacing w:val="-2"/>
                      <w:kern w:val="0"/>
                      <w:sz w:val="24"/>
                      <w:szCs w:val="24"/>
                      <w:lang w:val="en-US" w:eastAsia="zh-CN" w:bidi="ar"/>
                    </w:rPr>
                    <w:t>黑龙凼水库</w:t>
                  </w:r>
                </w:p>
              </w:tc>
              <w:tc>
                <w:tcPr>
                  <w:tcW w:w="14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饮用、灌溉</w:t>
                  </w:r>
                </w:p>
              </w:tc>
              <w:tc>
                <w:tcPr>
                  <w:tcW w:w="21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469" w:hRule="atLeast"/>
                <w:jc w:val="center"/>
              </w:trPr>
              <w:tc>
                <w:tcPr>
                  <w:tcW w:w="498"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14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涪江</w:t>
                  </w:r>
                </w:p>
              </w:tc>
              <w:tc>
                <w:tcPr>
                  <w:tcW w:w="14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灌溉</w:t>
                  </w:r>
                </w:p>
              </w:tc>
              <w:tc>
                <w:tcPr>
                  <w:tcW w:w="21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549" w:hRule="atLeast"/>
                <w:jc w:val="center"/>
              </w:trPr>
              <w:tc>
                <w:tcPr>
                  <w:tcW w:w="498" w:type="dxa"/>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生态环境</w:t>
                  </w:r>
                </w:p>
              </w:tc>
              <w:tc>
                <w:tcPr>
                  <w:tcW w:w="14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color w:val="auto"/>
                      <w:sz w:val="21"/>
                      <w:szCs w:val="21"/>
                    </w:rPr>
                    <w:t>现有</w:t>
                  </w:r>
                  <w:r>
                    <w:rPr>
                      <w:rFonts w:hint="eastAsia"/>
                      <w:color w:val="auto"/>
                      <w:sz w:val="21"/>
                      <w:szCs w:val="21"/>
                      <w:lang w:val="en-US" w:eastAsia="zh-CN"/>
                    </w:rPr>
                    <w:t>动物</w:t>
                  </w:r>
                </w:p>
              </w:tc>
              <w:tc>
                <w:tcPr>
                  <w:tcW w:w="408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动物</w:t>
                  </w:r>
                  <w:r>
                    <w:rPr>
                      <w:color w:val="auto"/>
                      <w:sz w:val="21"/>
                      <w:szCs w:val="21"/>
                    </w:rPr>
                    <w:t>聚集区进行避让，不随便捕捉、杀害</w:t>
                  </w:r>
                </w:p>
              </w:tc>
              <w:tc>
                <w:tcPr>
                  <w:tcW w:w="21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重点保护野生动物</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Ex>
              <w:trPr>
                <w:trHeight w:val="553" w:hRule="atLeast"/>
                <w:jc w:val="center"/>
              </w:trPr>
              <w:tc>
                <w:tcPr>
                  <w:tcW w:w="498"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14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土壤、植被</w:t>
                  </w:r>
                </w:p>
              </w:tc>
              <w:tc>
                <w:tcPr>
                  <w:tcW w:w="408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项目区及周边500m范围内土壤、植被等</w:t>
                  </w:r>
                </w:p>
              </w:tc>
              <w:tc>
                <w:tcPr>
                  <w:tcW w:w="21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生态系统服务功能不降低</w:t>
                  </w:r>
                </w:p>
              </w:tc>
            </w:tr>
          </w:tbl>
          <w:p>
            <w:pPr>
              <w:rPr>
                <w:rFonts w:ascii="宋体" w:hAnsi="宋体" w:eastAsia="宋体" w:cs="宋体"/>
                <w:color w:val="auto"/>
                <w:kern w:val="0"/>
                <w:szCs w:val="21"/>
              </w:rPr>
            </w:pPr>
            <w:r>
              <w:rPr>
                <w:rFonts w:hint="eastAsia" w:ascii="黑体" w:hAnsi="黑体" w:eastAsia="黑体" w:cs="黑体"/>
                <w:b w:val="0"/>
                <w:bCs w:val="0"/>
                <w:color w:val="auto"/>
                <w:lang w:val="en-US" w:eastAsia="zh-CN"/>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评价</w:t>
            </w:r>
          </w:p>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标准</w:t>
            </w:r>
          </w:p>
        </w:tc>
        <w:tc>
          <w:tcPr>
            <w:tcW w:w="838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地表水</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执行《地表水环境质量标准》（GB3838-2002）Ⅲ类水域标准。</w:t>
            </w:r>
          </w:p>
          <w:p>
            <w:pPr>
              <w:keepNext w:val="0"/>
              <w:keepLines w:val="0"/>
              <w:pageBreakBefore w:val="0"/>
              <w:widowControl/>
              <w:kinsoku/>
              <w:wordWrap/>
              <w:overflowPunct/>
              <w:topLinePunct w:val="0"/>
              <w:autoSpaceDE/>
              <w:autoSpaceDN/>
              <w:bidi w:val="0"/>
              <w:adjustRightInd w:val="0"/>
              <w:snapToGrid w:val="0"/>
              <w:spacing w:before="0" w:beforeLines="0"/>
              <w:jc w:val="right"/>
              <w:textAlignment w:val="auto"/>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表3-</w:t>
            </w:r>
            <w:r>
              <w:rPr>
                <w:rFonts w:hint="eastAsia" w:cs="Times New Roman"/>
                <w:b/>
                <w:bCs/>
                <w:snapToGrid w:val="0"/>
                <w:color w:val="auto"/>
                <w:sz w:val="21"/>
                <w:szCs w:val="21"/>
                <w:lang w:val="en-US" w:eastAsia="zh-CN" w:bidi="ar-SA"/>
              </w:rPr>
              <w:t>6</w:t>
            </w:r>
            <w:r>
              <w:rPr>
                <w:rFonts w:hint="eastAsia" w:ascii="Times New Roman" w:hAnsi="Times New Roman" w:eastAsia="宋体" w:cs="Times New Roman"/>
                <w:b/>
                <w:bCs/>
                <w:snapToGrid w:val="0"/>
                <w:color w:val="auto"/>
                <w:sz w:val="21"/>
                <w:szCs w:val="21"/>
                <w:lang w:val="en-US" w:eastAsia="zh-CN" w:bidi="ar-SA"/>
              </w:rPr>
              <w:t>　</w:t>
            </w:r>
            <w:r>
              <w:rPr>
                <w:rFonts w:hint="default" w:ascii="Times New Roman" w:hAnsi="Times New Roman" w:eastAsia="宋体" w:cs="Times New Roman"/>
                <w:b/>
                <w:bCs/>
                <w:snapToGrid w:val="0"/>
                <w:color w:val="auto"/>
                <w:sz w:val="21"/>
                <w:szCs w:val="21"/>
                <w:lang w:val="en-US" w:eastAsia="zh-CN" w:bidi="ar-SA"/>
              </w:rPr>
              <w:t>地表水环境质量标准</w:t>
            </w:r>
            <w:r>
              <w:rPr>
                <w:rFonts w:hint="eastAsia" w:ascii="Times New Roman" w:hAnsi="Times New Roman" w:eastAsia="宋体" w:cs="Times New Roman"/>
                <w:b/>
                <w:bCs/>
                <w:snapToGrid w:val="0"/>
                <w:color w:val="auto"/>
                <w:sz w:val="21"/>
                <w:szCs w:val="21"/>
                <w:lang w:val="en-US" w:eastAsia="zh-CN" w:bidi="ar-SA"/>
              </w:rPr>
              <w:t>限值　　　　</w:t>
            </w:r>
            <w:r>
              <w:rPr>
                <w:rFonts w:hint="default" w:ascii="Times New Roman" w:hAnsi="Times New Roman" w:eastAsia="宋体" w:cs="Times New Roman"/>
                <w:b/>
                <w:bCs/>
                <w:snapToGrid w:val="0"/>
                <w:color w:val="auto"/>
                <w:sz w:val="21"/>
                <w:szCs w:val="21"/>
                <w:lang w:val="en-US" w:eastAsia="zh-CN" w:bidi="ar-SA"/>
              </w:rPr>
              <w:t>单位：mg/L</w:t>
            </w:r>
          </w:p>
          <w:tbl>
            <w:tblPr>
              <w:tblStyle w:val="23"/>
              <w:tblW w:w="8157"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723"/>
              <w:gridCol w:w="657"/>
              <w:gridCol w:w="1161"/>
              <w:gridCol w:w="1061"/>
              <w:gridCol w:w="1180"/>
              <w:gridCol w:w="123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141"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项目</w:t>
                  </w:r>
                </w:p>
              </w:tc>
              <w:tc>
                <w:tcPr>
                  <w:tcW w:w="72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pH</w:t>
                  </w:r>
                </w:p>
              </w:tc>
              <w:tc>
                <w:tcPr>
                  <w:tcW w:w="657"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SS</w:t>
                  </w:r>
                </w:p>
              </w:tc>
              <w:tc>
                <w:tcPr>
                  <w:tcW w:w="1161"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COD</w:t>
                  </w:r>
                  <w:r>
                    <w:rPr>
                      <w:rFonts w:hint="default" w:ascii="Times New Roman" w:hAnsi="Times New Roman" w:cs="Times New Roman" w:eastAsiaTheme="minorEastAsia"/>
                      <w:b w:val="0"/>
                      <w:bCs w:val="0"/>
                      <w:color w:val="auto"/>
                      <w:sz w:val="21"/>
                      <w:szCs w:val="21"/>
                      <w:vertAlign w:val="subscript"/>
                      <w:lang w:val="en-US" w:eastAsia="zh-CN"/>
                    </w:rPr>
                    <w:t>Cr</w:t>
                  </w:r>
                </w:p>
              </w:tc>
              <w:tc>
                <w:tcPr>
                  <w:tcW w:w="1061"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BOD</w:t>
                  </w:r>
                  <w:r>
                    <w:rPr>
                      <w:rFonts w:hint="default" w:ascii="Times New Roman" w:hAnsi="Times New Roman" w:cs="Times New Roman" w:eastAsiaTheme="minorEastAsia"/>
                      <w:b w:val="0"/>
                      <w:bCs w:val="0"/>
                      <w:color w:val="auto"/>
                      <w:sz w:val="21"/>
                      <w:szCs w:val="21"/>
                      <w:vertAlign w:val="subscript"/>
                      <w:lang w:val="en-US" w:eastAsia="zh-CN"/>
                    </w:rPr>
                    <w:t>5</w:t>
                  </w:r>
                </w:p>
              </w:tc>
              <w:tc>
                <w:tcPr>
                  <w:tcW w:w="1180"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NH</w:t>
                  </w:r>
                  <w:r>
                    <w:rPr>
                      <w:rFonts w:hint="default" w:ascii="Times New Roman" w:hAnsi="Times New Roman" w:cs="Times New Roman" w:eastAsiaTheme="minorEastAsia"/>
                      <w:b w:val="0"/>
                      <w:bCs w:val="0"/>
                      <w:color w:val="auto"/>
                      <w:sz w:val="21"/>
                      <w:szCs w:val="21"/>
                      <w:vertAlign w:val="subscript"/>
                      <w:lang w:val="en-US" w:eastAsia="zh-CN"/>
                    </w:rPr>
                    <w:t>3</w:t>
                  </w:r>
                  <w:r>
                    <w:rPr>
                      <w:rFonts w:hint="default" w:ascii="Times New Roman" w:hAnsi="Times New Roman" w:cs="Times New Roman" w:eastAsiaTheme="minorEastAsia"/>
                      <w:b w:val="0"/>
                      <w:bCs w:val="0"/>
                      <w:color w:val="auto"/>
                      <w:sz w:val="21"/>
                      <w:szCs w:val="21"/>
                      <w:lang w:val="en-US" w:eastAsia="zh-CN"/>
                    </w:rPr>
                    <w:t>-N</w:t>
                  </w:r>
                </w:p>
              </w:tc>
              <w:tc>
                <w:tcPr>
                  <w:tcW w:w="1234"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石油类</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141"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Ⅲ类水域标准</w:t>
                  </w:r>
                </w:p>
              </w:tc>
              <w:tc>
                <w:tcPr>
                  <w:tcW w:w="72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6-9</w:t>
                  </w:r>
                </w:p>
              </w:tc>
              <w:tc>
                <w:tcPr>
                  <w:tcW w:w="657"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161"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≤20</w:t>
                  </w:r>
                </w:p>
              </w:tc>
              <w:tc>
                <w:tcPr>
                  <w:tcW w:w="1061"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≤4</w:t>
                  </w:r>
                </w:p>
              </w:tc>
              <w:tc>
                <w:tcPr>
                  <w:tcW w:w="1180"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≤1.0</w:t>
                  </w:r>
                </w:p>
              </w:tc>
              <w:tc>
                <w:tcPr>
                  <w:tcW w:w="1234"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环境空气</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执行《环境空气质量标准》（GB3095-2012）二级标准。</w:t>
            </w:r>
          </w:p>
          <w:p>
            <w:pPr>
              <w:keepNext w:val="0"/>
              <w:keepLines w:val="0"/>
              <w:pageBreakBefore w:val="0"/>
              <w:widowControl/>
              <w:kinsoku/>
              <w:wordWrap/>
              <w:overflowPunct/>
              <w:topLinePunct w:val="0"/>
              <w:autoSpaceDE/>
              <w:autoSpaceDN/>
              <w:bidi w:val="0"/>
              <w:adjustRightInd w:val="0"/>
              <w:snapToGrid w:val="0"/>
              <w:spacing w:before="0" w:beforeLines="0"/>
              <w:jc w:val="right"/>
              <w:textAlignment w:val="auto"/>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表3-</w:t>
            </w:r>
            <w:r>
              <w:rPr>
                <w:rFonts w:hint="eastAsia" w:ascii="Times New Roman" w:hAnsi="Times New Roman" w:eastAsia="宋体" w:cs="Times New Roman"/>
                <w:b/>
                <w:bCs/>
                <w:snapToGrid w:val="0"/>
                <w:color w:val="auto"/>
                <w:sz w:val="21"/>
                <w:szCs w:val="21"/>
                <w:lang w:val="en-US" w:eastAsia="zh-CN" w:bidi="ar-SA"/>
              </w:rPr>
              <w:t>7　</w:t>
            </w:r>
            <w:r>
              <w:rPr>
                <w:rFonts w:hint="default" w:ascii="Times New Roman" w:hAnsi="Times New Roman" w:eastAsia="宋体" w:cs="Times New Roman"/>
                <w:b/>
                <w:bCs/>
                <w:snapToGrid w:val="0"/>
                <w:color w:val="auto"/>
                <w:sz w:val="21"/>
                <w:szCs w:val="21"/>
                <w:lang w:val="en-US" w:eastAsia="zh-CN" w:bidi="ar-SA"/>
              </w:rPr>
              <w:t>大气环境质量标准限值</w:t>
            </w:r>
            <w:r>
              <w:rPr>
                <w:rFonts w:hint="eastAsia" w:ascii="Times New Roman" w:hAnsi="Times New Roman" w:eastAsia="宋体" w:cs="Times New Roman"/>
                <w:b/>
                <w:bCs/>
                <w:snapToGrid w:val="0"/>
                <w:color w:val="auto"/>
                <w:sz w:val="21"/>
                <w:szCs w:val="21"/>
                <w:lang w:val="en-US" w:eastAsia="zh-CN" w:bidi="ar-SA"/>
              </w:rPr>
              <w:t>　　　　</w:t>
            </w:r>
            <w:r>
              <w:rPr>
                <w:rFonts w:hint="default" w:ascii="Times New Roman" w:hAnsi="Times New Roman" w:eastAsia="宋体" w:cs="Times New Roman"/>
                <w:b/>
                <w:bCs/>
                <w:snapToGrid w:val="0"/>
                <w:color w:val="auto"/>
                <w:sz w:val="21"/>
                <w:szCs w:val="21"/>
                <w:lang w:val="en-US" w:eastAsia="zh-CN" w:bidi="ar-SA"/>
              </w:rPr>
              <w:t>单位：mg/m</w:t>
            </w:r>
            <w:r>
              <w:rPr>
                <w:rFonts w:hint="default" w:ascii="Times New Roman" w:hAnsi="Times New Roman" w:eastAsia="宋体" w:cs="Times New Roman"/>
                <w:b/>
                <w:bCs/>
                <w:snapToGrid w:val="0"/>
                <w:color w:val="auto"/>
                <w:sz w:val="21"/>
                <w:szCs w:val="21"/>
                <w:vertAlign w:val="superscript"/>
                <w:lang w:val="en-US" w:eastAsia="zh-CN" w:bidi="ar-SA"/>
              </w:rPr>
              <w:t>3</w:t>
            </w:r>
          </w:p>
          <w:tbl>
            <w:tblPr>
              <w:tblStyle w:val="22"/>
              <w:tblW w:w="8159"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924"/>
              <w:gridCol w:w="3173"/>
              <w:gridCol w:w="306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指标</w:t>
                  </w: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取值时间</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标准限值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SO</w:t>
                  </w:r>
                  <w:r>
                    <w:rPr>
                      <w:rFonts w:hint="default" w:ascii="Times New Roman" w:hAnsi="Times New Roman" w:cs="Times New Roman" w:eastAsiaTheme="minorEastAsia"/>
                      <w:b w:val="0"/>
                      <w:bCs w:val="0"/>
                      <w:color w:val="auto"/>
                      <w:sz w:val="21"/>
                      <w:szCs w:val="21"/>
                      <w:vertAlign w:val="subscript"/>
                    </w:rPr>
                    <w:t>2</w:t>
                  </w: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年均值</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24小时平均</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0.15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1小时平均</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0.50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NO</w:t>
                  </w:r>
                  <w:r>
                    <w:rPr>
                      <w:rFonts w:hint="default" w:ascii="Times New Roman" w:hAnsi="Times New Roman" w:cs="Times New Roman" w:eastAsiaTheme="minorEastAsia"/>
                      <w:b w:val="0"/>
                      <w:bCs w:val="0"/>
                      <w:color w:val="auto"/>
                      <w:sz w:val="21"/>
                      <w:szCs w:val="21"/>
                      <w:vertAlign w:val="subscript"/>
                    </w:rPr>
                    <w:t>2</w:t>
                  </w: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年均值</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24小时平均</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0.08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1小时平均</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0.20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PM</w:t>
                  </w:r>
                  <w:r>
                    <w:rPr>
                      <w:rFonts w:hint="default" w:ascii="Times New Roman" w:hAnsi="Times New Roman" w:cs="Times New Roman" w:eastAsiaTheme="minorEastAsia"/>
                      <w:b w:val="0"/>
                      <w:bCs w:val="0"/>
                      <w:color w:val="auto"/>
                      <w:sz w:val="21"/>
                      <w:szCs w:val="21"/>
                      <w:vertAlign w:val="subscript"/>
                      <w:lang w:val="en-US" w:eastAsia="zh-CN"/>
                    </w:rPr>
                    <w:t>2.5</w:t>
                  </w: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年均值</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0.0.35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24小时平均</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0.075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PM</w:t>
                  </w:r>
                  <w:r>
                    <w:rPr>
                      <w:rFonts w:hint="default" w:ascii="Times New Roman" w:hAnsi="Times New Roman" w:cs="Times New Roman" w:eastAsiaTheme="minorEastAsia"/>
                      <w:b w:val="0"/>
                      <w:bCs w:val="0"/>
                      <w:color w:val="auto"/>
                      <w:sz w:val="21"/>
                      <w:szCs w:val="21"/>
                      <w:vertAlign w:val="subscript"/>
                    </w:rPr>
                    <w:t>10</w:t>
                  </w: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年均值</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24小时平均</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0.15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CO</w:t>
                  </w: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24小时平均</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1小时平均</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O</w:t>
                  </w:r>
                  <w:r>
                    <w:rPr>
                      <w:rFonts w:hint="default" w:ascii="Times New Roman" w:hAnsi="Times New Roman" w:cs="Times New Roman" w:eastAsiaTheme="minorEastAsia"/>
                      <w:b w:val="0"/>
                      <w:bCs w:val="0"/>
                      <w:color w:val="auto"/>
                      <w:sz w:val="21"/>
                      <w:szCs w:val="21"/>
                      <w:vertAlign w:val="subscript"/>
                      <w:lang w:val="en-US" w:eastAsia="zh-CN"/>
                    </w:rPr>
                    <w:t>3</w:t>
                  </w: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eastAsia="zh-CN"/>
                    </w:rPr>
                    <w:t>日最大</w:t>
                  </w:r>
                  <w:r>
                    <w:rPr>
                      <w:rFonts w:hint="default" w:ascii="Times New Roman" w:hAnsi="Times New Roman" w:cs="Times New Roman" w:eastAsiaTheme="minorEastAsia"/>
                      <w:b w:val="0"/>
                      <w:bCs w:val="0"/>
                      <w:color w:val="auto"/>
                      <w:sz w:val="21"/>
                      <w:szCs w:val="21"/>
                      <w:lang w:val="en-US" w:eastAsia="zh-CN"/>
                    </w:rPr>
                    <w:t>8小时评价</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0.16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1小时平均</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924"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TSP</w:t>
                  </w:r>
                </w:p>
              </w:tc>
              <w:tc>
                <w:tcPr>
                  <w:tcW w:w="3173"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rPr>
                    <w:t>24小时平均</w:t>
                  </w:r>
                </w:p>
              </w:tc>
              <w:tc>
                <w:tcPr>
                  <w:tcW w:w="306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0.3</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环境</w:t>
            </w:r>
            <w:r>
              <w:rPr>
                <w:rFonts w:hint="default" w:cs="Times New Roman"/>
                <w:b w:val="0"/>
                <w:bCs w:val="0"/>
                <w:color w:val="auto"/>
                <w:sz w:val="24"/>
                <w:szCs w:val="24"/>
                <w:highlight w:val="none"/>
                <w:lang w:val="en-US" w:eastAsia="zh-CN"/>
              </w:rPr>
              <w:t>噪声</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执行《声环境质量标准》（GB3096-2008）2类。</w:t>
            </w:r>
          </w:p>
          <w:p>
            <w:pPr>
              <w:keepNext w:val="0"/>
              <w:keepLines w:val="0"/>
              <w:pageBreakBefore w:val="0"/>
              <w:widowControl/>
              <w:kinsoku/>
              <w:wordWrap/>
              <w:overflowPunct/>
              <w:topLinePunct w:val="0"/>
              <w:autoSpaceDE/>
              <w:autoSpaceDN/>
              <w:bidi w:val="0"/>
              <w:adjustRightInd w:val="0"/>
              <w:snapToGrid w:val="0"/>
              <w:spacing w:before="0" w:beforeLines="0"/>
              <w:jc w:val="right"/>
              <w:textAlignment w:val="auto"/>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表3-</w:t>
            </w:r>
            <w:r>
              <w:rPr>
                <w:rFonts w:hint="eastAsia" w:ascii="Times New Roman" w:hAnsi="Times New Roman" w:eastAsia="宋体" w:cs="Times New Roman"/>
                <w:b/>
                <w:bCs/>
                <w:snapToGrid w:val="0"/>
                <w:color w:val="auto"/>
                <w:sz w:val="21"/>
                <w:szCs w:val="21"/>
                <w:lang w:val="en-US" w:eastAsia="zh-CN" w:bidi="ar-SA"/>
              </w:rPr>
              <w:t>8　</w:t>
            </w:r>
            <w:r>
              <w:rPr>
                <w:rFonts w:hint="default" w:ascii="Times New Roman" w:hAnsi="Times New Roman" w:eastAsia="宋体" w:cs="Times New Roman"/>
                <w:b/>
                <w:bCs/>
                <w:snapToGrid w:val="0"/>
                <w:color w:val="auto"/>
                <w:sz w:val="21"/>
                <w:szCs w:val="21"/>
                <w:lang w:val="en-US" w:eastAsia="zh-CN" w:bidi="ar-SA"/>
              </w:rPr>
              <w:t>声环境质量标准限值</w:t>
            </w:r>
            <w:r>
              <w:rPr>
                <w:rFonts w:hint="eastAsia" w:ascii="Times New Roman" w:hAnsi="Times New Roman" w:eastAsia="宋体" w:cs="Times New Roman"/>
                <w:b/>
                <w:bCs/>
                <w:snapToGrid w:val="0"/>
                <w:color w:val="auto"/>
                <w:sz w:val="21"/>
                <w:szCs w:val="21"/>
                <w:lang w:val="en-US" w:eastAsia="zh-CN" w:bidi="ar-SA"/>
              </w:rPr>
              <w:t>　</w:t>
            </w:r>
            <w:r>
              <w:rPr>
                <w:rFonts w:hint="eastAsia" w:cs="Times New Roman"/>
                <w:b/>
                <w:bCs/>
                <w:snapToGrid w:val="0"/>
                <w:color w:val="auto"/>
                <w:sz w:val="21"/>
                <w:szCs w:val="21"/>
                <w:lang w:val="en-US" w:eastAsia="zh-CN" w:bidi="ar-SA"/>
              </w:rPr>
              <w:t xml:space="preserve">    </w:t>
            </w:r>
            <w:r>
              <w:rPr>
                <w:rFonts w:hint="eastAsia" w:ascii="Times New Roman" w:hAnsi="Times New Roman" w:eastAsia="宋体" w:cs="Times New Roman"/>
                <w:b/>
                <w:bCs/>
                <w:snapToGrid w:val="0"/>
                <w:color w:val="auto"/>
                <w:sz w:val="21"/>
                <w:szCs w:val="21"/>
                <w:lang w:val="en-US" w:eastAsia="zh-CN" w:bidi="ar-SA"/>
              </w:rPr>
              <w:t>　　</w:t>
            </w:r>
            <w:r>
              <w:rPr>
                <w:rFonts w:hint="default" w:ascii="Times New Roman" w:hAnsi="Times New Roman" w:eastAsia="宋体" w:cs="Times New Roman"/>
                <w:b/>
                <w:bCs/>
                <w:snapToGrid w:val="0"/>
                <w:color w:val="auto"/>
                <w:sz w:val="21"/>
                <w:szCs w:val="21"/>
                <w:lang w:val="en-US" w:eastAsia="zh-CN" w:bidi="ar-SA"/>
              </w:rPr>
              <w:t>单位：dB（A）</w:t>
            </w:r>
          </w:p>
          <w:tbl>
            <w:tblPr>
              <w:tblStyle w:val="23"/>
              <w:tblW w:w="8161"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720"/>
              <w:gridCol w:w="2720"/>
              <w:gridCol w:w="272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720"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类别</w:t>
                  </w:r>
                </w:p>
              </w:tc>
              <w:tc>
                <w:tcPr>
                  <w:tcW w:w="2720"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昼间</w:t>
                  </w:r>
                </w:p>
              </w:tc>
              <w:tc>
                <w:tcPr>
                  <w:tcW w:w="2721"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夜间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720"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2类</w:t>
                  </w:r>
                </w:p>
              </w:tc>
              <w:tc>
                <w:tcPr>
                  <w:tcW w:w="2720"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60</w:t>
                  </w:r>
                </w:p>
              </w:tc>
              <w:tc>
                <w:tcPr>
                  <w:tcW w:w="2721"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50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废水：本项目施工人员生活污水经化粪池处理后用作农肥，不外排。</w:t>
            </w:r>
            <w:r>
              <w:rPr>
                <w:rFonts w:hint="eastAsia"/>
                <w:b w:val="0"/>
                <w:bCs w:val="0"/>
                <w:color w:val="auto"/>
                <w:sz w:val="24"/>
                <w:szCs w:val="24"/>
                <w:highlight w:val="none"/>
                <w:lang w:eastAsia="zh-CN"/>
              </w:rPr>
              <w:t>营运期</w:t>
            </w:r>
            <w:r>
              <w:rPr>
                <w:rFonts w:hint="default" w:ascii="Times New Roman" w:hAnsi="Times New Roman" w:cs="Times New Roman"/>
                <w:b w:val="0"/>
                <w:bCs w:val="0"/>
                <w:color w:val="auto"/>
                <w:sz w:val="24"/>
                <w:szCs w:val="24"/>
                <w:highlight w:val="none"/>
              </w:rPr>
              <w:t>生活污水</w:t>
            </w:r>
            <w:r>
              <w:rPr>
                <w:rFonts w:hint="eastAsia" w:ascii="Times New Roman" w:hAnsi="Times New Roman" w:cs="Times New Roman"/>
                <w:b w:val="0"/>
                <w:bCs w:val="0"/>
                <w:color w:val="auto"/>
                <w:sz w:val="24"/>
                <w:szCs w:val="24"/>
                <w:highlight w:val="none"/>
                <w:lang w:eastAsia="zh-CN"/>
              </w:rPr>
              <w:t>经隔油池、</w:t>
            </w:r>
            <w:r>
              <w:rPr>
                <w:rFonts w:hint="default" w:ascii="Times New Roman" w:hAnsi="Times New Roman" w:cs="Times New Roman"/>
                <w:b w:val="0"/>
                <w:bCs w:val="0"/>
                <w:color w:val="auto"/>
                <w:sz w:val="24"/>
                <w:szCs w:val="24"/>
                <w:highlight w:val="none"/>
              </w:rPr>
              <w:t>化粪池处理后用作周围农田及林地施用不外排</w:t>
            </w:r>
            <w:r>
              <w:rPr>
                <w:rFonts w:hint="default" w:ascii="Times New Roman" w:hAnsi="Times New Roman" w:cs="Times New Roman"/>
                <w:b w:val="0"/>
                <w:bCs w:val="0"/>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zh-TW" w:eastAsia="zh-CN" w:bidi="ar-SA"/>
              </w:rPr>
            </w:pPr>
            <w:r>
              <w:rPr>
                <w:rFonts w:hint="eastAsia"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废气：</w:t>
            </w:r>
            <w:r>
              <w:rPr>
                <w:rFonts w:hint="default" w:ascii="Times New Roman" w:hAnsi="Times New Roman" w:eastAsia="宋体" w:cs="Times New Roman"/>
                <w:b w:val="0"/>
                <w:bCs w:val="0"/>
                <w:color w:val="auto"/>
                <w:kern w:val="0"/>
                <w:sz w:val="24"/>
                <w:szCs w:val="24"/>
                <w:highlight w:val="none"/>
                <w:lang w:val="zh-TW" w:eastAsia="zh-CN" w:bidi="ar-SA"/>
              </w:rPr>
              <w:t>大气污染物排放执行《大气污染物综合排放标准》（GB16297-1996）中的二级标准。</w:t>
            </w:r>
          </w:p>
          <w:p>
            <w:pPr>
              <w:keepNext w:val="0"/>
              <w:keepLines w:val="0"/>
              <w:pageBreakBefore w:val="0"/>
              <w:widowControl/>
              <w:kinsoku/>
              <w:wordWrap/>
              <w:overflowPunct/>
              <w:topLinePunct w:val="0"/>
              <w:autoSpaceDE/>
              <w:autoSpaceDN/>
              <w:bidi w:val="0"/>
              <w:adjustRightInd w:val="0"/>
              <w:snapToGrid w:val="0"/>
              <w:spacing w:before="0" w:beforeLines="0"/>
              <w:jc w:val="center"/>
              <w:textAlignment w:val="auto"/>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表3-</w:t>
            </w:r>
            <w:r>
              <w:rPr>
                <w:rFonts w:hint="eastAsia" w:cs="Times New Roman"/>
                <w:b/>
                <w:bCs/>
                <w:snapToGrid w:val="0"/>
                <w:color w:val="auto"/>
                <w:sz w:val="21"/>
                <w:szCs w:val="21"/>
                <w:lang w:val="en-US" w:eastAsia="zh-CN" w:bidi="ar-SA"/>
              </w:rPr>
              <w:t>9</w:t>
            </w:r>
            <w:r>
              <w:rPr>
                <w:rFonts w:hint="eastAsia" w:ascii="Times New Roman" w:hAnsi="Times New Roman" w:eastAsia="宋体" w:cs="Times New Roman"/>
                <w:b/>
                <w:bCs/>
                <w:snapToGrid w:val="0"/>
                <w:color w:val="auto"/>
                <w:sz w:val="21"/>
                <w:szCs w:val="21"/>
                <w:lang w:val="en-US" w:eastAsia="zh-CN" w:bidi="ar-SA"/>
              </w:rPr>
              <w:t>　</w:t>
            </w:r>
            <w:r>
              <w:rPr>
                <w:rFonts w:hint="default" w:ascii="Times New Roman" w:hAnsi="Times New Roman" w:eastAsia="宋体" w:cs="Times New Roman"/>
                <w:b/>
                <w:bCs/>
                <w:snapToGrid w:val="0"/>
                <w:color w:val="auto"/>
                <w:sz w:val="21"/>
                <w:szCs w:val="21"/>
                <w:lang w:val="en-US" w:eastAsia="zh-CN" w:bidi="ar-SA"/>
              </w:rPr>
              <w:t>大气污染物综合排放标准</w:t>
            </w:r>
          </w:p>
          <w:tbl>
            <w:tblPr>
              <w:tblStyle w:val="22"/>
              <w:tblW w:w="8159"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709"/>
              <w:gridCol w:w="2708"/>
              <w:gridCol w:w="274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709"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污染物</w:t>
                  </w:r>
                </w:p>
              </w:tc>
              <w:tc>
                <w:tcPr>
                  <w:tcW w:w="5450" w:type="dxa"/>
                  <w:gridSpan w:val="2"/>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无组织排放监控浓度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709"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p>
              </w:tc>
              <w:tc>
                <w:tcPr>
                  <w:tcW w:w="2708"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监控单</w:t>
                  </w:r>
                </w:p>
              </w:tc>
              <w:tc>
                <w:tcPr>
                  <w:tcW w:w="274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浓度（mg/m</w:t>
                  </w:r>
                  <w:r>
                    <w:rPr>
                      <w:rFonts w:hint="default" w:ascii="Times New Roman" w:hAnsi="Times New Roman" w:cs="Times New Roman" w:eastAsiaTheme="minorEastAsia"/>
                      <w:b w:val="0"/>
                      <w:bCs w:val="0"/>
                      <w:color w:val="auto"/>
                      <w:sz w:val="21"/>
                      <w:szCs w:val="21"/>
                      <w:vertAlign w:val="superscript"/>
                    </w:rPr>
                    <w:t>3</w:t>
                  </w:r>
                  <w:r>
                    <w:rPr>
                      <w:rFonts w:hint="default" w:ascii="Times New Roman" w:hAnsi="Times New Roman" w:cs="Times New Roman" w:eastAsiaTheme="minorEastAsia"/>
                      <w:b w:val="0"/>
                      <w:bCs w:val="0"/>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709"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颗粒物</w:t>
                  </w:r>
                </w:p>
              </w:tc>
              <w:tc>
                <w:tcPr>
                  <w:tcW w:w="2708"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周界外浓度最高点</w:t>
                  </w:r>
                </w:p>
              </w:tc>
              <w:tc>
                <w:tcPr>
                  <w:tcW w:w="2742"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zh-TW" w:eastAsia="zh-CN" w:bidi="ar-SA"/>
              </w:rPr>
            </w:pPr>
            <w:r>
              <w:rPr>
                <w:rFonts w:hint="eastAsia" w:cs="Times New Roman"/>
                <w:b w:val="0"/>
                <w:bCs w:val="0"/>
                <w:color w:val="auto"/>
                <w:sz w:val="24"/>
                <w:szCs w:val="24"/>
                <w:highlight w:val="none"/>
                <w:lang w:val="en-US" w:eastAsia="zh-CN"/>
              </w:rPr>
              <w:t>6、</w:t>
            </w:r>
            <w:r>
              <w:rPr>
                <w:rFonts w:hint="default" w:ascii="Times New Roman" w:hAnsi="Times New Roman" w:cs="Times New Roman"/>
                <w:b w:val="0"/>
                <w:bCs w:val="0"/>
                <w:color w:val="auto"/>
                <w:sz w:val="24"/>
                <w:szCs w:val="24"/>
                <w:highlight w:val="none"/>
                <w:lang w:val="en-US" w:eastAsia="zh-CN"/>
              </w:rPr>
              <w:t>噪声：</w:t>
            </w:r>
            <w:r>
              <w:rPr>
                <w:rFonts w:hint="default" w:cs="Times New Roman"/>
                <w:b w:val="0"/>
                <w:bCs w:val="0"/>
                <w:color w:val="auto"/>
                <w:sz w:val="24"/>
                <w:szCs w:val="24"/>
                <w:highlight w:val="none"/>
                <w:lang w:val="zh-TW" w:eastAsia="zh-CN"/>
              </w:rPr>
              <w:t>项目</w:t>
            </w:r>
            <w:r>
              <w:rPr>
                <w:rFonts w:hint="default" w:ascii="Times New Roman" w:hAnsi="Times New Roman" w:eastAsia="宋体" w:cs="Times New Roman"/>
                <w:b w:val="0"/>
                <w:bCs w:val="0"/>
                <w:color w:val="auto"/>
                <w:kern w:val="0"/>
                <w:sz w:val="24"/>
                <w:szCs w:val="24"/>
                <w:highlight w:val="none"/>
                <w:lang w:val="zh-TW" w:eastAsia="zh-CN" w:bidi="ar-SA"/>
              </w:rPr>
              <w:t>营运期厂界噪声排放执行《工业企业厂界噪声排放标准》（GB12348-2008）中的2类标准。</w:t>
            </w:r>
          </w:p>
          <w:p>
            <w:pPr>
              <w:keepNext w:val="0"/>
              <w:keepLines w:val="0"/>
              <w:pageBreakBefore w:val="0"/>
              <w:widowControl/>
              <w:kinsoku/>
              <w:wordWrap/>
              <w:overflowPunct/>
              <w:topLinePunct w:val="0"/>
              <w:autoSpaceDE/>
              <w:autoSpaceDN/>
              <w:bidi w:val="0"/>
              <w:adjustRightInd w:val="0"/>
              <w:snapToGrid w:val="0"/>
              <w:spacing w:before="0" w:beforeLines="0"/>
              <w:jc w:val="right"/>
              <w:textAlignment w:val="auto"/>
              <w:rPr>
                <w:rFonts w:hint="default" w:ascii="Times New Roman" w:hAnsi="Times New Roman" w:eastAsia="宋体" w:cs="Times New Roman"/>
                <w:b/>
                <w:bCs/>
                <w:snapToGrid w:val="0"/>
                <w:color w:val="auto"/>
                <w:sz w:val="21"/>
                <w:szCs w:val="21"/>
                <w:lang w:val="en-US" w:eastAsia="zh-CN" w:bidi="ar-SA"/>
              </w:rPr>
            </w:pPr>
            <w:r>
              <w:rPr>
                <w:rFonts w:hint="default" w:ascii="Times New Roman" w:hAnsi="Times New Roman" w:eastAsia="宋体" w:cs="Times New Roman"/>
                <w:b/>
                <w:bCs/>
                <w:snapToGrid w:val="0"/>
                <w:color w:val="auto"/>
                <w:sz w:val="21"/>
                <w:szCs w:val="21"/>
                <w:lang w:val="en-US" w:eastAsia="zh-CN" w:bidi="ar-SA"/>
              </w:rPr>
              <w:t>表3-</w:t>
            </w:r>
            <w:r>
              <w:rPr>
                <w:rFonts w:hint="eastAsia" w:cs="Times New Roman"/>
                <w:b/>
                <w:bCs/>
                <w:snapToGrid w:val="0"/>
                <w:color w:val="auto"/>
                <w:sz w:val="21"/>
                <w:szCs w:val="21"/>
                <w:lang w:val="en-US" w:eastAsia="zh-CN" w:bidi="ar-SA"/>
              </w:rPr>
              <w:t>10</w:t>
            </w:r>
            <w:r>
              <w:rPr>
                <w:rFonts w:hint="eastAsia" w:ascii="Times New Roman" w:hAnsi="Times New Roman" w:eastAsia="宋体" w:cs="Times New Roman"/>
                <w:b/>
                <w:bCs/>
                <w:snapToGrid w:val="0"/>
                <w:color w:val="auto"/>
                <w:sz w:val="21"/>
                <w:szCs w:val="21"/>
                <w:lang w:val="en-US" w:eastAsia="zh-CN" w:bidi="ar-SA"/>
              </w:rPr>
              <w:t>　</w:t>
            </w:r>
            <w:r>
              <w:rPr>
                <w:rFonts w:hint="default" w:ascii="Times New Roman" w:hAnsi="Times New Roman" w:eastAsia="宋体" w:cs="Times New Roman"/>
                <w:b/>
                <w:bCs/>
                <w:snapToGrid w:val="0"/>
                <w:color w:val="auto"/>
                <w:sz w:val="21"/>
                <w:szCs w:val="21"/>
                <w:lang w:val="en-US" w:eastAsia="zh-CN" w:bidi="ar-SA"/>
              </w:rPr>
              <w:t>工业厂界环境噪声排放标准</w:t>
            </w:r>
            <w:r>
              <w:rPr>
                <w:rFonts w:hint="eastAsia" w:cs="Times New Roman"/>
                <w:b/>
                <w:bCs/>
                <w:snapToGrid w:val="0"/>
                <w:color w:val="auto"/>
                <w:sz w:val="21"/>
                <w:szCs w:val="21"/>
                <w:lang w:val="en-US" w:eastAsia="zh-CN" w:bidi="ar-SA"/>
              </w:rPr>
              <w:t xml:space="preserve">  </w:t>
            </w:r>
            <w:r>
              <w:rPr>
                <w:rFonts w:hint="eastAsia" w:ascii="Times New Roman" w:hAnsi="Times New Roman" w:eastAsia="宋体" w:cs="Times New Roman"/>
                <w:b/>
                <w:bCs/>
                <w:snapToGrid w:val="0"/>
                <w:color w:val="auto"/>
                <w:sz w:val="21"/>
                <w:szCs w:val="21"/>
                <w:lang w:val="en-US" w:eastAsia="zh-CN" w:bidi="ar-SA"/>
              </w:rPr>
              <w:t>　　</w:t>
            </w:r>
            <w:r>
              <w:rPr>
                <w:rFonts w:hint="default" w:ascii="Times New Roman" w:hAnsi="Times New Roman" w:eastAsia="宋体" w:cs="Times New Roman"/>
                <w:b/>
                <w:bCs/>
                <w:snapToGrid w:val="0"/>
                <w:color w:val="auto"/>
                <w:sz w:val="21"/>
                <w:szCs w:val="21"/>
                <w:lang w:val="en-US" w:eastAsia="zh-CN" w:bidi="ar-SA"/>
              </w:rPr>
              <w:t>单位：dB（A）</w:t>
            </w:r>
          </w:p>
          <w:tbl>
            <w:tblPr>
              <w:tblStyle w:val="22"/>
              <w:tblW w:w="8161"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720"/>
              <w:gridCol w:w="2720"/>
              <w:gridCol w:w="272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720"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类别</w:t>
                  </w:r>
                </w:p>
              </w:tc>
              <w:tc>
                <w:tcPr>
                  <w:tcW w:w="2720"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昼间</w:t>
                  </w:r>
                </w:p>
              </w:tc>
              <w:tc>
                <w:tcPr>
                  <w:tcW w:w="2721"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夜间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720"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2类</w:t>
                  </w:r>
                </w:p>
              </w:tc>
              <w:tc>
                <w:tcPr>
                  <w:tcW w:w="2720"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60</w:t>
                  </w:r>
                </w:p>
              </w:tc>
              <w:tc>
                <w:tcPr>
                  <w:tcW w:w="2721" w:type="dxa"/>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50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kern w:val="0"/>
                <w:szCs w:val="21"/>
              </w:rPr>
            </w:pPr>
            <w:r>
              <w:rPr>
                <w:rFonts w:hint="default" w:ascii="Times New Roman" w:hAnsi="Times New Roman" w:eastAsia="宋体" w:cs="Times New Roman"/>
                <w:b w:val="0"/>
                <w:bCs w:val="0"/>
                <w:color w:val="auto"/>
                <w:kern w:val="0"/>
                <w:sz w:val="24"/>
                <w:szCs w:val="24"/>
                <w:highlight w:val="none"/>
                <w:lang w:val="en-US" w:eastAsia="zh-CN" w:bidi="ar-SA"/>
              </w:rPr>
              <w:t>7、固废：</w:t>
            </w:r>
            <w:r>
              <w:rPr>
                <w:rFonts w:hint="eastAsia" w:ascii="Times New Roman" w:hAnsi="Times New Roman" w:eastAsia="宋体" w:cs="Times New Roman"/>
                <w:b w:val="0"/>
                <w:bCs w:val="0"/>
                <w:color w:val="auto"/>
                <w:kern w:val="0"/>
                <w:sz w:val="24"/>
                <w:szCs w:val="24"/>
                <w:highlight w:val="none"/>
                <w:lang w:val="en-US" w:eastAsia="zh-CN" w:bidi="ar-SA"/>
              </w:rPr>
              <w:t>营运期</w:t>
            </w:r>
            <w:r>
              <w:rPr>
                <w:rFonts w:hint="default" w:ascii="Times New Roman" w:hAnsi="Times New Roman" w:eastAsia="宋体" w:cs="Times New Roman"/>
                <w:b w:val="0"/>
                <w:bCs w:val="0"/>
                <w:color w:val="auto"/>
                <w:kern w:val="0"/>
                <w:sz w:val="24"/>
                <w:szCs w:val="24"/>
                <w:highlight w:val="none"/>
                <w:lang w:val="zh-TW" w:eastAsia="zh-CN" w:bidi="ar-SA"/>
              </w:rPr>
              <w:t>产生的一般固废遵守《中华人民共和国固体废物污染环境防治法》（2020年修订版），并执行《一般工业固体废物贮存和填埋污染控制标准》（GB18599-2020）相关要求。</w:t>
            </w:r>
            <w:r>
              <w:rPr>
                <w:rFonts w:hint="default" w:ascii="Times New Roman" w:hAnsi="Times New Roman" w:eastAsia="宋体" w:cs="Times New Roman"/>
                <w:b w:val="0"/>
                <w:bCs w:val="0"/>
                <w:color w:val="auto"/>
                <w:kern w:val="0"/>
                <w:sz w:val="24"/>
                <w:szCs w:val="24"/>
                <w:highlight w:val="none"/>
                <w:lang w:val="en-US" w:eastAsia="zh-CN" w:bidi="ar-SA"/>
              </w:rPr>
              <w:t>危险废物执行</w:t>
            </w:r>
            <w:bookmarkStart w:id="9" w:name="dttl"/>
            <w:r>
              <w:rPr>
                <w:rFonts w:hint="eastAsia" w:ascii="Times New Roman" w:hAnsi="Times New Roman" w:eastAsia="宋体" w:cs="Times New Roman"/>
                <w:b w:val="0"/>
                <w:bCs w:val="0"/>
                <w:color w:val="auto"/>
                <w:kern w:val="0"/>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zh-TW" w:eastAsia="zh-CN" w:bidi="ar-SA"/>
              </w:rPr>
              <w:t>危险废物贮存污染控制标准</w:t>
            </w:r>
            <w:r>
              <w:rPr>
                <w:rFonts w:hint="eastAsia" w:ascii="Times New Roman" w:hAnsi="Times New Roman" w:eastAsia="宋体" w:cs="Times New Roman"/>
                <w:b w:val="0"/>
                <w:bCs w:val="0"/>
                <w:color w:val="auto"/>
                <w:kern w:val="0"/>
                <w:sz w:val="24"/>
                <w:szCs w:val="24"/>
                <w:highlight w:val="none"/>
                <w:lang w:val="en-US" w:eastAsia="zh-CN" w:bidi="ar-SA"/>
              </w:rPr>
              <w:t>》</w:t>
            </w:r>
            <w:bookmarkEnd w:id="9"/>
            <w:r>
              <w:rPr>
                <w:rFonts w:hint="eastAsia" w:cs="Times New Roman"/>
                <w:b w:val="0"/>
                <w:bCs w:val="0"/>
                <w:color w:val="auto"/>
                <w:kern w:val="0"/>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zh-TW" w:eastAsia="zh-CN" w:bidi="ar-SA"/>
              </w:rPr>
              <w:t>GB18597-2023</w:t>
            </w:r>
            <w:r>
              <w:rPr>
                <w:rFonts w:hint="eastAsia" w:cs="Times New Roman"/>
                <w:b w:val="0"/>
                <w:bCs w:val="0"/>
                <w:color w:val="auto"/>
                <w:kern w:val="0"/>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zh-TW" w:eastAsia="zh-CN" w:bidi="ar-SA"/>
              </w:rPr>
              <w:t>相关要求</w:t>
            </w:r>
            <w:r>
              <w:rPr>
                <w:rFonts w:hint="eastAsia" w:ascii="Times New Roman" w:hAnsi="Times New Roman" w:eastAsia="宋体" w:cs="Times New Roman"/>
                <w:b w:val="0"/>
                <w:bCs w:val="0"/>
                <w:color w:val="auto"/>
                <w:kern w:val="0"/>
                <w:sz w:val="24"/>
                <w:szCs w:val="24"/>
                <w:highlight w:val="none"/>
                <w:lang w:val="en-US" w:eastAsia="zh-CN" w:bidi="ar-SA"/>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其他</w:t>
            </w:r>
          </w:p>
        </w:tc>
        <w:tc>
          <w:tcPr>
            <w:tcW w:w="838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default"/>
                <w:color w:val="auto"/>
                <w:lang w:val="en-US" w:eastAsia="zh-CN"/>
              </w:rPr>
              <w:t>结合本项目污染源及污染物排放特征，项目废气不涉及大气总量控制指标；本项目营运期无废水产生及排放。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default"/>
                <w:color w:val="auto"/>
                <w:lang w:val="en-US" w:eastAsia="zh-CN"/>
              </w:rPr>
              <w:t>因此，本项目不需设置总量控制指标。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p>
        </w:tc>
      </w:tr>
    </w:tbl>
    <w:p>
      <w:pPr>
        <w:pStyle w:val="4"/>
        <w:rPr>
          <w:color w:val="auto"/>
        </w:rPr>
        <w:sectPr>
          <w:pgSz w:w="11906" w:h="16838"/>
          <w:pgMar w:top="1440" w:right="1474" w:bottom="1440" w:left="147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4"/>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color w:val="auto"/>
          <w:lang w:val="en-US" w:eastAsia="zh-CN"/>
        </w:rPr>
      </w:pPr>
      <w:bookmarkStart w:id="10" w:name="_Toc28886"/>
      <w:r>
        <w:rPr>
          <w:rFonts w:hint="eastAsia" w:ascii="Times New Roman" w:hAnsi="Times New Roman" w:cs="Times New Roman"/>
          <w:color w:val="auto"/>
          <w:lang w:val="en-US" w:eastAsia="zh-CN"/>
        </w:rPr>
        <w:t>四、生态环境影响分析</w:t>
      </w:r>
      <w:bookmarkEnd w:id="10"/>
    </w:p>
    <w:tbl>
      <w:tblPr>
        <w:tblStyle w:val="22"/>
        <w:tblW w:w="876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0"/>
        <w:gridCol w:w="82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7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Cs w:val="21"/>
              </w:rPr>
            </w:pPr>
            <w:bookmarkStart w:id="11" w:name="_Hlk49796138"/>
            <w:r>
              <w:rPr>
                <w:rFonts w:hint="default" w:ascii="Times New Roman" w:hAnsi="Times New Roman" w:eastAsia="宋体" w:cs="Times New Roman"/>
                <w:color w:val="auto"/>
                <w:kern w:val="0"/>
                <w:szCs w:val="21"/>
              </w:rPr>
              <w:t>施工期生态环境影响分析</w:t>
            </w:r>
            <w:bookmarkEnd w:id="11"/>
          </w:p>
        </w:tc>
        <w:tc>
          <w:tcPr>
            <w:tcW w:w="8294"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1、施工期环境影响识别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i w:val="0"/>
                <w:iCs w:val="0"/>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根据项目的特点，本</w:t>
            </w:r>
            <w:r>
              <w:rPr>
                <w:rFonts w:hint="eastAsia" w:ascii="Times New Roman" w:hAnsi="Times New Roman" w:cs="Times New Roman"/>
                <w:color w:val="auto"/>
                <w:sz w:val="24"/>
                <w:szCs w:val="24"/>
                <w:lang w:val="en-US" w:eastAsia="zh-CN"/>
              </w:rPr>
              <w:t>项目建设内容包含国家储备林、林下产业及基础设施建设</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kern w:val="0"/>
                <w:sz w:val="24"/>
                <w:szCs w:val="24"/>
                <w:highlight w:val="none"/>
                <w:lang w:val="en-US" w:eastAsia="zh-CN" w:bidi="ar-SA"/>
              </w:rPr>
              <w:t>施工期主要为</w:t>
            </w:r>
            <w:r>
              <w:rPr>
                <w:rFonts w:hint="eastAsia" w:cs="Times New Roman"/>
                <w:b w:val="0"/>
                <w:bCs w:val="0"/>
                <w:color w:val="auto"/>
                <w:kern w:val="0"/>
                <w:sz w:val="24"/>
                <w:szCs w:val="24"/>
                <w:highlight w:val="none"/>
                <w:lang w:val="en-US" w:eastAsia="zh-CN" w:bidi="ar-SA"/>
              </w:rPr>
              <w:t>基础</w:t>
            </w:r>
            <w:r>
              <w:rPr>
                <w:rFonts w:hint="default" w:ascii="Times New Roman" w:hAnsi="Times New Roman" w:eastAsia="宋体" w:cs="Times New Roman"/>
                <w:b w:val="0"/>
                <w:bCs w:val="0"/>
                <w:color w:val="auto"/>
                <w:kern w:val="0"/>
                <w:sz w:val="24"/>
                <w:szCs w:val="24"/>
                <w:highlight w:val="none"/>
                <w:lang w:val="en-US" w:eastAsia="zh-CN" w:bidi="ar-SA"/>
              </w:rPr>
              <w:t>设施建设、挖穴平整、种植等。施工期工艺流程及产排污环节详见下图</w:t>
            </w:r>
            <w:r>
              <w:rPr>
                <w:rFonts w:hint="default" w:ascii="Times New Roman" w:hAnsi="Times New Roman" w:cs="Times New Roman"/>
                <w:b w:val="0"/>
                <w:bCs w:val="0"/>
                <w:color w:val="auto"/>
                <w:kern w:val="0"/>
                <w:sz w:val="24"/>
                <w:szCs w:val="24"/>
                <w:highlight w:val="none"/>
                <w:lang w:val="en-US" w:eastAsia="zh-CN" w:bidi="ar-SA"/>
              </w:rPr>
              <w:t>4-</w:t>
            </w:r>
            <w:r>
              <w:rPr>
                <w:rFonts w:hint="default" w:ascii="Times New Roman" w:hAnsi="Times New Roman" w:eastAsia="宋体" w:cs="Times New Roman"/>
                <w:b w:val="0"/>
                <w:bCs w:val="0"/>
                <w:color w:val="auto"/>
                <w:kern w:val="0"/>
                <w:sz w:val="24"/>
                <w:szCs w:val="24"/>
                <w:highlight w:val="none"/>
                <w:lang w:val="en-US" w:eastAsia="zh-CN" w:bidi="ar-SA"/>
              </w:rPr>
              <w:t>1</w:t>
            </w:r>
            <w:r>
              <w:rPr>
                <w:rFonts w:hint="default" w:ascii="Times New Roman" w:hAnsi="Times New Roman" w:cs="Times New Roman"/>
                <w:b w:val="0"/>
                <w:bCs w:val="0"/>
                <w:color w:val="auto"/>
                <w:kern w:val="0"/>
                <w:sz w:val="24"/>
                <w:szCs w:val="24"/>
                <w:highlight w:val="none"/>
                <w:lang w:val="en-US" w:eastAsia="zh-CN" w:bidi="ar-SA"/>
              </w:rPr>
              <w:t>。</w:t>
            </w:r>
          </w:p>
          <w:p>
            <w:pPr>
              <w:bidi w:val="0"/>
              <w:ind w:left="0" w:leftChars="0" w:firstLine="0" w:firstLineChars="0"/>
              <w:jc w:val="center"/>
              <w:rPr>
                <w:rFonts w:hint="default" w:ascii="Times New Roman" w:hAnsi="Times New Roman" w:cs="Times New Roman"/>
                <w:color w:val="auto"/>
                <w:position w:val="-19"/>
              </w:rPr>
            </w:pPr>
            <w:r>
              <w:rPr>
                <w:rFonts w:hint="default" w:ascii="Times New Roman" w:hAnsi="Times New Roman" w:cs="Times New Roman"/>
                <w:color w:val="auto"/>
              </w:rPr>
              <w:object>
                <v:shape id="_x0000_i1025" o:spt="75" type="#_x0000_t75" style="height:103.7pt;width:325.8pt;" o:ole="t" filled="f" o:preferrelative="t" stroked="f" coordsize="21600,21600">
                  <v:path/>
                  <v:fill on="f" focussize="0,0"/>
                  <v:stroke on="f"/>
                  <v:imagedata r:id="rId32" cropleft="63f" croptop="6880f" cropright="234f" cropbottom="4703f" o:title=""/>
                  <o:lock v:ext="edit" aspectratio="f"/>
                  <w10:wrap type="none"/>
                  <w10:anchorlock/>
                </v:shape>
                <o:OLEObject Type="Embed" ProgID="Visio.Drawing.15" ShapeID="_x0000_i1025" DrawAspect="Content" ObjectID="_1468075725" r:id="rId31">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宋体"/>
                <w:b/>
                <w:bCs/>
                <w:color w:val="auto"/>
                <w:kern w:val="2"/>
                <w:sz w:val="21"/>
                <w:szCs w:val="21"/>
                <w:lang w:val="en-US" w:eastAsia="zh-CN" w:bidi="ar"/>
              </w:rPr>
            </w:pPr>
            <w:r>
              <w:rPr>
                <w:rFonts w:hint="default" w:ascii="Times New Roman" w:hAnsi="Times New Roman" w:eastAsia="宋体" w:cs="宋体"/>
                <w:b/>
                <w:bCs/>
                <w:color w:val="auto"/>
                <w:kern w:val="2"/>
                <w:sz w:val="21"/>
                <w:szCs w:val="21"/>
                <w:lang w:val="en-US" w:eastAsia="zh-CN" w:bidi="ar"/>
              </w:rPr>
              <w:t>图4-1　施工期工艺流程及产排污环节图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根据分析，项目施工期环境影响如下：</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ascii="Times New Roman" w:hAnsi="Times New Roman" w:cs="Times New Roman"/>
                <w:color w:val="auto"/>
                <w:sz w:val="24"/>
                <w:szCs w:val="24"/>
                <w:lang w:val="en-US"/>
              </w:rPr>
            </w:pPr>
            <w:r>
              <w:rPr>
                <w:rFonts w:hint="eastAsia" w:ascii="Times New Roman" w:hAnsi="Times New Roman" w:eastAsia="宋体" w:cs="宋体"/>
                <w:b/>
                <w:bCs/>
                <w:color w:val="auto"/>
                <w:kern w:val="2"/>
                <w:sz w:val="21"/>
                <w:szCs w:val="21"/>
                <w:lang w:val="en-US" w:eastAsia="zh-CN" w:bidi="ar"/>
              </w:rPr>
              <w:t>表</w:t>
            </w:r>
            <w:r>
              <w:rPr>
                <w:rFonts w:hint="default" w:ascii="Times New Roman" w:hAnsi="Times New Roman" w:eastAsia="宋体" w:cs="Times New Roman"/>
                <w:b/>
                <w:bCs/>
                <w:color w:val="auto"/>
                <w:kern w:val="2"/>
                <w:sz w:val="21"/>
                <w:szCs w:val="21"/>
                <w:lang w:val="en-US" w:eastAsia="zh-CN" w:bidi="ar"/>
              </w:rPr>
              <w:t>4-</w:t>
            </w:r>
            <w:r>
              <w:rPr>
                <w:rFonts w:hint="eastAsia" w:cs="Times New Roman"/>
                <w:b/>
                <w:bCs/>
                <w:color w:val="auto"/>
                <w:kern w:val="2"/>
                <w:sz w:val="21"/>
                <w:szCs w:val="21"/>
                <w:lang w:val="en-US" w:eastAsia="zh-CN" w:bidi="ar"/>
              </w:rPr>
              <w:t>1</w:t>
            </w:r>
            <w:r>
              <w:rPr>
                <w:rFonts w:hint="default" w:ascii="Times New Roman" w:hAnsi="Times New Roman" w:eastAsia="宋体" w:cs="Times New Roman"/>
                <w:b/>
                <w:bCs/>
                <w:color w:val="auto"/>
                <w:kern w:val="2"/>
                <w:sz w:val="21"/>
                <w:szCs w:val="21"/>
                <w:lang w:val="en-US" w:eastAsia="zh-CN" w:bidi="ar"/>
              </w:rPr>
              <w:t xml:space="preserve"> </w:t>
            </w:r>
            <w:r>
              <w:rPr>
                <w:rFonts w:hint="eastAsia" w:ascii="Times New Roman" w:hAnsi="Times New Roman" w:eastAsia="宋体" w:cs="宋体"/>
                <w:b/>
                <w:bCs/>
                <w:color w:val="auto"/>
                <w:kern w:val="2"/>
                <w:sz w:val="21"/>
                <w:szCs w:val="21"/>
                <w:lang w:val="en-US" w:eastAsia="zh-CN" w:bidi="ar"/>
              </w:rPr>
              <w:t>项目施工期生态环境影响识别表</w:t>
            </w:r>
          </w:p>
          <w:tbl>
            <w:tblPr>
              <w:tblStyle w:val="22"/>
              <w:tblW w:w="80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2"/>
              <w:gridCol w:w="68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jc w:val="center"/>
              </w:trPr>
              <w:tc>
                <w:tcPr>
                  <w:tcW w:w="1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s="Times New Roman"/>
                      <w:b/>
                      <w:bCs/>
                      <w:color w:val="auto"/>
                      <w:sz w:val="21"/>
                      <w:szCs w:val="21"/>
                      <w:lang w:val="en-US"/>
                    </w:rPr>
                  </w:pPr>
                  <w:r>
                    <w:rPr>
                      <w:rFonts w:hint="eastAsia" w:ascii="Times New Roman" w:hAnsi="Times New Roman" w:eastAsia="宋体" w:cs="宋体"/>
                      <w:b/>
                      <w:bCs/>
                      <w:color w:val="auto"/>
                      <w:kern w:val="2"/>
                      <w:sz w:val="21"/>
                      <w:szCs w:val="21"/>
                      <w:lang w:val="en-US" w:eastAsia="zh-CN" w:bidi="ar"/>
                    </w:rPr>
                    <w:t>环境要素</w:t>
                  </w:r>
                </w:p>
              </w:tc>
              <w:tc>
                <w:tcPr>
                  <w:tcW w:w="6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s="Times New Roman"/>
                      <w:b/>
                      <w:bCs/>
                      <w:color w:val="auto"/>
                      <w:sz w:val="21"/>
                      <w:szCs w:val="21"/>
                      <w:lang w:val="en-US"/>
                    </w:rPr>
                  </w:pPr>
                  <w:r>
                    <w:rPr>
                      <w:rFonts w:hint="eastAsia" w:ascii="Times New Roman" w:hAnsi="Times New Roman" w:eastAsia="宋体" w:cs="宋体"/>
                      <w:b/>
                      <w:bCs/>
                      <w:color w:val="auto"/>
                      <w:kern w:val="2"/>
                      <w:sz w:val="21"/>
                      <w:szCs w:val="21"/>
                      <w:lang w:val="en-US" w:eastAsia="zh-CN" w:bidi="ar"/>
                    </w:rPr>
                    <w:t>影响识别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生态环境</w:t>
                  </w:r>
                </w:p>
              </w:tc>
              <w:tc>
                <w:tcPr>
                  <w:tcW w:w="6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占地影响、对生态系统的影响</w:t>
                  </w:r>
                  <w:r>
                    <w:rPr>
                      <w:rFonts w:hint="eastAsia" w:cs="宋体"/>
                      <w:color w:val="auto"/>
                      <w:kern w:val="2"/>
                      <w:sz w:val="21"/>
                      <w:szCs w:val="21"/>
                      <w:lang w:val="en-US" w:eastAsia="zh-CN" w:bidi="ar"/>
                    </w:rPr>
                    <w:t>、</w:t>
                  </w:r>
                  <w:r>
                    <w:rPr>
                      <w:rFonts w:hint="eastAsia" w:ascii="Times New Roman" w:hAnsi="Times New Roman" w:eastAsia="宋体" w:cs="宋体"/>
                      <w:color w:val="auto"/>
                      <w:kern w:val="2"/>
                      <w:sz w:val="21"/>
                      <w:szCs w:val="21"/>
                      <w:lang w:val="en-US" w:eastAsia="zh-CN" w:bidi="ar"/>
                    </w:rPr>
                    <w:t>对</w:t>
                  </w:r>
                  <w:r>
                    <w:rPr>
                      <w:rFonts w:hint="eastAsia" w:cs="宋体"/>
                      <w:color w:val="auto"/>
                      <w:kern w:val="2"/>
                      <w:sz w:val="21"/>
                      <w:szCs w:val="21"/>
                      <w:lang w:val="en-US" w:eastAsia="zh-CN" w:bidi="ar"/>
                    </w:rPr>
                    <w:t>野生动植物</w:t>
                  </w:r>
                  <w:r>
                    <w:rPr>
                      <w:rFonts w:hint="eastAsia" w:ascii="Times New Roman" w:hAnsi="Times New Roman" w:eastAsia="宋体" w:cs="宋体"/>
                      <w:color w:val="auto"/>
                      <w:kern w:val="2"/>
                      <w:sz w:val="21"/>
                      <w:szCs w:val="21"/>
                      <w:lang w:val="en-US" w:eastAsia="zh-CN" w:bidi="ar"/>
                    </w:rPr>
                    <w:t>的影响、景观影响、</w:t>
                  </w:r>
                  <w:r>
                    <w:rPr>
                      <w:rFonts w:hint="eastAsia" w:cs="宋体"/>
                      <w:color w:val="auto"/>
                      <w:kern w:val="2"/>
                      <w:sz w:val="21"/>
                      <w:szCs w:val="21"/>
                      <w:lang w:val="en-US" w:eastAsia="zh-CN" w:bidi="ar"/>
                    </w:rPr>
                    <w:t>对生态敏感区及公益林的影响、对</w:t>
                  </w:r>
                  <w:r>
                    <w:rPr>
                      <w:rFonts w:hint="eastAsia" w:ascii="Times New Roman" w:hAnsi="Times New Roman" w:eastAsia="宋体" w:cs="宋体"/>
                      <w:color w:val="auto"/>
                      <w:kern w:val="2"/>
                      <w:sz w:val="21"/>
                      <w:szCs w:val="21"/>
                      <w:lang w:val="en-US" w:eastAsia="zh-CN" w:bidi="ar"/>
                    </w:rPr>
                    <w:t>水土流失</w:t>
                  </w:r>
                  <w:r>
                    <w:rPr>
                      <w:rFonts w:hint="eastAsia" w:cs="宋体"/>
                      <w:color w:val="auto"/>
                      <w:kern w:val="2"/>
                      <w:sz w:val="21"/>
                      <w:szCs w:val="21"/>
                      <w:lang w:val="en-US" w:eastAsia="zh-CN" w:bidi="ar"/>
                    </w:rPr>
                    <w:t>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环境空气</w:t>
                  </w:r>
                </w:p>
              </w:tc>
              <w:tc>
                <w:tcPr>
                  <w:tcW w:w="6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left"/>
                    <w:rPr>
                      <w:rFonts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施工扬尘、机械尾气污染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222" w:type="dxa"/>
                  <w:tcBorders>
                    <w:top w:val="single" w:color="000000" w:sz="4" w:space="0"/>
                    <w:left w:val="single" w:color="000000" w:sz="4" w:space="0"/>
                    <w:bottom w:val="nil"/>
                    <w:right w:val="single" w:color="000000"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地表水</w:t>
                  </w:r>
                </w:p>
              </w:tc>
              <w:tc>
                <w:tcPr>
                  <w:tcW w:w="6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left"/>
                    <w:rPr>
                      <w:rFonts w:ascii="Times New Roman" w:hAnsi="Times New Roman" w:cs="Times New Roman"/>
                      <w:color w:val="auto"/>
                      <w:sz w:val="21"/>
                      <w:szCs w:val="21"/>
                      <w:lang w:val="en-US"/>
                    </w:rPr>
                  </w:pPr>
                  <w:r>
                    <w:rPr>
                      <w:rFonts w:hint="eastAsia" w:cs="宋体"/>
                      <w:color w:val="auto"/>
                      <w:kern w:val="2"/>
                      <w:sz w:val="21"/>
                      <w:szCs w:val="21"/>
                      <w:lang w:val="en-US" w:eastAsia="zh-CN" w:bidi="ar"/>
                    </w:rPr>
                    <w:t>施工废水、</w:t>
                  </w:r>
                  <w:r>
                    <w:rPr>
                      <w:rFonts w:hint="eastAsia" w:ascii="Times New Roman" w:hAnsi="Times New Roman" w:eastAsia="宋体" w:cs="宋体"/>
                      <w:color w:val="auto"/>
                      <w:kern w:val="2"/>
                      <w:sz w:val="21"/>
                      <w:szCs w:val="21"/>
                      <w:lang w:val="en-US" w:eastAsia="zh-CN" w:bidi="ar"/>
                    </w:rPr>
                    <w:t>施工人员生活污水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声环境</w:t>
                  </w:r>
                </w:p>
              </w:tc>
              <w:tc>
                <w:tcPr>
                  <w:tcW w:w="6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left"/>
                    <w:rPr>
                      <w:rFonts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施工机械设备噪声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固体废物</w:t>
                  </w:r>
                </w:p>
              </w:tc>
              <w:tc>
                <w:tcPr>
                  <w:tcW w:w="6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left"/>
                    <w:rPr>
                      <w:rFonts w:ascii="Times New Roman" w:hAnsi="Times New Roman" w:cs="Times New Roman"/>
                      <w:color w:val="auto"/>
                      <w:sz w:val="21"/>
                      <w:szCs w:val="21"/>
                      <w:lang w:val="en-US"/>
                    </w:rPr>
                  </w:pPr>
                  <w:r>
                    <w:rPr>
                      <w:rFonts w:hint="eastAsia" w:ascii="Times New Roman" w:hAnsi="Times New Roman" w:eastAsia="宋体" w:cs="宋体"/>
                      <w:color w:val="auto"/>
                      <w:kern w:val="2"/>
                      <w:sz w:val="21"/>
                      <w:szCs w:val="21"/>
                      <w:lang w:val="en-US" w:eastAsia="zh-CN" w:bidi="ar"/>
                    </w:rPr>
                    <w:t>弃土、废弃包装袋</w:t>
                  </w:r>
                  <w:r>
                    <w:rPr>
                      <w:rFonts w:hint="eastAsia" w:cs="宋体"/>
                      <w:color w:val="auto"/>
                      <w:kern w:val="2"/>
                      <w:sz w:val="21"/>
                      <w:szCs w:val="21"/>
                      <w:lang w:val="en-US" w:eastAsia="zh-CN" w:bidi="ar"/>
                    </w:rPr>
                    <w:t>、</w:t>
                  </w:r>
                  <w:r>
                    <w:rPr>
                      <w:rFonts w:hint="eastAsia" w:ascii="Times New Roman" w:hAnsi="Times New Roman" w:eastAsia="宋体" w:cs="宋体"/>
                      <w:color w:val="auto"/>
                      <w:kern w:val="2"/>
                      <w:sz w:val="21"/>
                      <w:szCs w:val="21"/>
                      <w:lang w:val="en-US" w:eastAsia="zh-CN" w:bidi="ar"/>
                    </w:rPr>
                    <w:t>生活垃圾</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2</w:t>
            </w:r>
            <w:r>
              <w:rPr>
                <w:rFonts w:hint="default" w:ascii="Times New Roman" w:hAnsi="Times New Roman" w:cs="Times New Roman"/>
                <w:bCs/>
                <w:color w:val="auto"/>
                <w:szCs w:val="21"/>
              </w:rPr>
              <w:t>、施工期生态影响分析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项目施工期生态影响主要为</w:t>
            </w:r>
            <w:r>
              <w:rPr>
                <w:rFonts w:hint="default" w:ascii="Times New Roman" w:hAnsi="Times New Roman" w:cs="Times New Roman"/>
                <w:bCs/>
                <w:color w:val="auto"/>
                <w:szCs w:val="21"/>
              </w:rPr>
              <w:t>对</w:t>
            </w:r>
            <w:r>
              <w:rPr>
                <w:rFonts w:hint="eastAsia" w:cs="Times New Roman"/>
                <w:bCs/>
                <w:color w:val="auto"/>
                <w:szCs w:val="21"/>
                <w:lang w:val="en-US" w:eastAsia="zh-CN"/>
              </w:rPr>
              <w:t>土地利用类型</w:t>
            </w:r>
            <w:r>
              <w:rPr>
                <w:rFonts w:hint="default" w:ascii="Times New Roman" w:hAnsi="Times New Roman" w:cs="Times New Roman"/>
                <w:bCs/>
                <w:color w:val="auto"/>
                <w:szCs w:val="21"/>
              </w:rPr>
              <w:t>的影响</w:t>
            </w:r>
            <w:r>
              <w:rPr>
                <w:rFonts w:hint="eastAsia" w:cs="Times New Roman"/>
                <w:bCs/>
                <w:color w:val="auto"/>
                <w:szCs w:val="21"/>
                <w:lang w:eastAsia="zh-CN"/>
              </w:rPr>
              <w:t>；对生态系统的影响、对野生动植物的影响、景观影响、对生态敏感区及公益林的影响、对水土流失的影响</w:t>
            </w:r>
            <w:r>
              <w:rPr>
                <w:rFonts w:hint="eastAsia" w:cs="Times New Roman"/>
                <w:bCs/>
                <w:color w:val="auto"/>
                <w:szCs w:val="21"/>
                <w:lang w:val="en-US" w:eastAsia="zh-CN"/>
              </w:rPr>
              <w:t>等</w:t>
            </w:r>
            <w:r>
              <w:rPr>
                <w:rFonts w:hint="eastAsia"/>
                <w:color w:val="auto"/>
                <w:lang w:val="en-US" w:eastAsia="zh-CN"/>
              </w:rPr>
              <w:t>。</w:t>
            </w:r>
            <w:r>
              <w:rPr>
                <w:rFonts w:hint="eastAsia" w:cs="Times New Roman"/>
                <w:bCs/>
                <w:color w:val="auto"/>
                <w:szCs w:val="21"/>
                <w:lang w:val="en-US" w:eastAsia="zh-CN"/>
              </w:rPr>
              <w:t>具体见生态专项第3章 生态环境影响预测与评价</w:t>
            </w:r>
            <w:r>
              <w:rPr>
                <w:rFonts w:hint="eastAsia" w:cs="Times New Roman"/>
                <w:bCs/>
                <w:color w:val="auto"/>
                <w:spacing w:val="0"/>
                <w:sz w:val="24"/>
                <w:szCs w:val="21"/>
                <w:lang w:val="en-US" w:eastAsia="zh-CN"/>
              </w:rPr>
              <w:t>，此处不再赘述。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3</w:t>
            </w:r>
            <w:r>
              <w:rPr>
                <w:rFonts w:hint="default" w:ascii="Times New Roman" w:hAnsi="Times New Roman" w:cs="Times New Roman"/>
                <w:bCs/>
                <w:color w:val="auto"/>
                <w:szCs w:val="21"/>
              </w:rPr>
              <w:t>、施工期水环境影响分析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林区道路建设过程中会产生的施工废水主要来自施工过程中混凝土养护排水、桩基施工产生的泥浆废水、建筑物料喷洒及少量的机械泥土清洗产生的施工废水，其主要污染物为SS，浓度约为400~800mg/L，产生量不大，约5m3/d，施工期废水采取临时沉淀池处理后回用，不会对周边水环境产生较大不利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本项目施工期总施工人员约200人，施工人员为</w:t>
            </w:r>
            <w:r>
              <w:rPr>
                <w:rFonts w:hint="eastAsia" w:cs="Times New Roman"/>
                <w:bCs/>
                <w:color w:val="auto"/>
                <w:szCs w:val="21"/>
                <w:lang w:val="en-US" w:eastAsia="zh-CN"/>
              </w:rPr>
              <w:t>蓬溪县各施工点</w:t>
            </w:r>
            <w:r>
              <w:rPr>
                <w:rFonts w:hint="default" w:ascii="Times New Roman" w:hAnsi="Times New Roman" w:cs="Times New Roman"/>
                <w:bCs/>
                <w:color w:val="auto"/>
                <w:szCs w:val="21"/>
              </w:rPr>
              <w:t>附近的村民，全部回家解决食宿。故无施工生活污水产生。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4</w:t>
            </w:r>
            <w:r>
              <w:rPr>
                <w:rFonts w:hint="default" w:ascii="Times New Roman" w:hAnsi="Times New Roman" w:cs="Times New Roman"/>
                <w:bCs/>
                <w:color w:val="auto"/>
                <w:szCs w:val="21"/>
              </w:rPr>
              <w:t>、施工期大气环境影响分析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本项目施工期废气主要是扬尘污染、施工运输车辆尾气。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（1）扬尘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项目基础设施配套建设林区道路</w:t>
            </w:r>
            <w:r>
              <w:rPr>
                <w:rFonts w:hint="eastAsia" w:cs="Times New Roman"/>
                <w:bCs/>
                <w:color w:val="auto"/>
                <w:szCs w:val="21"/>
                <w:lang w:val="en-US" w:eastAsia="zh-CN"/>
              </w:rPr>
              <w:t>以及管护用房、瞭望塔等配套设施</w:t>
            </w:r>
            <w:r>
              <w:rPr>
                <w:rFonts w:hint="default" w:ascii="Times New Roman" w:hAnsi="Times New Roman" w:cs="Times New Roman"/>
                <w:bCs/>
                <w:color w:val="auto"/>
                <w:szCs w:val="21"/>
              </w:rPr>
              <w:t>，施工过程对环境空气产生的主要污染物为TSP。主要污染环节为材料的运输和堆放、土石方的开挖和回填等作业过程，上述各环节在受风力的作用下将会对施工现场及周围环境产生TSP污染。另外，运输车辆行驶将产生公路二次扬尘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此外，挖穴平整及种植过程中会产生少量的扬尘。随着施工期的结束，影响也随之消失。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（2）运输车辆尾气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施工机械、运输车辆以柴油、汽油等作为燃料，不同数量的施工机械及运输车辆，需使用的燃料用量不同，排放的汽车尾气量不同。一般尾气中含有THC、颗粒物、CO、NOx等污染物，为无组织排放，由于施工机械及运输车辆分布较散，使用的机械种类不一，排放的尾气量较易扩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5</w:t>
            </w:r>
            <w:r>
              <w:rPr>
                <w:rFonts w:hint="default" w:ascii="Times New Roman" w:hAnsi="Times New Roman" w:cs="Times New Roman"/>
                <w:bCs/>
                <w:color w:val="auto"/>
                <w:szCs w:val="21"/>
              </w:rPr>
              <w:t>、声环境影响分析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本项目林区道路等辅助设施建设施工过程中需要使用多种施工机械和运输车辆，部分设备会辐射出强烈的噪声，本项目使用的施工机械主要有挖掘机、推土机、装载机、压路机等，运输车辆包括各种卡车、自卸车；挖穴平整及种植过程</w:t>
            </w:r>
            <w:r>
              <w:rPr>
                <w:rFonts w:hint="eastAsia" w:cs="Times New Roman"/>
                <w:bCs/>
                <w:color w:val="auto"/>
                <w:szCs w:val="21"/>
                <w:lang w:eastAsia="zh-CN"/>
              </w:rPr>
              <w:t>采用</w:t>
            </w:r>
            <w:r>
              <w:rPr>
                <w:rFonts w:hint="default" w:ascii="Times New Roman" w:hAnsi="Times New Roman" w:cs="Times New Roman"/>
                <w:bCs/>
                <w:color w:val="auto"/>
                <w:szCs w:val="21"/>
              </w:rPr>
              <w:t>人工方式，产生的噪声较小。施工机械设备的运行噪声见下表</w:t>
            </w:r>
            <w:r>
              <w:rPr>
                <w:rFonts w:hint="eastAsia" w:ascii="Times New Roman" w:hAnsi="Times New Roman" w:cs="Times New Roman"/>
                <w:bCs/>
                <w:color w:val="auto"/>
                <w:szCs w:val="21"/>
                <w:lang w:val="en-US" w:eastAsia="zh-CN"/>
              </w:rPr>
              <w:t>4-</w:t>
            </w:r>
            <w:r>
              <w:rPr>
                <w:rFonts w:hint="eastAsia" w:cs="Times New Roman"/>
                <w:bCs/>
                <w:color w:val="auto"/>
                <w:szCs w:val="21"/>
                <w:lang w:val="en-US" w:eastAsia="zh-CN"/>
              </w:rPr>
              <w:t>2</w:t>
            </w:r>
            <w:r>
              <w:rPr>
                <w:rFonts w:hint="default" w:ascii="Times New Roman" w:hAnsi="Times New Roman" w:cs="Times New Roman"/>
                <w:bCs/>
                <w:color w:val="auto"/>
                <w:szCs w:val="21"/>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宋体"/>
                <w:b/>
                <w:bCs/>
                <w:color w:val="auto"/>
                <w:kern w:val="2"/>
                <w:sz w:val="21"/>
                <w:szCs w:val="21"/>
                <w:lang w:val="en-US" w:eastAsia="zh-CN" w:bidi="ar"/>
              </w:rPr>
            </w:pPr>
            <w:r>
              <w:rPr>
                <w:rFonts w:hint="default" w:ascii="Times New Roman" w:hAnsi="Times New Roman" w:eastAsia="宋体" w:cs="宋体"/>
                <w:b/>
                <w:bCs/>
                <w:color w:val="auto"/>
                <w:kern w:val="2"/>
                <w:sz w:val="21"/>
                <w:szCs w:val="21"/>
                <w:lang w:val="en-US" w:eastAsia="zh-CN" w:bidi="ar"/>
              </w:rPr>
              <w:t>表</w:t>
            </w:r>
            <w:r>
              <w:rPr>
                <w:rFonts w:hint="eastAsia" w:ascii="Times New Roman" w:hAnsi="Times New Roman" w:eastAsia="宋体" w:cs="宋体"/>
                <w:b/>
                <w:bCs/>
                <w:color w:val="auto"/>
                <w:kern w:val="2"/>
                <w:sz w:val="21"/>
                <w:szCs w:val="21"/>
                <w:lang w:val="en-US" w:eastAsia="zh-CN" w:bidi="ar"/>
              </w:rPr>
              <w:t>4-</w:t>
            </w:r>
            <w:r>
              <w:rPr>
                <w:rFonts w:hint="eastAsia" w:cs="宋体"/>
                <w:b/>
                <w:bCs/>
                <w:color w:val="auto"/>
                <w:kern w:val="2"/>
                <w:sz w:val="21"/>
                <w:szCs w:val="21"/>
                <w:lang w:val="en-US" w:eastAsia="zh-CN" w:bidi="ar"/>
              </w:rPr>
              <w:t xml:space="preserve">2 </w:t>
            </w:r>
            <w:r>
              <w:rPr>
                <w:rFonts w:hint="default" w:ascii="Times New Roman" w:hAnsi="Times New Roman" w:eastAsia="宋体" w:cs="宋体"/>
                <w:b/>
                <w:bCs/>
                <w:color w:val="auto"/>
                <w:kern w:val="2"/>
                <w:sz w:val="21"/>
                <w:szCs w:val="21"/>
                <w:lang w:val="en-US" w:eastAsia="zh-CN" w:bidi="ar"/>
              </w:rPr>
              <w:t>施工期主要噪声源及声强单位：dB（A）</w:t>
            </w:r>
          </w:p>
          <w:tbl>
            <w:tblPr>
              <w:tblStyle w:val="55"/>
              <w:tblW w:w="806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6"/>
              <w:gridCol w:w="3061"/>
              <w:gridCol w:w="30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1966" w:type="dxa"/>
                  <w:tcBorders>
                    <w:top w:val="single" w:color="000000" w:sz="2" w:space="0"/>
                    <w:left w:val="single" w:color="000000" w:sz="2" w:space="0"/>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序号</w:t>
                  </w:r>
                </w:p>
              </w:tc>
              <w:tc>
                <w:tcPr>
                  <w:tcW w:w="3061" w:type="dxa"/>
                  <w:tcBorders>
                    <w:top w:val="single" w:color="000000" w:sz="2" w:space="0"/>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主要噪声源</w:t>
                  </w:r>
                </w:p>
              </w:tc>
              <w:tc>
                <w:tcPr>
                  <w:tcW w:w="3039" w:type="dxa"/>
                  <w:tcBorders>
                    <w:top w:val="single" w:color="000000" w:sz="2" w:space="0"/>
                    <w:right w:val="single" w:color="000000" w:sz="2" w:space="0"/>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声功率级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trPr>
              <w:tc>
                <w:tcPr>
                  <w:tcW w:w="1966" w:type="dxa"/>
                  <w:tcBorders>
                    <w:lef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w:t>
                  </w:r>
                </w:p>
              </w:tc>
              <w:tc>
                <w:tcPr>
                  <w:tcW w:w="3061" w:type="dxa"/>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挖掘机</w:t>
                  </w:r>
                </w:p>
              </w:tc>
              <w:tc>
                <w:tcPr>
                  <w:tcW w:w="3039" w:type="dxa"/>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trPr>
              <w:tc>
                <w:tcPr>
                  <w:tcW w:w="1966" w:type="dxa"/>
                  <w:tcBorders>
                    <w:lef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2</w:t>
                  </w:r>
                </w:p>
              </w:tc>
              <w:tc>
                <w:tcPr>
                  <w:tcW w:w="3061" w:type="dxa"/>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推土机</w:t>
                  </w:r>
                </w:p>
              </w:tc>
              <w:tc>
                <w:tcPr>
                  <w:tcW w:w="3039" w:type="dxa"/>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trPr>
              <w:tc>
                <w:tcPr>
                  <w:tcW w:w="1966" w:type="dxa"/>
                  <w:tcBorders>
                    <w:lef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3</w:t>
                  </w:r>
                </w:p>
              </w:tc>
              <w:tc>
                <w:tcPr>
                  <w:tcW w:w="3061" w:type="dxa"/>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装载机</w:t>
                  </w:r>
                </w:p>
              </w:tc>
              <w:tc>
                <w:tcPr>
                  <w:tcW w:w="3039" w:type="dxa"/>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trPr>
              <w:tc>
                <w:tcPr>
                  <w:tcW w:w="1966" w:type="dxa"/>
                  <w:tcBorders>
                    <w:lef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4</w:t>
                  </w:r>
                </w:p>
              </w:tc>
              <w:tc>
                <w:tcPr>
                  <w:tcW w:w="3061" w:type="dxa"/>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压路机</w:t>
                  </w:r>
                </w:p>
              </w:tc>
              <w:tc>
                <w:tcPr>
                  <w:tcW w:w="3039" w:type="dxa"/>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trPr>
              <w:tc>
                <w:tcPr>
                  <w:tcW w:w="1966" w:type="dxa"/>
                  <w:tcBorders>
                    <w:left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5</w:t>
                  </w:r>
                </w:p>
              </w:tc>
              <w:tc>
                <w:tcPr>
                  <w:tcW w:w="3061" w:type="dxa"/>
                  <w:tcBorders>
                    <w:bottom w:val="single" w:color="000000" w:sz="2" w:space="0"/>
                  </w:tcBorders>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运输车辆</w:t>
                  </w:r>
                </w:p>
              </w:tc>
              <w:tc>
                <w:tcPr>
                  <w:tcW w:w="3039" w:type="dxa"/>
                  <w:tcBorders>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80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6</w:t>
            </w:r>
            <w:r>
              <w:rPr>
                <w:rFonts w:hint="default" w:ascii="Times New Roman" w:hAnsi="Times New Roman" w:cs="Times New Roman"/>
                <w:bCs/>
                <w:color w:val="auto"/>
                <w:szCs w:val="21"/>
              </w:rPr>
              <w:t>、固体废物影响分析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本项目施工期产生的固废主要有林区道路建设等基础设施建设产生的弃土、机械设备加油及维修产生的废机油，挖穴平整过程产生的废弃地表植被、肥料废弃包装袋，施工人员活动产生的生活垃圾等。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（1）弃土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本项目挖穴平整及种植过程为人工挖穴种植，土方随挖随填，不产生弃土；基础设施建设（林区道路、</w:t>
            </w:r>
            <w:r>
              <w:rPr>
                <w:rFonts w:hint="eastAsia" w:cs="Times New Roman"/>
                <w:bCs/>
                <w:color w:val="auto"/>
                <w:szCs w:val="21"/>
                <w:lang w:val="en-US" w:eastAsia="zh-CN"/>
              </w:rPr>
              <w:t>巡护</w:t>
            </w:r>
            <w:r>
              <w:rPr>
                <w:rFonts w:hint="default" w:ascii="Times New Roman" w:hAnsi="Times New Roman" w:cs="Times New Roman"/>
                <w:bCs/>
                <w:color w:val="auto"/>
                <w:szCs w:val="21"/>
              </w:rPr>
              <w:t>步道</w:t>
            </w:r>
            <w:r>
              <w:rPr>
                <w:rFonts w:hint="eastAsia" w:cs="Times New Roman"/>
                <w:bCs/>
                <w:color w:val="auto"/>
                <w:szCs w:val="21"/>
                <w:lang w:eastAsia="zh-CN"/>
              </w:rPr>
              <w:t>、</w:t>
            </w:r>
            <w:r>
              <w:rPr>
                <w:rFonts w:hint="eastAsia" w:cs="Times New Roman"/>
                <w:bCs/>
                <w:color w:val="auto"/>
                <w:szCs w:val="21"/>
                <w:lang w:val="en-US" w:eastAsia="zh-CN"/>
              </w:rPr>
              <w:t>瞭望塔等</w:t>
            </w:r>
            <w:r>
              <w:rPr>
                <w:rFonts w:hint="default" w:ascii="Times New Roman" w:hAnsi="Times New Roman" w:cs="Times New Roman"/>
                <w:bCs/>
                <w:color w:val="auto"/>
                <w:szCs w:val="21"/>
              </w:rPr>
              <w:t>）人工作业+机械作业，涉及较大面积的土方开挖，此过程中会产生弃土。根据业主提供的资料，由于本项目为储备林建设项目，基础设施建设基本可做到挖填平衡，开挖的弃土集中堆放，之后全部回填，不外排，对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（2）废机油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项目基础设施建设过程中由于施工机械加油、维修等，难免会产生少量的废机油，产生量约为0.01t/a，废机油属于危险废物。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w:t>
            </w:r>
            <w:r>
              <w:rPr>
                <w:rFonts w:hint="eastAsia" w:cs="Times New Roman"/>
                <w:bCs/>
                <w:color w:val="auto"/>
                <w:szCs w:val="21"/>
                <w:lang w:val="en-US" w:eastAsia="zh-CN"/>
              </w:rPr>
              <w:t>3</w:t>
            </w:r>
            <w:r>
              <w:rPr>
                <w:rFonts w:hint="default" w:ascii="Times New Roman" w:hAnsi="Times New Roman" w:cs="Times New Roman"/>
                <w:bCs/>
                <w:color w:val="auto"/>
                <w:szCs w:val="21"/>
              </w:rPr>
              <w:t>）废弃包装袋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本项目挖穴平整过程会产生少量的肥料废弃包装袋，根据业主提供的资料，则项目废弃包装袋产生量约为1.5t/a。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w:t>
            </w:r>
            <w:r>
              <w:rPr>
                <w:rFonts w:hint="eastAsia" w:cs="Times New Roman"/>
                <w:bCs/>
                <w:color w:val="auto"/>
                <w:szCs w:val="21"/>
                <w:lang w:val="en-US" w:eastAsia="zh-CN"/>
              </w:rPr>
              <w:t>4</w:t>
            </w:r>
            <w:r>
              <w:rPr>
                <w:rFonts w:hint="default" w:ascii="Times New Roman" w:hAnsi="Times New Roman" w:cs="Times New Roman"/>
                <w:bCs/>
                <w:color w:val="auto"/>
                <w:szCs w:val="21"/>
              </w:rPr>
              <w:t>）生活垃圾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本项目施工期总施工人员约200人，施工人员为</w:t>
            </w:r>
            <w:r>
              <w:rPr>
                <w:rFonts w:hint="eastAsia" w:cs="Times New Roman"/>
                <w:bCs/>
                <w:color w:val="auto"/>
                <w:szCs w:val="21"/>
                <w:lang w:val="en-US" w:eastAsia="zh-CN"/>
              </w:rPr>
              <w:t>蓬溪县各</w:t>
            </w:r>
            <w:r>
              <w:rPr>
                <w:rFonts w:hint="default" w:ascii="Times New Roman" w:hAnsi="Times New Roman" w:cs="Times New Roman"/>
                <w:bCs/>
                <w:color w:val="auto"/>
                <w:szCs w:val="21"/>
              </w:rPr>
              <w:t>施工场地附近的村民，全部回家解决食宿。生活垃圾产生量按1kg/人·d计，因此施工期间施工人员生活垃圾产生总量为0.2t/d（60t/a）。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7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运营期生态环境影响分析</w:t>
            </w:r>
          </w:p>
        </w:tc>
        <w:tc>
          <w:tcPr>
            <w:tcW w:w="829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运营期工艺流程及产污环节如下图</w:t>
            </w:r>
            <w:r>
              <w:rPr>
                <w:rFonts w:hint="eastAsia" w:cs="Times New Roman"/>
                <w:bCs/>
                <w:color w:val="auto"/>
                <w:szCs w:val="21"/>
                <w:lang w:val="en-US" w:eastAsia="zh-CN"/>
              </w:rPr>
              <w:t>4-2</w:t>
            </w:r>
            <w:r>
              <w:rPr>
                <w:rFonts w:hint="default" w:ascii="Times New Roman" w:hAnsi="Times New Roman" w:cs="Times New Roman"/>
                <w:bCs/>
                <w:color w:val="auto"/>
                <w:szCs w:val="21"/>
              </w:rPr>
              <w:t>。</w:t>
            </w:r>
          </w:p>
          <w:p>
            <w:pPr>
              <w:bidi w:val="0"/>
              <w:ind w:left="0" w:leftChars="0" w:firstLine="0" w:firstLineChars="0"/>
              <w:jc w:val="center"/>
              <w:rPr>
                <w:rFonts w:hint="default" w:ascii="Times New Roman" w:hAnsi="Times New Roman" w:eastAsia="黑体" w:cs="Times New Roman"/>
                <w:b w:val="0"/>
                <w:bCs w:val="0"/>
                <w:color w:val="auto"/>
                <w:lang w:val="en-US" w:eastAsia="zh-CN"/>
              </w:rPr>
            </w:pPr>
            <w:r>
              <w:rPr>
                <w:rFonts w:hint="default" w:ascii="Times New Roman" w:hAnsi="Times New Roman" w:cs="Times New Roman"/>
                <w:color w:val="auto"/>
              </w:rPr>
              <w:object>
                <v:shape id="_x0000_i1026" o:spt="75" type="#_x0000_t75" style="height:112.7pt;width:325.8pt;" o:ole="t" filled="f" o:preferrelative="t" stroked="f" coordsize="21600,21600">
                  <v:path/>
                  <v:fill on="f" focussize="0,0"/>
                  <v:stroke on="f"/>
                  <v:imagedata r:id="rId34" cropleft="63f" croptop="6880f" cropright="234f" cropbottom="4703f" o:title=""/>
                  <o:lock v:ext="edit" aspectratio="f"/>
                  <w10:wrap type="none"/>
                  <w10:anchorlock/>
                </v:shape>
                <o:OLEObject Type="Embed" ProgID="Visio.Drawing.15" ShapeID="_x0000_i1026" DrawAspect="Content" ObjectID="_1468075726" r:id="rId33">
                  <o:LockedField>false</o:LockedField>
                </o:OLEObject>
              </w:object>
            </w:r>
          </w:p>
          <w:p>
            <w:pPr>
              <w:bidi w:val="0"/>
              <w:ind w:left="0" w:leftChars="0" w:firstLine="0" w:firstLineChars="0"/>
              <w:jc w:val="center"/>
              <w:rPr>
                <w:rFonts w:hint="default" w:ascii="Times New Roman" w:hAnsi="Times New Roman" w:eastAsia="黑体" w:cs="Times New Roman"/>
                <w:b w:val="0"/>
                <w:bCs w:val="0"/>
                <w:color w:val="auto"/>
                <w:lang w:val="en-US" w:eastAsia="zh-CN"/>
              </w:rPr>
            </w:pPr>
            <w:r>
              <w:rPr>
                <w:rFonts w:hint="default" w:ascii="Times New Roman" w:hAnsi="Times New Roman" w:eastAsia="黑体" w:cs="Times New Roman"/>
                <w:b w:val="0"/>
                <w:bCs w:val="0"/>
                <w:color w:val="auto"/>
                <w:lang w:val="en-US" w:eastAsia="zh-CN"/>
              </w:rPr>
              <w:t>图4-</w:t>
            </w:r>
            <w:r>
              <w:rPr>
                <w:rFonts w:hint="eastAsia" w:eastAsia="黑体" w:cs="Times New Roman"/>
                <w:b w:val="0"/>
                <w:bCs w:val="0"/>
                <w:color w:val="auto"/>
                <w:lang w:val="en-US" w:eastAsia="zh-CN"/>
              </w:rPr>
              <w:t>2</w:t>
            </w:r>
            <w:r>
              <w:rPr>
                <w:rFonts w:hint="default" w:ascii="Times New Roman" w:hAnsi="Times New Roman" w:eastAsia="黑体" w:cs="Times New Roman"/>
                <w:b w:val="0"/>
                <w:bCs w:val="0"/>
                <w:color w:val="auto"/>
                <w:lang w:val="en-US" w:eastAsia="zh-CN"/>
              </w:rPr>
              <w:t>　</w:t>
            </w:r>
            <w:r>
              <w:rPr>
                <w:rFonts w:hint="eastAsia" w:eastAsia="黑体" w:cs="Times New Roman"/>
                <w:b w:val="0"/>
                <w:bCs w:val="0"/>
                <w:color w:val="auto"/>
                <w:lang w:val="en-US" w:eastAsia="zh-CN"/>
              </w:rPr>
              <w:t>运营</w:t>
            </w:r>
            <w:r>
              <w:rPr>
                <w:rFonts w:hint="default" w:ascii="Times New Roman" w:hAnsi="Times New Roman" w:eastAsia="黑体" w:cs="Times New Roman"/>
                <w:b w:val="0"/>
                <w:bCs w:val="0"/>
                <w:color w:val="auto"/>
                <w:lang w:val="en-US" w:eastAsia="zh-CN"/>
              </w:rPr>
              <w:t>期工艺流程及产排污环节图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rPr>
              <w:t>一、运营期生态影响分析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具体见生态专项第3章 生态环境影响预测与评价</w:t>
            </w:r>
            <w:r>
              <w:rPr>
                <w:rFonts w:hint="eastAsia" w:cs="Times New Roman"/>
                <w:bCs/>
                <w:color w:val="auto"/>
                <w:spacing w:val="0"/>
                <w:sz w:val="24"/>
                <w:szCs w:val="21"/>
                <w:lang w:val="en-US" w:eastAsia="zh-CN"/>
              </w:rPr>
              <w:t>，此处不再赘述。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二、运营期环境空气影响分析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本项目运营期废气主要为采伐油锯产生的少量无组织废气、运输车辆进场产生的扬尘及车辆尾气。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（1）采伐油锯废气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业主提供的资料，本项目在达到主伐（更新采伐）年龄之前完成两次间伐，第一次间伐在第1年进行，在首次间伐后的7～10年后可开展第二次间伐。采伐的人数及时间按照林木生产情况确定，此过程中采伐油锯使用时产生的少量无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（2）运输车辆废气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采伐的木材运输过程中，运输车辆进场会产生扬尘及车辆尾气。尤其是在风速较大或汽车行驶速度较快的情况下，扬尘的污染较严重；车辆尾气产生量较少，尾气中含有THC、CO、NOx等污染物，为无组织排放。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三、营运期水环境影响分析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本项目营运期管理、养护、采伐人员均为雇佣的周边村民，全部回家解决食宿。故无生活污水产生。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四、营运期声环境影响分析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本项目营运期噪声主要来源于林木采伐过程使用油锯时产生的设备噪声、林木采伐及林下经济收获时进出车辆产生的交通噪声，人员活动噪声等，为不连续性噪声，对环境影响较小。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五、营运期固体废物环境影响分析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本项目营运期产生的固体废物主要为林木及林下经济施肥及喷洒农药过程中产生的肥料废包装袋及农药废包装物、</w:t>
            </w:r>
            <w:r>
              <w:rPr>
                <w:rFonts w:hint="eastAsia" w:cs="Times New Roman"/>
                <w:color w:val="auto"/>
                <w:lang w:eastAsia="zh-CN"/>
              </w:rPr>
              <w:t>抚育及修剪过程中产生的灌木杂草及枯枝落叶、采伐过程中产生的枝叶</w:t>
            </w:r>
            <w:r>
              <w:rPr>
                <w:rFonts w:hint="default" w:ascii="Times New Roman" w:hAnsi="Times New Roman" w:cs="Times New Roman"/>
                <w:color w:val="auto"/>
              </w:rPr>
              <w:t>、养护人员产生的生活垃圾等。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（1）废包装袋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项目抚育管护过程中施肥后会产生少量的废弃包装袋，根据业主提供相关资料，肥料使用后产生的废包装材料约为1.5t/a，为一般固废，经收集后</w:t>
            </w:r>
            <w:r>
              <w:rPr>
                <w:rFonts w:hint="eastAsia" w:cs="Times New Roman"/>
                <w:color w:val="auto"/>
                <w:lang w:eastAsia="zh-CN"/>
              </w:rPr>
              <w:t>外售</w:t>
            </w:r>
            <w:r>
              <w:rPr>
                <w:rFonts w:hint="default" w:ascii="Times New Roman" w:hAnsi="Times New Roman" w:cs="Times New Roman"/>
                <w:color w:val="auto"/>
              </w:rPr>
              <w:t>废品回收公司处置。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（2）农药废弃包装物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根据业主提供的资料，农药使用后的废包装物产生量约为0.1t/a，</w:t>
            </w:r>
            <w:r>
              <w:rPr>
                <w:rFonts w:hint="eastAsia" w:cs="Times New Roman"/>
                <w:color w:val="auto"/>
                <w:lang w:val="en-US" w:eastAsia="zh-CN"/>
              </w:rPr>
              <w:t>属于HW04农药废物中900-003-04销售及使用过程中产生的失效、变质、不合格、淘汰、伪劣的农药产品，以及废弃的与农药直接接触或者含有农药残余物的包装物。</w:t>
            </w:r>
            <w:r>
              <w:rPr>
                <w:rFonts w:hint="default" w:ascii="Times New Roman" w:hAnsi="Times New Roman" w:cs="Times New Roman"/>
                <w:color w:val="auto"/>
              </w:rPr>
              <w:t>根据《国家危险废物名录》（202</w:t>
            </w:r>
            <w:r>
              <w:rPr>
                <w:rFonts w:hint="eastAsia" w:cs="Times New Roman"/>
                <w:color w:val="auto"/>
                <w:lang w:val="en-US" w:eastAsia="zh-CN"/>
              </w:rPr>
              <w:t>5</w:t>
            </w:r>
            <w:r>
              <w:rPr>
                <w:rFonts w:hint="default" w:ascii="Times New Roman" w:hAnsi="Times New Roman" w:cs="Times New Roman"/>
                <w:color w:val="auto"/>
              </w:rPr>
              <w:t>年版）豁免条件、豁免内容，农药使用后被废弃的与农药直接接触或者含有农药残余物的包装物</w:t>
            </w:r>
            <w:r>
              <w:rPr>
                <w:rFonts w:hint="eastAsia" w:cs="Times New Roman"/>
                <w:color w:val="auto"/>
                <w:lang w:val="en-US" w:eastAsia="zh-CN"/>
              </w:rPr>
              <w:t>其收集、运输、利用、处置均不按照危险废物进行管理，因此，</w:t>
            </w:r>
            <w:r>
              <w:rPr>
                <w:rFonts w:hint="default" w:ascii="Times New Roman" w:hAnsi="Times New Roman" w:cs="Times New Roman"/>
                <w:color w:val="auto"/>
              </w:rPr>
              <w:t>本项目产生的农药废包装物</w:t>
            </w:r>
            <w:r>
              <w:rPr>
                <w:rFonts w:hint="eastAsia" w:cs="Times New Roman"/>
                <w:color w:val="auto"/>
                <w:lang w:val="en-US" w:eastAsia="zh-CN"/>
              </w:rPr>
              <w:t>依据</w:t>
            </w:r>
            <w:r>
              <w:rPr>
                <w:rFonts w:hint="default" w:ascii="Times New Roman" w:hAnsi="Times New Roman" w:cs="Times New Roman"/>
                <w:color w:val="auto"/>
              </w:rPr>
              <w:t>《农药包装废弃物回收处理管理办法》，</w:t>
            </w:r>
            <w:r>
              <w:rPr>
                <w:rFonts w:hint="eastAsia" w:ascii="宋体" w:hAnsi="宋体" w:cs="宋体"/>
                <w:bCs/>
                <w:color w:val="auto"/>
                <w:spacing w:val="0"/>
                <w:sz w:val="24"/>
                <w:szCs w:val="21"/>
                <w:lang w:eastAsia="zh-CN"/>
              </w:rPr>
              <w:t>及时收集并交回农药经营者</w:t>
            </w:r>
            <w:r>
              <w:rPr>
                <w:rFonts w:hint="eastAsia" w:ascii="宋体" w:hAnsi="宋体" w:cs="宋体"/>
                <w:bCs/>
                <w:color w:val="auto"/>
                <w:spacing w:val="0"/>
                <w:sz w:val="24"/>
                <w:szCs w:val="21"/>
                <w:lang w:val="en-US" w:eastAsia="zh-CN"/>
              </w:rPr>
              <w:t>或</w:t>
            </w:r>
            <w:r>
              <w:rPr>
                <w:rFonts w:hint="eastAsia" w:ascii="宋体" w:hAnsi="宋体" w:cs="宋体"/>
                <w:bCs/>
                <w:color w:val="auto"/>
                <w:spacing w:val="0"/>
                <w:sz w:val="24"/>
                <w:szCs w:val="21"/>
                <w:lang w:eastAsia="zh-CN"/>
              </w:rPr>
              <w:t>交由</w:t>
            </w:r>
            <w:r>
              <w:rPr>
                <w:rFonts w:hint="eastAsia" w:ascii="宋体" w:hAnsi="宋体" w:cs="宋体"/>
                <w:bCs/>
                <w:color w:val="auto"/>
                <w:spacing w:val="0"/>
                <w:sz w:val="24"/>
                <w:szCs w:val="21"/>
                <w:lang w:val="en-US" w:eastAsia="zh-CN"/>
              </w:rPr>
              <w:t>专门的</w:t>
            </w:r>
            <w:r>
              <w:rPr>
                <w:rFonts w:hint="eastAsia" w:ascii="宋体" w:hAnsi="宋体" w:cs="宋体"/>
                <w:bCs/>
                <w:color w:val="auto"/>
                <w:spacing w:val="0"/>
                <w:sz w:val="24"/>
                <w:szCs w:val="21"/>
                <w:lang w:eastAsia="zh-CN"/>
              </w:rPr>
              <w:t>农药包装废弃物回收站（点）处置</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lang w:val="en-US" w:eastAsia="zh-CN"/>
              </w:rPr>
            </w:pPr>
            <w:r>
              <w:rPr>
                <w:rFonts w:hint="default" w:ascii="Times New Roman" w:hAnsi="Times New Roman" w:cs="Times New Roman"/>
                <w:color w:val="auto"/>
              </w:rPr>
              <w:t>（3）灌木杂草</w:t>
            </w:r>
            <w:r>
              <w:rPr>
                <w:rFonts w:hint="eastAsia" w:cs="Times New Roman"/>
                <w:color w:val="auto"/>
                <w:lang w:eastAsia="zh-CN"/>
              </w:rPr>
              <w:t>、枯枝落叶</w:t>
            </w:r>
            <w:r>
              <w:rPr>
                <w:rFonts w:hint="default" w:ascii="Times New Roman" w:hAnsi="Times New Roman" w:cs="Times New Roman"/>
                <w:color w:val="auto"/>
              </w:rPr>
              <w:t>及</w:t>
            </w:r>
            <w:r>
              <w:rPr>
                <w:rFonts w:hint="eastAsia" w:cs="Times New Roman"/>
                <w:color w:val="auto"/>
                <w:lang w:val="en-US" w:eastAsia="zh-CN"/>
              </w:rPr>
              <w:t>采伐枝叶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项目抚育管护过程需清除林地内的灌木杂草，同时对部分林木进行修剪，修剪过程中会产生少量的枯枝</w:t>
            </w:r>
            <w:r>
              <w:rPr>
                <w:rFonts w:hint="eastAsia" w:cs="Times New Roman"/>
                <w:color w:val="auto"/>
                <w:lang w:eastAsia="zh-CN"/>
              </w:rPr>
              <w:t>落叶</w:t>
            </w:r>
            <w:r>
              <w:rPr>
                <w:rFonts w:hint="default" w:ascii="Times New Roman" w:hAnsi="Times New Roman" w:cs="Times New Roman"/>
                <w:color w:val="auto"/>
              </w:rPr>
              <w:t>，</w:t>
            </w:r>
            <w:r>
              <w:rPr>
                <w:rFonts w:hint="eastAsia" w:cs="Times New Roman"/>
                <w:color w:val="auto"/>
                <w:lang w:val="en-US" w:eastAsia="zh-CN"/>
              </w:rPr>
              <w:t>采伐过程中会产生小的枝丫及落叶等，其中较大的枝丫与采伐木材一同运走。</w:t>
            </w:r>
            <w:r>
              <w:rPr>
                <w:rFonts w:hint="default" w:ascii="Times New Roman" w:hAnsi="Times New Roman" w:cs="Times New Roman"/>
                <w:color w:val="auto"/>
              </w:rPr>
              <w:t>根据业主提供的资料，灌木杂草</w:t>
            </w:r>
            <w:r>
              <w:rPr>
                <w:rFonts w:hint="eastAsia" w:cs="Times New Roman"/>
                <w:color w:val="auto"/>
                <w:lang w:eastAsia="zh-CN"/>
              </w:rPr>
              <w:t>、枯枝落叶</w:t>
            </w:r>
            <w:r>
              <w:rPr>
                <w:rFonts w:hint="default" w:ascii="Times New Roman" w:hAnsi="Times New Roman" w:cs="Times New Roman"/>
                <w:color w:val="auto"/>
              </w:rPr>
              <w:t>及</w:t>
            </w:r>
            <w:r>
              <w:rPr>
                <w:rFonts w:hint="eastAsia" w:cs="Times New Roman"/>
                <w:color w:val="auto"/>
                <w:lang w:val="en-US" w:eastAsia="zh-CN"/>
              </w:rPr>
              <w:t>采伐枝叶</w:t>
            </w:r>
            <w:r>
              <w:rPr>
                <w:rFonts w:hint="default" w:ascii="Times New Roman" w:hAnsi="Times New Roman" w:cs="Times New Roman"/>
                <w:color w:val="auto"/>
              </w:rPr>
              <w:t>产生量约为</w:t>
            </w:r>
            <w:r>
              <w:rPr>
                <w:rFonts w:hint="eastAsia" w:cs="Times New Roman"/>
                <w:color w:val="auto"/>
                <w:lang w:val="en-US" w:eastAsia="zh-CN"/>
              </w:rPr>
              <w:t>10</w:t>
            </w:r>
            <w:r>
              <w:rPr>
                <w:rFonts w:hint="default" w:ascii="Times New Roman" w:hAnsi="Times New Roman" w:cs="Times New Roman"/>
                <w:color w:val="auto"/>
              </w:rPr>
              <w:t>00t/a</w:t>
            </w:r>
            <w:r>
              <w:rPr>
                <w:rFonts w:hint="eastAsia" w:cs="Times New Roman"/>
                <w:color w:val="auto"/>
                <w:lang w:eastAsia="zh-CN"/>
              </w:rPr>
              <w:t>，</w:t>
            </w:r>
            <w:r>
              <w:rPr>
                <w:rFonts w:hint="eastAsia" w:cs="Times New Roman"/>
                <w:color w:val="auto"/>
                <w:lang w:val="en-US" w:eastAsia="zh-CN"/>
              </w:rPr>
              <w:t>该部分固废</w:t>
            </w:r>
            <w:r>
              <w:rPr>
                <w:rFonts w:hint="default" w:ascii="Times New Roman" w:hAnsi="Times New Roman" w:cs="Times New Roman"/>
                <w:color w:val="auto"/>
              </w:rPr>
              <w:t>无需进行管理，任其自然腐烂作为林地肥料。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（4）生活垃圾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营运期管理、养护、采伐人员均为雇佣的周边村民，村民日常活动会产生生活垃圾。根据业主提供的资料，管理及养护人员约8人，采伐人员按照林下经济黄精、茯苓及林木生产情况确定数量。因此运营期生活垃圾产生量按已确定人数的管理及养护人员的进行计算，产生量按1kg/人·d计，因此运营期管理及养护人员生活垃圾产生总量为8kg/d（2.4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7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default" w:ascii="Times New Roman" w:hAnsi="Times New Roman" w:eastAsia="宋体" w:cs="Times New Roman"/>
                <w:color w:val="auto"/>
                <w:kern w:val="0"/>
                <w:szCs w:val="21"/>
              </w:rPr>
            </w:pPr>
            <w:bookmarkStart w:id="12" w:name="_Toc24801"/>
            <w:r>
              <w:rPr>
                <w:rFonts w:hint="default" w:ascii="Times New Roman" w:hAnsi="Times New Roman" w:eastAsia="宋体" w:cs="Times New Roman"/>
                <w:color w:val="auto"/>
                <w:kern w:val="0"/>
                <w:szCs w:val="21"/>
              </w:rPr>
              <w:t>选</w:t>
            </w:r>
          </w:p>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址</w:t>
            </w:r>
          </w:p>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选</w:t>
            </w:r>
          </w:p>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线</w:t>
            </w:r>
          </w:p>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w:t>
            </w:r>
          </w:p>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境</w:t>
            </w:r>
          </w:p>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合</w:t>
            </w:r>
          </w:p>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理</w:t>
            </w:r>
          </w:p>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性</w:t>
            </w:r>
          </w:p>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分</w:t>
            </w:r>
          </w:p>
          <w:p>
            <w:pPr>
              <w:keepNext w:val="0"/>
              <w:keepLines w:val="0"/>
              <w:pageBreakBefore w:val="0"/>
              <w:widowControl w:val="0"/>
              <w:kinsoku/>
              <w:wordWrap/>
              <w:overflowPunct/>
              <w:topLinePunct w:val="0"/>
              <w:autoSpaceDE/>
              <w:autoSpaceDN/>
              <w:bidi w:val="0"/>
              <w:adjustRightInd w:val="0"/>
              <w:snapToGrid w:val="0"/>
              <w:spacing w:line="240" w:lineRule="auto"/>
              <w:ind w:left="-60" w:leftChars="-25" w:right="-60" w:rightChars="-25" w:firstLine="0" w:firstLineChars="0"/>
              <w:jc w:val="center"/>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kern w:val="0"/>
                <w:szCs w:val="21"/>
              </w:rPr>
              <w:t>析</w:t>
            </w:r>
          </w:p>
        </w:tc>
        <w:tc>
          <w:tcPr>
            <w:tcW w:w="829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本项目选址于</w:t>
            </w:r>
            <w:r>
              <w:rPr>
                <w:rFonts w:hint="default" w:ascii="Times New Roman" w:hAnsi="Times New Roman" w:eastAsia="宋体" w:cs="Times New Roman"/>
                <w:color w:val="auto"/>
                <w:lang w:val="en-US" w:eastAsia="zh-CN"/>
              </w:rPr>
              <w:t>蓬溪县</w:t>
            </w:r>
            <w:r>
              <w:rPr>
                <w:rFonts w:hint="eastAsia" w:cs="Times New Roman"/>
                <w:color w:val="auto"/>
                <w:lang w:val="en-US" w:eastAsia="zh-CN"/>
              </w:rPr>
              <w:t>文井镇、任隆镇、槐花镇、金桥镇、常乐镇、宝梵镇、吉祥镇、天福镇、大石镇、三凤镇、明月镇、红江镇、赤城镇、蓬南镇、鸣凤镇、新会镇、群利镇、荷叶乡、高升乡19</w:t>
            </w:r>
            <w:r>
              <w:rPr>
                <w:rFonts w:hint="default" w:ascii="Times New Roman" w:hAnsi="Times New Roman" w:eastAsia="宋体" w:cs="Times New Roman"/>
                <w:color w:val="auto"/>
                <w:lang w:val="en-US" w:eastAsia="zh-CN"/>
              </w:rPr>
              <w:t>个乡镇</w:t>
            </w:r>
            <w:r>
              <w:rPr>
                <w:rFonts w:hint="default" w:ascii="Times New Roman" w:hAnsi="Times New Roman" w:cs="Times New Roman"/>
                <w:color w:val="auto"/>
                <w:lang w:val="en-US" w:eastAsia="zh-CN"/>
              </w:rPr>
              <w:t>。通过现有林改培、中幼林抚育、林下经济等按照实际情况合理搭配；配套基础设施中</w:t>
            </w:r>
            <w:r>
              <w:rPr>
                <w:rFonts w:hint="eastAsia" w:ascii="Times New Roman" w:hAnsi="Times New Roman" w:cs="Times New Roman"/>
                <w:color w:val="auto"/>
                <w:lang w:val="en-US" w:eastAsia="zh-CN"/>
              </w:rPr>
              <w:t>防火通道、巡山步道、瞭望塔及消防水池等</w:t>
            </w:r>
            <w:r>
              <w:rPr>
                <w:rFonts w:hint="default" w:ascii="Times New Roman" w:hAnsi="Times New Roman" w:cs="Times New Roman"/>
                <w:color w:val="auto"/>
                <w:lang w:val="en-US" w:eastAsia="zh-CN"/>
              </w:rPr>
              <w:t>在储备林中穿插布设。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从地理位置上，蓬溪县处于新华夏系第三沉降带四川盆地的川中褶皱带内</w:t>
            </w:r>
            <w:r>
              <w:rPr>
                <w:rFonts w:hint="eastAsia" w:cs="Times New Roman"/>
                <w:color w:val="auto"/>
                <w:lang w:val="en-US" w:eastAsia="zh-CN"/>
              </w:rPr>
              <w:t>，</w:t>
            </w:r>
            <w:r>
              <w:rPr>
                <w:rFonts w:hint="default" w:ascii="Times New Roman" w:hAnsi="Times New Roman" w:cs="Times New Roman"/>
                <w:color w:val="auto"/>
                <w:lang w:val="en-US" w:eastAsia="zh-CN"/>
              </w:rPr>
              <w:t>基岩由火山岩和深变质岩系组成</w:t>
            </w:r>
            <w:r>
              <w:rPr>
                <w:rFonts w:hint="eastAsia" w:cs="Times New Roman"/>
                <w:color w:val="auto"/>
                <w:lang w:val="en-US" w:eastAsia="zh-CN"/>
              </w:rPr>
              <w:t>。</w:t>
            </w:r>
            <w:r>
              <w:rPr>
                <w:rFonts w:hint="default" w:ascii="Times New Roman" w:hAnsi="Times New Roman" w:cs="Times New Roman"/>
                <w:color w:val="auto"/>
                <w:lang w:val="en-US" w:eastAsia="zh-CN"/>
              </w:rPr>
              <w:t>属亚热带温湿季风气候，气候温和、雨量充沛、四季分明、冬暖春早、无霜期长、雨热同季。境内常年降水量为919.4毫米，最多年为1288.7毫米，最少年为521.5毫米</w:t>
            </w:r>
            <w:r>
              <w:rPr>
                <w:rFonts w:hint="eastAsia" w:cs="Times New Roman"/>
                <w:color w:val="auto"/>
                <w:lang w:val="en-US" w:eastAsia="zh-CN"/>
              </w:rPr>
              <w:t>，这种气候条件使得蓬溪县适合多种农作物生长，同时也为当地的生态环境提供了良好的基础，适合本项目的实施</w:t>
            </w:r>
            <w:r>
              <w:rPr>
                <w:rFonts w:hint="default" w:ascii="Times New Roman" w:hAnsi="Times New Roman" w:cs="Times New Roman"/>
                <w:color w:val="auto"/>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从环保角度看，项目建设主要影响周边水环境、大气环境、声环境、固体环境、生态环境等方面，经采取相应的环保措施后，能最大限度地减轻对周边环境的影响。项目周边不涉及自然保护区、风景名胜区、地质公园等生态敏感区，但涉及水土流失重点防治区及治理区。通过采取施工期及运营期</w:t>
            </w:r>
            <w:r>
              <w:rPr>
                <w:rFonts w:hint="eastAsia" w:cs="Times New Roman"/>
                <w:color w:val="auto"/>
                <w:lang w:val="en-US" w:eastAsia="zh-CN"/>
              </w:rPr>
              <w:t>水土</w:t>
            </w:r>
            <w:r>
              <w:rPr>
                <w:rFonts w:hint="default" w:ascii="Times New Roman" w:hAnsi="Times New Roman" w:cs="Times New Roman"/>
                <w:color w:val="auto"/>
                <w:lang w:val="en-US" w:eastAsia="zh-CN"/>
              </w:rPr>
              <w:t>流失保护措施后，可有效降低项目建设对水土流失的影响，</w:t>
            </w:r>
            <w:r>
              <w:rPr>
                <w:rFonts w:hint="eastAsia" w:cs="Times New Roman"/>
                <w:color w:val="auto"/>
                <w:lang w:val="en-US" w:eastAsia="zh-CN"/>
              </w:rPr>
              <w:t>对区域生态环境有改善效果，还有利于林业产业的可持续发展。</w:t>
            </w:r>
            <w:r>
              <w:rPr>
                <w:rFonts w:hint="default" w:ascii="Times New Roman" w:hAnsi="Times New Roman" w:cs="Times New Roman"/>
                <w:color w:val="auto"/>
                <w:lang w:val="en-US" w:eastAsia="zh-CN"/>
              </w:rPr>
              <w:t>此外，项目区无珍稀濒危野生动植物分布。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lang w:val="en-US" w:eastAsia="zh-CN"/>
              </w:rPr>
              <w:t>综上所述，本项目选址合理。</w:t>
            </w:r>
          </w:p>
        </w:tc>
      </w:tr>
    </w:tbl>
    <w:p>
      <w:pPr>
        <w:rPr>
          <w:rFonts w:hint="eastAsia"/>
          <w:color w:val="auto"/>
          <w:lang w:val="en-US" w:eastAsia="zh-CN"/>
        </w:rPr>
      </w:pPr>
      <w:r>
        <w:rPr>
          <w:rFonts w:hint="eastAsia"/>
          <w:color w:val="auto"/>
          <w:lang w:val="en-US" w:eastAsia="zh-CN"/>
        </w:rPr>
        <w:br w:type="page"/>
      </w:r>
    </w:p>
    <w:p>
      <w:pPr>
        <w:pStyle w:val="34"/>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color w:val="auto"/>
          <w:lang w:val="en-US" w:eastAsia="zh-CN"/>
        </w:rPr>
      </w:pPr>
      <w:r>
        <w:rPr>
          <w:rFonts w:hint="eastAsia"/>
          <w:color w:val="auto"/>
          <w:lang w:val="en-US" w:eastAsia="zh-CN"/>
        </w:rPr>
        <w:t>五、主要生态环境保护措施</w:t>
      </w:r>
      <w:bookmarkEnd w:id="12"/>
    </w:p>
    <w:tbl>
      <w:tblPr>
        <w:tblStyle w:val="22"/>
        <w:tblW w:w="867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0"/>
        <w:gridCol w:w="82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52" w:hRule="atLeast"/>
          <w:jc w:val="center"/>
        </w:trPr>
        <w:tc>
          <w:tcPr>
            <w:tcW w:w="46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施工期生态环境保护措施</w:t>
            </w:r>
          </w:p>
        </w:tc>
        <w:tc>
          <w:tcPr>
            <w:tcW w:w="82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val="0"/>
                <w:color w:val="auto"/>
                <w:spacing w:val="0"/>
                <w:sz w:val="24"/>
                <w:szCs w:val="21"/>
              </w:rPr>
            </w:pPr>
            <w:r>
              <w:rPr>
                <w:rFonts w:hint="default" w:ascii="Times New Roman" w:hAnsi="Times New Roman" w:cs="Times New Roman"/>
                <w:b/>
                <w:bCs w:val="0"/>
                <w:color w:val="auto"/>
                <w:spacing w:val="0"/>
                <w:sz w:val="24"/>
                <w:szCs w:val="21"/>
              </w:rPr>
              <w:t>一、施工期生态保护措施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val="en-US" w:eastAsia="zh-CN"/>
              </w:rPr>
            </w:pPr>
            <w:r>
              <w:rPr>
                <w:rFonts w:hint="eastAsia" w:cs="Times New Roman"/>
                <w:bCs/>
                <w:color w:val="auto"/>
                <w:spacing w:val="0"/>
                <w:sz w:val="24"/>
                <w:szCs w:val="21"/>
                <w:lang w:val="en-US" w:eastAsia="zh-CN"/>
              </w:rPr>
              <w:t>具体见生态专项第4章 生态环境保护措施和对策建议，此处不再赘述。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val="0"/>
                <w:color w:val="auto"/>
                <w:spacing w:val="0"/>
                <w:sz w:val="24"/>
                <w:szCs w:val="21"/>
                <w:lang w:eastAsia="zh-CN"/>
              </w:rPr>
            </w:pPr>
            <w:r>
              <w:rPr>
                <w:rFonts w:hint="default" w:ascii="Times New Roman" w:hAnsi="Times New Roman" w:cs="Times New Roman"/>
                <w:b/>
                <w:bCs w:val="0"/>
                <w:color w:val="auto"/>
                <w:spacing w:val="0"/>
                <w:sz w:val="24"/>
                <w:szCs w:val="21"/>
                <w:lang w:eastAsia="zh-CN"/>
              </w:rPr>
              <w:t>二、施工期水环境保护措施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本项目林区道路建设等配套建设设施施工过程中产生的施工废水主要来自施工过程中混凝土养护排水、桩基施工产生的泥浆废水、建筑物料喷洒及少量的机械泥土清洗产生的施工废水，施工废水中主要污染物是泥土等悬浮物，可在项目施工场区内修建临时沉淀池，使施工废水悬浮物沉淀，经沉淀处理后回用，不会对周边水环境产生较大不利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本项目施工期总施工人员约200人，施工人员为</w:t>
            </w:r>
            <w:r>
              <w:rPr>
                <w:rFonts w:hint="eastAsia" w:cs="Times New Roman"/>
                <w:bCs/>
                <w:color w:val="auto"/>
                <w:spacing w:val="0"/>
                <w:sz w:val="24"/>
                <w:szCs w:val="21"/>
                <w:lang w:eastAsia="zh-CN"/>
              </w:rPr>
              <w:t>蓬溪</w:t>
            </w:r>
            <w:r>
              <w:rPr>
                <w:rFonts w:hint="default" w:ascii="Times New Roman" w:hAnsi="Times New Roman" w:cs="Times New Roman"/>
                <w:bCs/>
                <w:color w:val="auto"/>
                <w:spacing w:val="0"/>
                <w:sz w:val="24"/>
                <w:szCs w:val="21"/>
                <w:lang w:eastAsia="zh-CN"/>
              </w:rPr>
              <w:t>县</w:t>
            </w:r>
            <w:r>
              <w:rPr>
                <w:rFonts w:hint="eastAsia" w:cs="Times New Roman"/>
                <w:bCs/>
                <w:color w:val="auto"/>
                <w:spacing w:val="0"/>
                <w:sz w:val="24"/>
                <w:szCs w:val="21"/>
                <w:lang w:val="en-US" w:eastAsia="zh-CN"/>
              </w:rPr>
              <w:t>各</w:t>
            </w:r>
            <w:r>
              <w:rPr>
                <w:rFonts w:hint="default" w:ascii="Times New Roman" w:hAnsi="Times New Roman" w:cs="Times New Roman"/>
                <w:bCs/>
                <w:color w:val="auto"/>
                <w:spacing w:val="0"/>
                <w:sz w:val="24"/>
                <w:szCs w:val="21"/>
                <w:lang w:eastAsia="zh-CN"/>
              </w:rPr>
              <w:t>施工场地附近的村民，全部回家解决食宿。施工生活污水</w:t>
            </w:r>
            <w:r>
              <w:rPr>
                <w:rFonts w:hint="eastAsia" w:cs="Times New Roman"/>
                <w:bCs/>
                <w:color w:val="auto"/>
                <w:spacing w:val="0"/>
                <w:sz w:val="24"/>
                <w:szCs w:val="21"/>
                <w:lang w:val="en-US" w:eastAsia="zh-CN"/>
              </w:rPr>
              <w:t>依托民房已建污水处理设施</w:t>
            </w:r>
            <w:r>
              <w:rPr>
                <w:rFonts w:hint="default" w:ascii="Times New Roman" w:hAnsi="Times New Roman" w:cs="Times New Roman"/>
                <w:bCs/>
                <w:color w:val="auto"/>
                <w:spacing w:val="0"/>
                <w:sz w:val="24"/>
                <w:szCs w:val="21"/>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val="0"/>
                <w:color w:val="auto"/>
                <w:spacing w:val="0"/>
                <w:sz w:val="24"/>
                <w:szCs w:val="21"/>
                <w:lang w:eastAsia="zh-CN"/>
              </w:rPr>
            </w:pPr>
            <w:r>
              <w:rPr>
                <w:rFonts w:hint="default" w:ascii="Times New Roman" w:hAnsi="Times New Roman" w:cs="Times New Roman"/>
                <w:b/>
                <w:bCs w:val="0"/>
                <w:color w:val="auto"/>
                <w:spacing w:val="0"/>
                <w:sz w:val="24"/>
                <w:szCs w:val="21"/>
                <w:lang w:eastAsia="zh-CN"/>
              </w:rPr>
              <w:t>三、施工期环境空气保护措施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林区道路施工过程中对大气环境的影响主要为施工扬尘，建设单位采取如下防治措施：运输车辆运输时，采取覆盖措施，防止扬尘的产生，运输道路进行洒水抑尘；禁止在大风天气进行开挖、回填、渣土堆放、转运作业，建材堆放地点相对集中，临时废弃土石堆场及时清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挖穴平整及种植过程中产生扬尘量较少，主要为无组织排放，项目区域范围内主要为林地，对扬尘有一定的净化作用，对环境影响较小，随着施工期的结束，影响也随之消失。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val="0"/>
                <w:color w:val="auto"/>
                <w:spacing w:val="0"/>
                <w:sz w:val="24"/>
                <w:szCs w:val="21"/>
                <w:lang w:eastAsia="zh-CN"/>
              </w:rPr>
            </w:pPr>
            <w:r>
              <w:rPr>
                <w:rFonts w:hint="default" w:ascii="Times New Roman" w:hAnsi="Times New Roman" w:cs="Times New Roman"/>
                <w:b/>
                <w:bCs w:val="0"/>
                <w:color w:val="auto"/>
                <w:spacing w:val="0"/>
                <w:sz w:val="24"/>
                <w:szCs w:val="21"/>
                <w:lang w:eastAsia="zh-CN"/>
              </w:rPr>
              <w:t>四、施工期声环境防治措施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本项目林区道路等辅助设施建设施工过程中需要使用多种施工机械和运输车辆，部分设备会辐射出强烈的噪声，本项目使用的施工机械主要有挖掘机、推土机、装载机、压路机等，运输车辆包括各种卡车、自卸车；挖穴平整及种植过程</w:t>
            </w:r>
            <w:r>
              <w:rPr>
                <w:rFonts w:hint="eastAsia" w:cs="Times New Roman"/>
                <w:bCs/>
                <w:color w:val="auto"/>
                <w:spacing w:val="0"/>
                <w:sz w:val="24"/>
                <w:szCs w:val="21"/>
                <w:lang w:eastAsia="zh-CN"/>
              </w:rPr>
              <w:t>采用</w:t>
            </w:r>
            <w:r>
              <w:rPr>
                <w:rFonts w:hint="default" w:ascii="Times New Roman" w:hAnsi="Times New Roman" w:cs="Times New Roman"/>
                <w:bCs/>
                <w:color w:val="auto"/>
                <w:spacing w:val="0"/>
                <w:sz w:val="24"/>
                <w:szCs w:val="21"/>
                <w:lang w:eastAsia="zh-CN"/>
              </w:rPr>
              <w:t>人工方式，产生的噪声较小。由于本项目为储备林建设项目，周围植被较多，噪声对环境影响较小。同时，环评要求建设单位需做到以下噪声污染防治措施：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施工单位必须选用符合国家有关标准的施工机械和运输车辆，尽量选用低噪声的施工机械和工艺</w:t>
            </w:r>
            <w:r>
              <w:rPr>
                <w:rFonts w:hint="eastAsia" w:cs="Times New Roman"/>
                <w:bCs/>
                <w:color w:val="auto"/>
                <w:spacing w:val="0"/>
                <w:sz w:val="24"/>
                <w:szCs w:val="21"/>
                <w:lang w:eastAsia="zh-CN"/>
              </w:rPr>
              <w:t>，</w:t>
            </w:r>
            <w:r>
              <w:rPr>
                <w:rFonts w:hint="eastAsia" w:cs="Times New Roman"/>
                <w:bCs/>
                <w:color w:val="auto"/>
                <w:spacing w:val="0"/>
                <w:sz w:val="24"/>
                <w:szCs w:val="21"/>
                <w:lang w:val="en-US" w:eastAsia="zh-CN"/>
              </w:rPr>
              <w:t>禁止夜间施工</w:t>
            </w:r>
            <w:r>
              <w:rPr>
                <w:rFonts w:hint="default" w:ascii="Times New Roman" w:hAnsi="Times New Roman" w:cs="Times New Roman"/>
                <w:bCs/>
                <w:color w:val="auto"/>
                <w:spacing w:val="0"/>
                <w:sz w:val="24"/>
                <w:szCs w:val="21"/>
                <w:lang w:eastAsia="zh-CN"/>
              </w:rPr>
              <w:t>。振动较大的固定机械设备应加装减振机座，同时应注意对设备的养护和正确的操作，尽量使筑路机械的噪声维持在最低水平。对施工车辆造成的噪声影响要加强管理，运输车辆所经过的道路禁止鸣笛，减少交通噪声，以免影响沿途居民的正常生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通过采取以上措施，可最大限度地减少施工噪声对周围环境的影响，满足《建筑施工场界环境噪声排放标准》（GB12523-2011）的要求，对环境影响较小。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val="0"/>
                <w:color w:val="auto"/>
                <w:spacing w:val="0"/>
                <w:sz w:val="24"/>
                <w:szCs w:val="21"/>
                <w:lang w:eastAsia="zh-CN"/>
              </w:rPr>
            </w:pPr>
            <w:r>
              <w:rPr>
                <w:rFonts w:hint="default" w:ascii="Times New Roman" w:hAnsi="Times New Roman" w:cs="Times New Roman"/>
                <w:b/>
                <w:bCs w:val="0"/>
                <w:color w:val="auto"/>
                <w:spacing w:val="0"/>
                <w:sz w:val="24"/>
                <w:szCs w:val="21"/>
                <w:lang w:eastAsia="zh-CN"/>
              </w:rPr>
              <w:t>五、施工期固体废物防治措施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一般固废：项目施工期产生的弃土基本可做到挖填平衡，开挖的弃土集中堆放，之后全部回填，不外排；施肥产生的废弃包装袋统一收集后</w:t>
            </w:r>
            <w:r>
              <w:rPr>
                <w:rFonts w:hint="eastAsia" w:cs="Times New Roman"/>
                <w:bCs/>
                <w:color w:val="auto"/>
                <w:spacing w:val="0"/>
                <w:sz w:val="24"/>
                <w:szCs w:val="21"/>
                <w:lang w:eastAsia="zh-CN"/>
              </w:rPr>
              <w:t>外售</w:t>
            </w:r>
            <w:r>
              <w:rPr>
                <w:rFonts w:hint="default" w:ascii="Times New Roman" w:hAnsi="Times New Roman" w:cs="Times New Roman"/>
                <w:bCs/>
                <w:color w:val="auto"/>
                <w:spacing w:val="0"/>
                <w:sz w:val="24"/>
                <w:szCs w:val="21"/>
                <w:lang w:eastAsia="zh-CN"/>
              </w:rPr>
              <w:t>废品回收公司处置；生活垃圾集中收集后运至环卫部门指定的场所定期清运。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val="0"/>
                <w:color w:val="auto"/>
                <w:spacing w:val="0"/>
                <w:sz w:val="24"/>
                <w:szCs w:val="21"/>
                <w:lang w:val="en-US" w:eastAsia="zh-CN"/>
              </w:rPr>
            </w:pPr>
            <w:r>
              <w:rPr>
                <w:rFonts w:hint="default" w:ascii="Times New Roman" w:hAnsi="Times New Roman" w:cs="Times New Roman"/>
                <w:b/>
                <w:bCs w:val="0"/>
                <w:color w:val="auto"/>
                <w:spacing w:val="0"/>
                <w:sz w:val="24"/>
                <w:szCs w:val="21"/>
                <w:lang w:val="en-US" w:eastAsia="zh-CN"/>
              </w:rPr>
              <w:t>六、施工期对饮用水源保护区保护措施</w:t>
            </w:r>
          </w:p>
          <w:p>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kern w:val="0"/>
                <w:sz w:val="24"/>
                <w:lang w:val="en-US" w:eastAsia="zh-CN" w:bidi="ar"/>
              </w:rPr>
              <w:t>项目林业部分涉及赤城湖水库饮用水源保护区二级保护区陆域、遂宁市黑龙凼水库水源地饮用水源保护区二级保护区陆域，赤城湖片区</w:t>
            </w:r>
            <w:r>
              <w:rPr>
                <w:rFonts w:hint="default" w:ascii="Times New Roman" w:hAnsi="Times New Roman" w:eastAsia="宋体" w:cs="Times New Roman"/>
                <w:color w:val="auto"/>
                <w:kern w:val="0"/>
                <w:sz w:val="24"/>
                <w:lang w:val="en-US" w:eastAsia="zh-CN" w:bidi="ar"/>
              </w:rPr>
              <w:t>巡护道路涉及赤城湖水库水源地二级保护区陆域</w:t>
            </w:r>
            <w:r>
              <w:rPr>
                <w:rFonts w:hint="default" w:ascii="Times New Roman" w:hAnsi="Times New Roman" w:cs="Times New Roman"/>
                <w:bCs/>
                <w:color w:val="auto"/>
                <w:spacing w:val="0"/>
                <w:sz w:val="24"/>
                <w:szCs w:val="21"/>
                <w:lang w:val="en-US" w:eastAsia="zh-CN"/>
              </w:rPr>
              <w:t>。为保护饮用水源，</w:t>
            </w:r>
            <w:r>
              <w:rPr>
                <w:rFonts w:hint="default" w:ascii="Times New Roman" w:hAnsi="Times New Roman" w:eastAsia="宋体" w:cs="Times New Roman"/>
                <w:color w:val="auto"/>
                <w:kern w:val="0"/>
                <w:sz w:val="24"/>
                <w:szCs w:val="24"/>
                <w:lang w:val="en-US" w:eastAsia="zh-CN" w:bidi="ar"/>
              </w:rPr>
              <w:t>本环评要求：</w:t>
            </w:r>
          </w:p>
          <w:p>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（1）严格控制施工范围，尽量减少饮用水源保护区内施工活动。</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（2）在饮用水水源保护区内不设置车辆冲洗、临时堆场等设施。 </w:t>
            </w:r>
          </w:p>
          <w:p>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w:t>
            </w:r>
            <w:r>
              <w:rPr>
                <w:rFonts w:hint="default" w:ascii="Times New Roman" w:hAnsi="Times New Roman" w:cs="Times New Roman"/>
                <w:color w:val="auto"/>
                <w:sz w:val="24"/>
                <w:lang w:val="en-US" w:eastAsia="zh-CN"/>
              </w:rPr>
              <w:t>施工材料堆放于远离水体，随用随运，不在现场大量堆存，并应采取遮盖措施，避免雨水冲刷。</w:t>
            </w:r>
          </w:p>
          <w:p>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（4）施工过程中不在保护区内倾倒垃圾，不运输有毒有害物质，不使用剧毒和高残留农药以及化肥，不向水域排放污染物。</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bCs/>
                <w:color w:val="auto"/>
                <w:spacing w:val="0"/>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87" w:hRule="atLeast"/>
          <w:jc w:val="center"/>
        </w:trPr>
        <w:tc>
          <w:tcPr>
            <w:tcW w:w="46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运营期生态环境保护措施</w:t>
            </w:r>
          </w:p>
        </w:tc>
        <w:tc>
          <w:tcPr>
            <w:tcW w:w="82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bCs w:val="0"/>
                <w:color w:val="auto"/>
                <w:spacing w:val="0"/>
                <w:sz w:val="24"/>
                <w:szCs w:val="21"/>
                <w:lang w:eastAsia="zh-CN"/>
              </w:rPr>
            </w:pPr>
            <w:r>
              <w:rPr>
                <w:rFonts w:hint="eastAsia" w:ascii="宋体" w:hAnsi="宋体" w:cs="宋体"/>
                <w:b/>
                <w:bCs w:val="0"/>
                <w:color w:val="auto"/>
                <w:spacing w:val="0"/>
                <w:sz w:val="24"/>
                <w:szCs w:val="21"/>
                <w:lang w:eastAsia="zh-CN"/>
              </w:rPr>
              <w:t>一、运营期生态保护措施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bCs/>
                <w:color w:val="auto"/>
                <w:spacing w:val="0"/>
                <w:sz w:val="24"/>
                <w:szCs w:val="21"/>
                <w:lang w:val="en-US" w:eastAsia="zh-CN"/>
              </w:rPr>
            </w:pPr>
            <w:r>
              <w:rPr>
                <w:rFonts w:hint="eastAsia" w:cs="Times New Roman"/>
                <w:bCs/>
                <w:color w:val="auto"/>
                <w:spacing w:val="0"/>
                <w:sz w:val="24"/>
                <w:szCs w:val="21"/>
                <w:lang w:val="en-US" w:eastAsia="zh-CN"/>
              </w:rPr>
              <w:t>具体见生态专项第4章 生态环境保护措施和对策建议，此处不再赘述。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bCs w:val="0"/>
                <w:color w:val="auto"/>
                <w:spacing w:val="0"/>
                <w:sz w:val="24"/>
                <w:szCs w:val="21"/>
                <w:lang w:eastAsia="zh-CN"/>
              </w:rPr>
            </w:pPr>
            <w:r>
              <w:rPr>
                <w:rFonts w:hint="eastAsia" w:ascii="宋体" w:hAnsi="宋体" w:cs="宋体"/>
                <w:b/>
                <w:bCs w:val="0"/>
                <w:color w:val="auto"/>
                <w:spacing w:val="0"/>
                <w:sz w:val="24"/>
                <w:szCs w:val="21"/>
                <w:lang w:eastAsia="zh-CN"/>
              </w:rPr>
              <w:t>二、运营期环境空气保护措施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Cs/>
                <w:color w:val="auto"/>
                <w:spacing w:val="0"/>
                <w:sz w:val="24"/>
                <w:szCs w:val="21"/>
                <w:lang w:eastAsia="zh-CN"/>
              </w:rPr>
            </w:pPr>
            <w:r>
              <w:rPr>
                <w:rFonts w:hint="eastAsia" w:ascii="宋体" w:hAnsi="宋体" w:cs="宋体"/>
                <w:bCs/>
                <w:color w:val="auto"/>
                <w:spacing w:val="0"/>
                <w:sz w:val="24"/>
                <w:szCs w:val="21"/>
                <w:lang w:eastAsia="zh-CN"/>
              </w:rPr>
              <w:t>本项目运营期废气主要为</w:t>
            </w:r>
            <w:r>
              <w:rPr>
                <w:rFonts w:hint="eastAsia" w:ascii="宋体" w:hAnsi="宋体" w:cs="宋体"/>
                <w:bCs/>
                <w:color w:val="auto"/>
                <w:spacing w:val="0"/>
                <w:sz w:val="24"/>
                <w:szCs w:val="21"/>
                <w:lang w:val="en-US" w:eastAsia="zh-CN"/>
              </w:rPr>
              <w:t>农药废气、</w:t>
            </w:r>
            <w:r>
              <w:rPr>
                <w:rFonts w:hint="eastAsia" w:ascii="宋体" w:hAnsi="宋体" w:cs="宋体"/>
                <w:bCs/>
                <w:color w:val="auto"/>
                <w:spacing w:val="0"/>
                <w:sz w:val="24"/>
                <w:szCs w:val="21"/>
                <w:lang w:eastAsia="zh-CN"/>
              </w:rPr>
              <w:t>采伐油锯产生的少量无组织废气、运输车辆进场产生的扬尘及车辆尾气。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Cs/>
                <w:color w:val="auto"/>
                <w:spacing w:val="0"/>
                <w:sz w:val="24"/>
                <w:szCs w:val="21"/>
                <w:lang w:eastAsia="zh-CN"/>
              </w:rPr>
            </w:pPr>
            <w:r>
              <w:rPr>
                <w:rFonts w:hint="eastAsia" w:ascii="宋体" w:hAnsi="宋体" w:cs="宋体"/>
                <w:bCs/>
                <w:color w:val="auto"/>
                <w:spacing w:val="0"/>
                <w:sz w:val="24"/>
                <w:szCs w:val="21"/>
                <w:lang w:eastAsia="zh-CN"/>
              </w:rPr>
              <w:t>农药产生的微量异味属于间断性排放，施肥施药采用精准施药技术，选用高效、低毒、低残留的农药，可以降低农药与化肥对周边环境的影响；林木采伐粉尘、运输扬尘及燃油废气</w:t>
            </w:r>
            <w:r>
              <w:rPr>
                <w:rFonts w:hint="eastAsia" w:ascii="宋体" w:hAnsi="宋体" w:cs="宋体"/>
                <w:bCs/>
                <w:color w:val="auto"/>
                <w:spacing w:val="0"/>
                <w:sz w:val="24"/>
                <w:szCs w:val="21"/>
                <w:lang w:val="en-US" w:eastAsia="zh-CN"/>
              </w:rPr>
              <w:t>等均</w:t>
            </w:r>
            <w:r>
              <w:rPr>
                <w:rFonts w:hint="eastAsia" w:ascii="宋体" w:hAnsi="宋体" w:cs="宋体"/>
                <w:bCs/>
                <w:color w:val="auto"/>
                <w:spacing w:val="0"/>
                <w:sz w:val="24"/>
                <w:szCs w:val="21"/>
                <w:lang w:eastAsia="zh-CN"/>
              </w:rPr>
              <w:t>自然稀释扩散，由于项目区比较空旷，空气流动性好，且地处山林之中，周边树木对大气有一定的净化作用，因此运营期产生的废气对周围环境影响较小。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bCs w:val="0"/>
                <w:color w:val="auto"/>
                <w:spacing w:val="0"/>
                <w:sz w:val="24"/>
                <w:szCs w:val="21"/>
                <w:lang w:eastAsia="zh-CN"/>
              </w:rPr>
            </w:pPr>
            <w:r>
              <w:rPr>
                <w:rFonts w:hint="eastAsia" w:ascii="宋体" w:hAnsi="宋体" w:cs="宋体"/>
                <w:b/>
                <w:bCs w:val="0"/>
                <w:color w:val="auto"/>
                <w:spacing w:val="0"/>
                <w:sz w:val="24"/>
                <w:szCs w:val="21"/>
                <w:lang w:eastAsia="zh-CN"/>
              </w:rPr>
              <w:t>三、营运期水环境保护措施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Cs/>
                <w:color w:val="auto"/>
                <w:spacing w:val="0"/>
                <w:sz w:val="24"/>
                <w:szCs w:val="21"/>
                <w:lang w:val="en-US" w:eastAsia="zh-CN"/>
              </w:rPr>
            </w:pPr>
            <w:r>
              <w:rPr>
                <w:rFonts w:hint="eastAsia" w:ascii="宋体" w:hAnsi="宋体" w:cs="宋体"/>
                <w:bCs/>
                <w:color w:val="auto"/>
                <w:spacing w:val="0"/>
                <w:sz w:val="24"/>
                <w:szCs w:val="21"/>
                <w:lang w:eastAsia="zh-CN"/>
              </w:rPr>
              <w:t>本项目营运期采伐人员为雇佣的周边村民，回家解决食宿，故无生活污水产生。管理</w:t>
            </w:r>
            <w:r>
              <w:rPr>
                <w:rFonts w:hint="eastAsia" w:ascii="宋体" w:hAnsi="宋体" w:cs="宋体"/>
                <w:bCs/>
                <w:color w:val="auto"/>
                <w:spacing w:val="0"/>
                <w:sz w:val="24"/>
                <w:szCs w:val="21"/>
                <w:lang w:val="en-US" w:eastAsia="zh-CN"/>
              </w:rPr>
              <w:t>用房产生的生活污水经化粪池处理后用于周边山林、农田作为农肥消纳。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bCs w:val="0"/>
                <w:color w:val="auto"/>
                <w:spacing w:val="0"/>
                <w:sz w:val="24"/>
                <w:szCs w:val="21"/>
                <w:lang w:eastAsia="zh-CN"/>
              </w:rPr>
            </w:pPr>
            <w:r>
              <w:rPr>
                <w:rFonts w:hint="eastAsia" w:ascii="宋体" w:hAnsi="宋体" w:cs="宋体"/>
                <w:b/>
                <w:bCs w:val="0"/>
                <w:color w:val="auto"/>
                <w:spacing w:val="0"/>
                <w:sz w:val="24"/>
                <w:szCs w:val="21"/>
                <w:lang w:eastAsia="zh-CN"/>
              </w:rPr>
              <w:t>四、营运期声环境防治措施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Cs/>
                <w:color w:val="auto"/>
                <w:spacing w:val="0"/>
                <w:sz w:val="24"/>
                <w:szCs w:val="21"/>
                <w:lang w:eastAsia="zh-CN"/>
              </w:rPr>
            </w:pPr>
            <w:r>
              <w:rPr>
                <w:rFonts w:hint="eastAsia" w:ascii="宋体" w:hAnsi="宋体" w:cs="宋体"/>
                <w:bCs/>
                <w:color w:val="auto"/>
                <w:spacing w:val="0"/>
                <w:sz w:val="24"/>
                <w:szCs w:val="21"/>
                <w:lang w:eastAsia="zh-CN"/>
              </w:rPr>
              <w:t>本项目营运期噪声主要来源于采伐过程使用油锯时产生的设备噪声、林木采伐及林下经济收获时进出车辆产生的交通噪声、人员活动噪声，为不连续性噪声。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Cs/>
                <w:color w:val="auto"/>
                <w:spacing w:val="0"/>
                <w:sz w:val="24"/>
                <w:szCs w:val="21"/>
                <w:lang w:eastAsia="zh-CN"/>
              </w:rPr>
            </w:pPr>
            <w:r>
              <w:rPr>
                <w:rFonts w:hint="eastAsia" w:ascii="宋体" w:hAnsi="宋体" w:cs="宋体"/>
                <w:bCs/>
                <w:color w:val="auto"/>
                <w:spacing w:val="0"/>
                <w:sz w:val="24"/>
                <w:szCs w:val="21"/>
                <w:lang w:eastAsia="zh-CN"/>
              </w:rPr>
              <w:t>选用高效低噪设备；定期检修清理设备，防止因设备故障产生的噪声；合理安排作业时间、夜间不得采伐；在路口设置限速牌、途经居民路段控制运输车辆的行驶车速，减少鸣笛。项目地处山林，且周边树木对噪声有一定的吸声作用，故项目噪声对周边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bCs w:val="0"/>
                <w:color w:val="auto"/>
                <w:spacing w:val="0"/>
                <w:sz w:val="24"/>
                <w:szCs w:val="21"/>
                <w:lang w:eastAsia="zh-CN"/>
              </w:rPr>
            </w:pPr>
            <w:r>
              <w:rPr>
                <w:rFonts w:hint="eastAsia" w:ascii="宋体" w:hAnsi="宋体" w:cs="宋体"/>
                <w:b/>
                <w:bCs w:val="0"/>
                <w:color w:val="auto"/>
                <w:spacing w:val="0"/>
                <w:sz w:val="24"/>
                <w:szCs w:val="21"/>
                <w:lang w:eastAsia="zh-CN"/>
              </w:rPr>
              <w:t>五、营运期固体废物防治措施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Cs/>
                <w:color w:val="auto"/>
                <w:spacing w:val="0"/>
                <w:sz w:val="24"/>
                <w:szCs w:val="21"/>
                <w:lang w:eastAsia="zh-CN"/>
              </w:rPr>
            </w:pPr>
            <w:r>
              <w:rPr>
                <w:rFonts w:hint="eastAsia" w:ascii="宋体" w:hAnsi="宋体" w:cs="宋体"/>
                <w:bCs/>
                <w:color w:val="auto"/>
                <w:spacing w:val="0"/>
                <w:sz w:val="24"/>
                <w:szCs w:val="21"/>
                <w:lang w:eastAsia="zh-CN"/>
              </w:rPr>
              <w:t>项目抚育管护过程中施肥后产生的废弃包装袋，经收集后外售废品回收公司处置；清理的灌木杂草及产生的枯枝落叶无需进行管理，任其自然腐烂作为林地肥料；管理、养护、采伐人员产生的生活垃圾运至环卫部门指定的场所定期清运。农药废弃包装物</w:t>
            </w:r>
            <w:r>
              <w:rPr>
                <w:rFonts w:hint="eastAsia" w:cs="Times New Roman"/>
                <w:color w:val="auto"/>
                <w:lang w:val="en-US" w:eastAsia="zh-CN"/>
              </w:rPr>
              <w:t>依据</w:t>
            </w:r>
            <w:r>
              <w:rPr>
                <w:rFonts w:hint="default" w:ascii="Times New Roman" w:hAnsi="Times New Roman" w:cs="Times New Roman"/>
                <w:color w:val="auto"/>
              </w:rPr>
              <w:t>《农药包装废弃物回收处理管理办法》</w:t>
            </w:r>
            <w:r>
              <w:rPr>
                <w:rFonts w:hint="eastAsia" w:ascii="宋体" w:hAnsi="宋体" w:cs="宋体"/>
                <w:bCs/>
                <w:color w:val="auto"/>
                <w:spacing w:val="0"/>
                <w:sz w:val="24"/>
                <w:szCs w:val="21"/>
                <w:lang w:eastAsia="zh-CN"/>
              </w:rPr>
              <w:t>及时收集并交回农药经营者</w:t>
            </w:r>
            <w:r>
              <w:rPr>
                <w:rFonts w:hint="eastAsia" w:ascii="宋体" w:hAnsi="宋体" w:cs="宋体"/>
                <w:bCs/>
                <w:color w:val="auto"/>
                <w:spacing w:val="0"/>
                <w:sz w:val="24"/>
                <w:szCs w:val="21"/>
                <w:lang w:val="en-US" w:eastAsia="zh-CN"/>
              </w:rPr>
              <w:t>或</w:t>
            </w:r>
            <w:r>
              <w:rPr>
                <w:rFonts w:hint="eastAsia" w:ascii="宋体" w:hAnsi="宋体" w:cs="宋体"/>
                <w:bCs/>
                <w:color w:val="auto"/>
                <w:spacing w:val="0"/>
                <w:sz w:val="24"/>
                <w:szCs w:val="21"/>
                <w:lang w:eastAsia="zh-CN"/>
              </w:rPr>
              <w:t>交由</w:t>
            </w:r>
            <w:r>
              <w:rPr>
                <w:rFonts w:hint="eastAsia" w:ascii="宋体" w:hAnsi="宋体" w:cs="宋体"/>
                <w:bCs/>
                <w:color w:val="auto"/>
                <w:spacing w:val="0"/>
                <w:sz w:val="24"/>
                <w:szCs w:val="21"/>
                <w:lang w:val="en-US" w:eastAsia="zh-CN"/>
              </w:rPr>
              <w:t>专门的</w:t>
            </w:r>
            <w:r>
              <w:rPr>
                <w:rFonts w:hint="eastAsia" w:ascii="宋体" w:hAnsi="宋体" w:cs="宋体"/>
                <w:bCs/>
                <w:color w:val="auto"/>
                <w:spacing w:val="0"/>
                <w:sz w:val="24"/>
                <w:szCs w:val="21"/>
                <w:lang w:eastAsia="zh-CN"/>
              </w:rPr>
              <w:t>农药包装废弃物回收站（点）处置。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bCs w:val="0"/>
                <w:color w:val="auto"/>
                <w:spacing w:val="0"/>
                <w:sz w:val="24"/>
                <w:szCs w:val="21"/>
                <w:lang w:eastAsia="zh-CN"/>
              </w:rPr>
            </w:pPr>
            <w:r>
              <w:rPr>
                <w:rFonts w:hint="eastAsia" w:ascii="宋体" w:hAnsi="宋体" w:cs="宋体"/>
                <w:b/>
                <w:bCs w:val="0"/>
                <w:color w:val="auto"/>
                <w:spacing w:val="0"/>
                <w:sz w:val="24"/>
                <w:szCs w:val="21"/>
                <w:lang w:eastAsia="zh-CN"/>
              </w:rPr>
              <w:t>六、施肥及喷洒农药污染防治措施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（1）在林地内禁止使用违禁农药，并制定化肥、农药的使用和管理措施；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（2）根据化肥使用方法和管理措施，合理使用有机肥，做到适时适量，杜绝二次污染。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（3）实行科学施肥，补植等采取挖小穴施放，施肥后立即覆盖泥土，避免肥料裸露地表和避免雨水冲刷，不会产生地表径流，对周围河流水系等环保目标影响较小。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4）坚持人工林可持续发展的经营理念，采取科学、合理的营林措施和经营管理措施，逐步实施营养诊断施肥，针对各类造林土地的营养现状区别施肥，并增施微生物有机肥，改善土壤理化性状，抚育后将杂草埋青，保留林地枯枝落叶和林下地被物，采伐剩余物归还林地等措施维护地力平衡，避免林地地力下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（5）喷洒农药使用雾滴较小的喷头；不在大风、下雨、有露水时喷药。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Cs/>
                <w:color w:val="auto"/>
                <w:spacing w:val="0"/>
                <w:sz w:val="24"/>
                <w:szCs w:val="21"/>
                <w:lang w:eastAsia="zh-CN"/>
              </w:rPr>
            </w:pPr>
            <w:r>
              <w:rPr>
                <w:rFonts w:hint="default" w:ascii="Times New Roman" w:hAnsi="Times New Roman" w:cs="Times New Roman"/>
                <w:bCs/>
                <w:color w:val="auto"/>
                <w:spacing w:val="0"/>
                <w:sz w:val="24"/>
                <w:szCs w:val="21"/>
                <w:lang w:eastAsia="zh-CN"/>
              </w:rPr>
              <w:t>（6）喷洒农药做到适时适量，不准在地表喷洒过量农药，选用高效低毒低</w:t>
            </w:r>
            <w:r>
              <w:rPr>
                <w:rFonts w:hint="default" w:ascii="Times New Roman" w:hAnsi="Times New Roman" w:cs="Times New Roman"/>
                <w:bCs/>
                <w:color w:val="auto"/>
                <w:spacing w:val="0"/>
                <w:sz w:val="24"/>
                <w:szCs w:val="21"/>
                <w:lang w:val="en-US" w:eastAsia="zh-CN"/>
              </w:rPr>
              <w:t>残留的农药，严禁使用剧毒和残留期长的农药。同时采用人工诱捕、保护天敌、清除病害植株等方法，以减少农药的使用率。通过采取上述措施，降低施肥及喷洒农药造成的影响，并且对周围环境影响较小。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bCs w:val="0"/>
                <w:color w:val="auto"/>
                <w:spacing w:val="0"/>
                <w:sz w:val="24"/>
                <w:szCs w:val="21"/>
                <w:lang w:eastAsia="zh-CN"/>
              </w:rPr>
            </w:pPr>
            <w:r>
              <w:rPr>
                <w:rFonts w:hint="eastAsia" w:ascii="宋体" w:hAnsi="宋体" w:cs="宋体"/>
                <w:b/>
                <w:bCs w:val="0"/>
                <w:color w:val="auto"/>
                <w:spacing w:val="0"/>
                <w:sz w:val="24"/>
                <w:szCs w:val="21"/>
                <w:lang w:val="en-US" w:eastAsia="zh-CN"/>
              </w:rPr>
              <w:t>七、对饮用水水源保护区的影响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Cs/>
                <w:color w:val="auto"/>
                <w:spacing w:val="0"/>
                <w:sz w:val="24"/>
                <w:szCs w:val="21"/>
                <w:lang w:eastAsia="zh-CN"/>
              </w:rPr>
            </w:pPr>
            <w:r>
              <w:rPr>
                <w:rFonts w:hint="eastAsia" w:cs="Times New Roman"/>
                <w:color w:val="auto"/>
                <w:kern w:val="0"/>
                <w:sz w:val="24"/>
                <w:lang w:val="en-US" w:eastAsia="zh-CN" w:bidi="ar"/>
              </w:rPr>
              <w:t>项目林业部分涉及赤城湖水库饮用水源保护区二级保护区陆域、遂宁市黑龙凼水库水源地饮用水源保护区二级保护区陆域，赤城湖片区</w:t>
            </w:r>
            <w:r>
              <w:rPr>
                <w:rFonts w:hint="eastAsia" w:ascii="Times New Roman" w:hAnsi="Times New Roman" w:eastAsia="宋体" w:cs="Times New Roman"/>
                <w:color w:val="auto"/>
                <w:kern w:val="0"/>
                <w:sz w:val="24"/>
                <w:lang w:val="en-US" w:eastAsia="zh-CN" w:bidi="ar"/>
              </w:rPr>
              <w:t>巡护道路涉及赤城湖水库水源地二级保护区陆域</w:t>
            </w:r>
            <w:r>
              <w:rPr>
                <w:rFonts w:hint="eastAsia" w:ascii="宋体" w:hAnsi="宋体" w:cs="宋体"/>
                <w:bCs/>
                <w:color w:val="auto"/>
                <w:spacing w:val="0"/>
                <w:sz w:val="24"/>
                <w:szCs w:val="21"/>
                <w:lang w:val="en-US" w:eastAsia="zh-CN"/>
              </w:rPr>
              <w:t>。本环评要求：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val="en-US" w:eastAsia="zh-CN"/>
              </w:rPr>
              <w:t xml:space="preserve">（1）营运期在饮用水水源保护区内的中幼林抚育不得使用剧毒和高残留农药，不得使用化肥，采用较为环保的有机肥进行施肥，且合理控制施肥量。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val="en-US" w:eastAsia="zh-CN"/>
              </w:rPr>
              <w:t xml:space="preserve">（2）禁止一切破坏水环境生态平衡的活动以及破坏水源林、护岸林、与水源保护相关植被的活动。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val="en-US" w:eastAsia="zh-CN"/>
              </w:rPr>
              <w:t>（3）禁止向水域倾倒生活垃圾、粪便及其它废弃物，以防止这些废弃物对水源造成污染。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Cs/>
                <w:color w:val="auto"/>
                <w:spacing w:val="0"/>
                <w:sz w:val="24"/>
                <w:szCs w:val="21"/>
                <w:lang w:eastAsia="zh-CN"/>
              </w:rPr>
            </w:pPr>
            <w:r>
              <w:rPr>
                <w:rFonts w:hint="default" w:ascii="Times New Roman" w:hAnsi="Times New Roman" w:cs="Times New Roman"/>
                <w:bCs/>
                <w:color w:val="auto"/>
                <w:spacing w:val="0"/>
                <w:sz w:val="24"/>
                <w:szCs w:val="21"/>
                <w:lang w:val="en-US" w:eastAsia="zh-CN"/>
              </w:rPr>
              <w:t>（4）运输有毒有害物质、油类、粪便的船舶和车辆不得通过保护区内林区道路，必</w:t>
            </w:r>
            <w:r>
              <w:rPr>
                <w:rFonts w:hint="eastAsia" w:ascii="宋体" w:hAnsi="宋体" w:cs="宋体"/>
                <w:bCs/>
                <w:color w:val="auto"/>
                <w:spacing w:val="0"/>
                <w:sz w:val="24"/>
                <w:szCs w:val="21"/>
                <w:lang w:val="en-US" w:eastAsia="zh-CN"/>
              </w:rPr>
              <w:t>须进入者应事先申请并经有关部门批准、登记并设置防渗、防溢、防漏设施，以确保运输过程中的物质不会泄漏污染水源。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Cs/>
                <w:color w:val="auto"/>
                <w:spacing w:val="0"/>
                <w:sz w:val="24"/>
                <w:szCs w:val="21"/>
                <w:lang w:eastAsia="zh-CN"/>
              </w:rPr>
            </w:pPr>
            <w:r>
              <w:rPr>
                <w:rFonts w:hint="eastAsia" w:ascii="宋体" w:hAnsi="宋体" w:cs="宋体"/>
                <w:bCs/>
                <w:color w:val="auto"/>
                <w:spacing w:val="0"/>
                <w:sz w:val="24"/>
                <w:szCs w:val="21"/>
                <w:lang w:val="en-US" w:eastAsia="zh-CN"/>
              </w:rPr>
              <w:t>综上，营运期采取以上措施，满足《四川省饮用水水源保护管理条例》、《饮用水源保护区污染防治管理规定》相关要求，不会对集中式饮用水水源造成影响。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Cs/>
                <w:color w:val="auto"/>
                <w:spacing w:val="0"/>
                <w:sz w:val="24"/>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4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其他</w:t>
            </w:r>
          </w:p>
        </w:tc>
        <w:tc>
          <w:tcPr>
            <w:tcW w:w="8213" w:type="dxa"/>
            <w:noWrap w:val="0"/>
            <w:vAlign w:val="center"/>
          </w:tcPr>
          <w:p>
            <w:pPr>
              <w:adjustRightInd w:val="0"/>
              <w:snapToGrid w:val="0"/>
              <w:spacing w:line="240" w:lineRule="auto"/>
              <w:jc w:val="both"/>
              <w:rPr>
                <w:rFonts w:hint="eastAsia" w:ascii="Times New Roman" w:hAnsi="Times New Roman" w:eastAsia="宋体" w:cs="Times New Roman"/>
                <w:bCs/>
                <w:color w:val="auto"/>
                <w:spacing w:val="10"/>
                <w:szCs w:val="21"/>
                <w:lang w:val="en-US" w:eastAsia="zh-CN"/>
              </w:rPr>
            </w:pPr>
            <w:r>
              <w:rPr>
                <w:rFonts w:hint="eastAsia" w:cs="Times New Roman"/>
                <w:bCs/>
                <w:color w:val="auto"/>
                <w:spacing w:val="1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1" w:hRule="atLeast"/>
          <w:jc w:val="center"/>
        </w:trPr>
        <w:tc>
          <w:tcPr>
            <w:tcW w:w="4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环保投资</w:t>
            </w:r>
          </w:p>
        </w:tc>
        <w:tc>
          <w:tcPr>
            <w:tcW w:w="82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pacing w:val="0"/>
                <w:sz w:val="24"/>
                <w:szCs w:val="21"/>
                <w:lang w:eastAsia="zh-CN"/>
              </w:rPr>
            </w:pPr>
            <w:r>
              <w:rPr>
                <w:rFonts w:hint="default" w:ascii="Times New Roman" w:hAnsi="Times New Roman" w:cs="Times New Roman"/>
                <w:bCs/>
                <w:color w:val="auto"/>
                <w:spacing w:val="0"/>
                <w:sz w:val="24"/>
                <w:szCs w:val="21"/>
                <w:lang w:eastAsia="zh-CN"/>
              </w:rPr>
              <w:t>本工程总投资</w:t>
            </w:r>
            <w:r>
              <w:rPr>
                <w:rFonts w:hint="eastAsia" w:cs="Times New Roman"/>
                <w:bCs/>
                <w:color w:val="auto"/>
                <w:spacing w:val="0"/>
                <w:sz w:val="24"/>
                <w:szCs w:val="21"/>
                <w:lang w:val="en-US" w:eastAsia="zh-CN"/>
              </w:rPr>
              <w:t>132387.83</w:t>
            </w:r>
            <w:r>
              <w:rPr>
                <w:rFonts w:hint="default" w:ascii="Times New Roman" w:hAnsi="Times New Roman" w:cs="Times New Roman"/>
                <w:bCs/>
                <w:color w:val="auto"/>
                <w:spacing w:val="0"/>
                <w:sz w:val="24"/>
                <w:szCs w:val="21"/>
                <w:lang w:eastAsia="zh-CN"/>
              </w:rPr>
              <w:t>万元，其中环保投资15660.3万元，占项目总投资的</w:t>
            </w:r>
            <w:r>
              <w:rPr>
                <w:rFonts w:hint="eastAsia" w:cs="Times New Roman"/>
                <w:bCs/>
                <w:color w:val="auto"/>
                <w:spacing w:val="0"/>
                <w:sz w:val="24"/>
                <w:szCs w:val="21"/>
                <w:lang w:val="en-US" w:eastAsia="zh-CN"/>
              </w:rPr>
              <w:t>11.83</w:t>
            </w:r>
            <w:r>
              <w:rPr>
                <w:rFonts w:hint="default" w:ascii="Times New Roman" w:hAnsi="Times New Roman" w:cs="Times New Roman"/>
                <w:bCs/>
                <w:color w:val="auto"/>
                <w:spacing w:val="0"/>
                <w:sz w:val="24"/>
                <w:szCs w:val="21"/>
                <w:lang w:eastAsia="zh-CN"/>
              </w:rPr>
              <w:t>%。项目环保治理设施及投资估算表如下：</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bCs/>
                <w:color w:val="auto"/>
                <w:kern w:val="2"/>
                <w:sz w:val="21"/>
                <w:szCs w:val="21"/>
                <w:lang w:val="en-US" w:eastAsia="zh-CN" w:bidi="ar"/>
              </w:rPr>
            </w:pPr>
            <w:r>
              <w:rPr>
                <w:rFonts w:hint="eastAsia" w:ascii="Times New Roman" w:hAnsi="Times New Roman" w:eastAsia="宋体" w:cs="宋体"/>
                <w:b/>
                <w:bCs/>
                <w:color w:val="auto"/>
                <w:kern w:val="2"/>
                <w:sz w:val="21"/>
                <w:szCs w:val="21"/>
                <w:lang w:val="en-US" w:eastAsia="zh-CN" w:bidi="ar"/>
              </w:rPr>
              <w:t>表5-</w:t>
            </w:r>
            <w:r>
              <w:rPr>
                <w:rFonts w:hint="eastAsia" w:cs="宋体"/>
                <w:b/>
                <w:bCs/>
                <w:color w:val="auto"/>
                <w:kern w:val="2"/>
                <w:sz w:val="21"/>
                <w:szCs w:val="21"/>
                <w:lang w:val="en-US" w:eastAsia="zh-CN" w:bidi="ar"/>
              </w:rPr>
              <w:t xml:space="preserve">1  </w:t>
            </w:r>
            <w:r>
              <w:rPr>
                <w:rFonts w:hint="eastAsia" w:ascii="Times New Roman" w:hAnsi="Times New Roman" w:eastAsia="宋体" w:cs="宋体"/>
                <w:b/>
                <w:bCs/>
                <w:color w:val="auto"/>
                <w:kern w:val="2"/>
                <w:sz w:val="21"/>
                <w:szCs w:val="21"/>
                <w:lang w:val="en-US" w:eastAsia="zh-CN" w:bidi="ar"/>
              </w:rPr>
              <w:t>环保投资一览表</w:t>
            </w:r>
          </w:p>
          <w:tbl>
            <w:tblPr>
              <w:tblStyle w:val="22"/>
              <w:tblW w:w="77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725"/>
              <w:gridCol w:w="5311"/>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b/>
                      <w:color w:val="auto"/>
                      <w:kern w:val="0"/>
                      <w:sz w:val="21"/>
                      <w:szCs w:val="21"/>
                    </w:rPr>
                  </w:pPr>
                  <w:r>
                    <w:rPr>
                      <w:b/>
                      <w:color w:val="auto"/>
                      <w:sz w:val="21"/>
                      <w:szCs w:val="21"/>
                    </w:rPr>
                    <w:t>阶段</w:t>
                  </w:r>
                </w:p>
              </w:tc>
              <w:tc>
                <w:tcPr>
                  <w:tcW w:w="7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b/>
                      <w:color w:val="auto"/>
                      <w:sz w:val="21"/>
                      <w:szCs w:val="21"/>
                    </w:rPr>
                  </w:pPr>
                  <w:r>
                    <w:rPr>
                      <w:b/>
                      <w:color w:val="auto"/>
                      <w:sz w:val="21"/>
                      <w:szCs w:val="21"/>
                    </w:rPr>
                    <w:t>污染物</w:t>
                  </w:r>
                </w:p>
              </w:tc>
              <w:tc>
                <w:tcPr>
                  <w:tcW w:w="53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b/>
                      <w:color w:val="auto"/>
                      <w:sz w:val="21"/>
                      <w:szCs w:val="21"/>
                    </w:rPr>
                  </w:pPr>
                  <w:r>
                    <w:rPr>
                      <w:b/>
                      <w:color w:val="auto"/>
                      <w:sz w:val="21"/>
                      <w:szCs w:val="21"/>
                    </w:rPr>
                    <w:t>治理措施名称</w:t>
                  </w:r>
                </w:p>
              </w:tc>
              <w:tc>
                <w:tcPr>
                  <w:tcW w:w="1224"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b/>
                      <w:color w:val="auto"/>
                      <w:sz w:val="21"/>
                      <w:szCs w:val="21"/>
                    </w:rPr>
                  </w:pPr>
                  <w:r>
                    <w:rPr>
                      <w:b/>
                      <w:color w:val="auto"/>
                      <w:sz w:val="21"/>
                      <w:szCs w:val="21"/>
                    </w:rPr>
                    <w:t>环保投资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color w:val="auto"/>
                      <w:sz w:val="21"/>
                      <w:szCs w:val="21"/>
                    </w:rPr>
                  </w:pPr>
                  <w:r>
                    <w:rPr>
                      <w:color w:val="auto"/>
                      <w:sz w:val="21"/>
                      <w:szCs w:val="21"/>
                    </w:rPr>
                    <w:t>施</w:t>
                  </w:r>
                </w:p>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color w:val="auto"/>
                      <w:sz w:val="21"/>
                      <w:szCs w:val="21"/>
                    </w:rPr>
                  </w:pPr>
                  <w:r>
                    <w:rPr>
                      <w:color w:val="auto"/>
                      <w:sz w:val="21"/>
                      <w:szCs w:val="21"/>
                    </w:rPr>
                    <w:t>工</w:t>
                  </w:r>
                </w:p>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color w:val="auto"/>
                      <w:sz w:val="21"/>
                      <w:szCs w:val="21"/>
                    </w:rPr>
                  </w:pPr>
                  <w:r>
                    <w:rPr>
                      <w:color w:val="auto"/>
                      <w:sz w:val="21"/>
                      <w:szCs w:val="21"/>
                    </w:rPr>
                    <w:t>期</w:t>
                  </w:r>
                </w:p>
              </w:tc>
              <w:tc>
                <w:tcPr>
                  <w:tcW w:w="7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color w:val="auto"/>
                      <w:sz w:val="21"/>
                      <w:szCs w:val="21"/>
                    </w:rPr>
                  </w:pPr>
                  <w:r>
                    <w:rPr>
                      <w:color w:val="auto"/>
                      <w:sz w:val="21"/>
                      <w:szCs w:val="21"/>
                    </w:rPr>
                    <w:t>扬尘</w:t>
                  </w:r>
                </w:p>
              </w:tc>
              <w:tc>
                <w:tcPr>
                  <w:tcW w:w="53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color w:val="auto"/>
                      <w:sz w:val="21"/>
                      <w:szCs w:val="21"/>
                    </w:rPr>
                  </w:pPr>
                  <w:r>
                    <w:rPr>
                      <w:rFonts w:hint="default" w:ascii="Times New Roman" w:hAnsi="Times New Roman" w:eastAsia="宋体" w:cs="Times New Roman"/>
                      <w:color w:val="auto"/>
                      <w:spacing w:val="0"/>
                      <w:kern w:val="0"/>
                      <w:sz w:val="21"/>
                      <w:szCs w:val="21"/>
                      <w:highlight w:val="none"/>
                      <w:lang w:val="en-US" w:eastAsia="zh-CN" w:bidi="ar"/>
                    </w:rPr>
                    <w:t>加强管理</w:t>
                  </w:r>
                  <w:r>
                    <w:rPr>
                      <w:rFonts w:hint="eastAsia" w:ascii="Times New Roman" w:hAnsi="Times New Roman" w:eastAsia="宋体" w:cs="Times New Roman"/>
                      <w:color w:val="auto"/>
                      <w:spacing w:val="0"/>
                      <w:kern w:val="0"/>
                      <w:sz w:val="21"/>
                      <w:szCs w:val="21"/>
                      <w:highlight w:val="none"/>
                      <w:lang w:val="en-US" w:eastAsia="zh-CN" w:bidi="ar"/>
                    </w:rPr>
                    <w:t>，倡导</w:t>
                  </w:r>
                  <w:r>
                    <w:rPr>
                      <w:rFonts w:hint="default" w:ascii="Times New Roman" w:hAnsi="Times New Roman" w:eastAsia="宋体" w:cs="Times New Roman"/>
                      <w:color w:val="auto"/>
                      <w:spacing w:val="0"/>
                      <w:kern w:val="0"/>
                      <w:sz w:val="21"/>
                      <w:szCs w:val="21"/>
                      <w:highlight w:val="none"/>
                      <w:lang w:val="en-US" w:eastAsia="zh-CN" w:bidi="ar"/>
                    </w:rPr>
                    <w:t>文明施工</w:t>
                  </w:r>
                  <w:r>
                    <w:rPr>
                      <w:rFonts w:hint="eastAsia" w:cs="Times New Roman"/>
                      <w:color w:val="auto"/>
                      <w:spacing w:val="0"/>
                      <w:kern w:val="0"/>
                      <w:sz w:val="21"/>
                      <w:szCs w:val="21"/>
                      <w:highlight w:val="none"/>
                      <w:lang w:val="en-US" w:eastAsia="zh-CN" w:bidi="ar"/>
                    </w:rPr>
                    <w:t>，</w:t>
                  </w:r>
                  <w:r>
                    <w:rPr>
                      <w:rFonts w:hint="eastAsia" w:ascii="Times New Roman" w:hAnsi="Times New Roman" w:eastAsia="宋体" w:cs="Times New Roman"/>
                      <w:color w:val="auto"/>
                      <w:sz w:val="21"/>
                      <w:szCs w:val="21"/>
                      <w:lang w:val="zh-CN"/>
                    </w:rPr>
                    <w:t>施工场地洒水抑尘</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易起尘</w:t>
                  </w:r>
                  <w:r>
                    <w:rPr>
                      <w:rFonts w:hint="eastAsia" w:eastAsia="宋体"/>
                      <w:color w:val="auto"/>
                      <w:sz w:val="21"/>
                      <w:szCs w:val="21"/>
                      <w:lang w:val="en-US" w:eastAsia="zh-CN"/>
                    </w:rPr>
                    <w:t>施工</w:t>
                  </w:r>
                  <w:r>
                    <w:rPr>
                      <w:color w:val="auto"/>
                      <w:sz w:val="21"/>
                      <w:szCs w:val="21"/>
                    </w:rPr>
                    <w:t>材料</w:t>
                  </w:r>
                  <w:r>
                    <w:rPr>
                      <w:rFonts w:hint="eastAsia"/>
                      <w:color w:val="auto"/>
                      <w:sz w:val="21"/>
                      <w:szCs w:val="21"/>
                      <w:lang w:val="en-US" w:eastAsia="zh-CN"/>
                    </w:rPr>
                    <w:t>篷布覆盖</w:t>
                  </w:r>
                  <w:r>
                    <w:rPr>
                      <w:rFonts w:hint="eastAsia" w:cs="Times New Roman"/>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运输车辆</w:t>
                  </w:r>
                  <w:r>
                    <w:rPr>
                      <w:rFonts w:hint="eastAsia" w:cs="Times New Roman"/>
                      <w:color w:val="auto"/>
                      <w:spacing w:val="0"/>
                      <w:kern w:val="0"/>
                      <w:sz w:val="21"/>
                      <w:szCs w:val="21"/>
                      <w:highlight w:val="none"/>
                      <w:lang w:val="en-US" w:eastAsia="zh-CN" w:bidi="ar"/>
                    </w:rPr>
                    <w:t>限速</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N/>
                    <w:bidi w:val="0"/>
                    <w:snapToGrid w:val="0"/>
                    <w:spacing w:line="240" w:lineRule="auto"/>
                    <w:ind w:firstLine="0" w:firstLineChars="0"/>
                    <w:jc w:val="left"/>
                    <w:textAlignment w:val="auto"/>
                    <w:rPr>
                      <w:color w:val="auto"/>
                      <w:sz w:val="21"/>
                      <w:szCs w:val="21"/>
                    </w:rPr>
                  </w:pPr>
                </w:p>
              </w:tc>
              <w:tc>
                <w:tcPr>
                  <w:tcW w:w="725" w:type="dxa"/>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废水</w:t>
                  </w:r>
                </w:p>
              </w:tc>
              <w:tc>
                <w:tcPr>
                  <w:tcW w:w="5311"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pacing w:val="0"/>
                      <w:kern w:val="0"/>
                      <w:sz w:val="21"/>
                      <w:szCs w:val="21"/>
                      <w:highlight w:val="none"/>
                      <w:lang w:val="en-US" w:eastAsia="zh-CN" w:bidi="ar"/>
                    </w:rPr>
                    <w:t>施工废水经简易沉淀池处理后回用于施工工序或道路降尘洒水</w:t>
                  </w:r>
                  <w:r>
                    <w:rPr>
                      <w:rFonts w:hint="eastAsia" w:ascii="Times New Roman" w:hAnsi="Times New Roman" w:eastAsia="宋体" w:cs="Times New Roman"/>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生活污水依托民房已建污水处理设施</w:t>
                  </w:r>
                </w:p>
              </w:tc>
              <w:tc>
                <w:tcPr>
                  <w:tcW w:w="1224"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N/>
                    <w:bidi w:val="0"/>
                    <w:snapToGrid w:val="0"/>
                    <w:spacing w:line="240" w:lineRule="auto"/>
                    <w:ind w:firstLine="0" w:firstLineChars="0"/>
                    <w:jc w:val="left"/>
                    <w:textAlignment w:val="auto"/>
                    <w:rPr>
                      <w:color w:val="auto"/>
                      <w:sz w:val="21"/>
                      <w:szCs w:val="21"/>
                    </w:rPr>
                  </w:pPr>
                </w:p>
              </w:tc>
              <w:tc>
                <w:tcPr>
                  <w:tcW w:w="725" w:type="dxa"/>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噪声</w:t>
                  </w:r>
                </w:p>
              </w:tc>
              <w:tc>
                <w:tcPr>
                  <w:tcW w:w="5311"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加强管理，尽量避免夜间施工，运输车辆经过人员密集道路禁止鸣笛；选用符合标准的施工机械和运输车辆</w:t>
                  </w:r>
                </w:p>
              </w:tc>
              <w:tc>
                <w:tcPr>
                  <w:tcW w:w="1224"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N/>
                    <w:bidi w:val="0"/>
                    <w:snapToGrid w:val="0"/>
                    <w:spacing w:line="240" w:lineRule="auto"/>
                    <w:ind w:firstLine="0" w:firstLineChars="0"/>
                    <w:jc w:val="left"/>
                    <w:textAlignment w:val="auto"/>
                    <w:rPr>
                      <w:color w:val="auto"/>
                      <w:sz w:val="21"/>
                      <w:szCs w:val="21"/>
                    </w:rPr>
                  </w:pPr>
                </w:p>
              </w:tc>
              <w:tc>
                <w:tcPr>
                  <w:tcW w:w="72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zh-CN" w:eastAsia="zh-CN" w:bidi="ar-SA"/>
                    </w:rPr>
                  </w:pPr>
                  <w:r>
                    <w:rPr>
                      <w:color w:val="auto"/>
                      <w:sz w:val="21"/>
                      <w:szCs w:val="21"/>
                    </w:rPr>
                    <w:t>固废</w:t>
                  </w:r>
                </w:p>
              </w:tc>
              <w:tc>
                <w:tcPr>
                  <w:tcW w:w="5311" w:type="dxa"/>
                  <w:tcBorders>
                    <w:top w:val="single" w:color="auto" w:sz="4" w:space="0"/>
                    <w:left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
                    </w:rPr>
                    <w:t>弃土基本挖填平衡；废弃包装袋</w:t>
                  </w:r>
                  <w:r>
                    <w:rPr>
                      <w:rFonts w:hint="eastAsia" w:cs="Times New Roman"/>
                      <w:color w:val="auto"/>
                      <w:spacing w:val="0"/>
                      <w:kern w:val="0"/>
                      <w:sz w:val="21"/>
                      <w:szCs w:val="21"/>
                      <w:highlight w:val="none"/>
                      <w:lang w:val="en-US" w:eastAsia="zh-CN" w:bidi="ar"/>
                    </w:rPr>
                    <w:t>外售</w:t>
                  </w:r>
                  <w:r>
                    <w:rPr>
                      <w:rFonts w:hint="default" w:ascii="Times New Roman" w:hAnsi="Times New Roman" w:eastAsia="宋体" w:cs="Times New Roman"/>
                      <w:color w:val="auto"/>
                      <w:spacing w:val="0"/>
                      <w:kern w:val="0"/>
                      <w:sz w:val="21"/>
                      <w:szCs w:val="21"/>
                      <w:highlight w:val="none"/>
                      <w:lang w:val="en-US" w:eastAsia="zh-CN" w:bidi="ar"/>
                    </w:rPr>
                    <w:t>废品回收公司处置；生活垃圾运至</w:t>
                  </w:r>
                  <w:r>
                    <w:rPr>
                      <w:rFonts w:hint="eastAsia" w:ascii="Times New Roman" w:hAnsi="Times New Roman" w:cs="Times New Roman"/>
                      <w:color w:val="auto"/>
                      <w:spacing w:val="0"/>
                      <w:kern w:val="0"/>
                      <w:sz w:val="21"/>
                      <w:szCs w:val="21"/>
                      <w:highlight w:val="none"/>
                      <w:lang w:val="en-US" w:eastAsia="zh-CN" w:bidi="ar"/>
                    </w:rPr>
                    <w:t>附近垃圾收集点，交由</w:t>
                  </w:r>
                  <w:r>
                    <w:rPr>
                      <w:rFonts w:hint="default" w:ascii="Times New Roman" w:hAnsi="Times New Roman" w:eastAsia="宋体" w:cs="Times New Roman"/>
                      <w:color w:val="auto"/>
                      <w:spacing w:val="0"/>
                      <w:kern w:val="0"/>
                      <w:sz w:val="21"/>
                      <w:szCs w:val="21"/>
                      <w:highlight w:val="none"/>
                      <w:lang w:val="en-US" w:eastAsia="zh-CN" w:bidi="ar"/>
                    </w:rPr>
                    <w:t>环卫部门清运</w:t>
                  </w:r>
                  <w:r>
                    <w:rPr>
                      <w:rFonts w:hint="eastAsia" w:ascii="Times New Roman" w:hAnsi="Times New Roman" w:cs="Times New Roman"/>
                      <w:color w:val="auto"/>
                      <w:spacing w:val="0"/>
                      <w:kern w:val="0"/>
                      <w:sz w:val="21"/>
                      <w:szCs w:val="21"/>
                      <w:highlight w:val="none"/>
                      <w:lang w:val="en-US" w:eastAsia="zh-CN" w:bidi="ar"/>
                    </w:rPr>
                    <w:t>处理</w:t>
                  </w:r>
                </w:p>
              </w:tc>
              <w:tc>
                <w:tcPr>
                  <w:tcW w:w="1224" w:type="dxa"/>
                  <w:tcBorders>
                    <w:top w:val="single" w:color="auto" w:sz="4" w:space="0"/>
                    <w:left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8" w:hRule="atLeast"/>
                <w:jc w:val="center"/>
              </w:trPr>
              <w:tc>
                <w:tcPr>
                  <w:tcW w:w="49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N/>
                    <w:bidi w:val="0"/>
                    <w:snapToGrid w:val="0"/>
                    <w:spacing w:line="240" w:lineRule="auto"/>
                    <w:ind w:firstLine="0" w:firstLineChars="0"/>
                    <w:jc w:val="left"/>
                    <w:textAlignment w:val="auto"/>
                    <w:rPr>
                      <w:color w:val="auto"/>
                      <w:sz w:val="21"/>
                      <w:szCs w:val="21"/>
                    </w:rPr>
                  </w:pPr>
                </w:p>
              </w:tc>
              <w:tc>
                <w:tcPr>
                  <w:tcW w:w="725" w:type="dxa"/>
                  <w:vMerge w:val="restart"/>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生态</w:t>
                  </w:r>
                </w:p>
              </w:tc>
              <w:tc>
                <w:tcPr>
                  <w:tcW w:w="5311"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both"/>
                    <w:textAlignment w:val="auto"/>
                    <w:rPr>
                      <w:color w:val="auto"/>
                      <w:sz w:val="21"/>
                      <w:szCs w:val="21"/>
                    </w:rPr>
                  </w:pPr>
                  <w:r>
                    <w:rPr>
                      <w:rFonts w:hint="eastAsia"/>
                      <w:color w:val="auto"/>
                      <w:spacing w:val="0"/>
                      <w:sz w:val="21"/>
                      <w:szCs w:val="21"/>
                      <w:lang w:eastAsia="zh-CN"/>
                    </w:rPr>
                    <w:t>合理划定施工区域，加强施工管理，加强施工过程中“三废”管理，强化施工队伍的环保意识，加强生态环境保护宣传；</w:t>
                  </w:r>
                  <w:r>
                    <w:rPr>
                      <w:rFonts w:hint="eastAsia"/>
                      <w:color w:val="auto"/>
                      <w:spacing w:val="0"/>
                      <w:sz w:val="21"/>
                      <w:szCs w:val="21"/>
                      <w:lang w:val="en-US" w:eastAsia="zh-CN"/>
                    </w:rPr>
                    <w:t>加强病虫害防治，</w:t>
                  </w:r>
                  <w:r>
                    <w:rPr>
                      <w:rFonts w:hint="eastAsia"/>
                      <w:color w:val="auto"/>
                      <w:spacing w:val="0"/>
                      <w:sz w:val="21"/>
                      <w:szCs w:val="21"/>
                      <w:lang w:eastAsia="zh-CN"/>
                    </w:rPr>
                    <w:t>合理选择造林树种；对野生动植物尽量采取避让措施，严禁猎捕野生动物</w:t>
                  </w:r>
                  <w:r>
                    <w:rPr>
                      <w:rFonts w:hint="eastAsia"/>
                      <w:color w:val="auto"/>
                      <w:spacing w:val="0"/>
                      <w:sz w:val="21"/>
                      <w:szCs w:val="21"/>
                      <w:lang w:val="en-US" w:eastAsia="zh-CN"/>
                    </w:rPr>
                    <w:t>及毁坏重点野生植物</w:t>
                  </w:r>
                  <w:r>
                    <w:rPr>
                      <w:rFonts w:hint="eastAsia"/>
                      <w:color w:val="auto"/>
                      <w:spacing w:val="0"/>
                      <w:sz w:val="21"/>
                      <w:szCs w:val="21"/>
                      <w:lang w:eastAsia="zh-CN"/>
                    </w:rPr>
                    <w:t>；加强对水土流失重点防治区及治理区的保护措施；提高工程质量，加强</w:t>
                  </w:r>
                  <w:r>
                    <w:rPr>
                      <w:rFonts w:hint="eastAsia"/>
                      <w:color w:val="auto"/>
                      <w:spacing w:val="0"/>
                      <w:sz w:val="21"/>
                      <w:szCs w:val="21"/>
                      <w:lang w:val="en-US" w:eastAsia="zh-CN"/>
                    </w:rPr>
                    <w:t>森林防火、</w:t>
                  </w:r>
                  <w:r>
                    <w:rPr>
                      <w:rFonts w:hint="eastAsia"/>
                      <w:color w:val="auto"/>
                      <w:spacing w:val="0"/>
                      <w:sz w:val="21"/>
                      <w:szCs w:val="21"/>
                      <w:lang w:eastAsia="zh-CN"/>
                    </w:rPr>
                    <w:t>生态入侵风险管理；</w:t>
                  </w:r>
                  <w:r>
                    <w:rPr>
                      <w:rFonts w:hint="eastAsia"/>
                      <w:color w:val="auto"/>
                      <w:spacing w:val="0"/>
                      <w:sz w:val="21"/>
                      <w:szCs w:val="21"/>
                      <w:lang w:val="en-US" w:eastAsia="zh-CN"/>
                    </w:rPr>
                    <w:t>建设完成后实施迹地恢复</w:t>
                  </w:r>
                  <w:r>
                    <w:rPr>
                      <w:rFonts w:hint="eastAsia"/>
                      <w:color w:val="auto"/>
                      <w:spacing w:val="0"/>
                      <w:sz w:val="21"/>
                      <w:szCs w:val="21"/>
                      <w:lang w:eastAsia="zh-CN"/>
                    </w:rPr>
                    <w:t>；制定生态环境监测方案</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49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N/>
                    <w:bidi w:val="0"/>
                    <w:snapToGrid w:val="0"/>
                    <w:spacing w:line="240" w:lineRule="auto"/>
                    <w:ind w:firstLine="0" w:firstLineChars="0"/>
                    <w:jc w:val="left"/>
                    <w:textAlignment w:val="auto"/>
                    <w:rPr>
                      <w:color w:val="auto"/>
                      <w:sz w:val="21"/>
                      <w:szCs w:val="21"/>
                    </w:rPr>
                  </w:pPr>
                </w:p>
              </w:tc>
              <w:tc>
                <w:tcPr>
                  <w:tcW w:w="725"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eastAsia"/>
                      <w:color w:val="auto"/>
                      <w:sz w:val="21"/>
                      <w:szCs w:val="21"/>
                      <w:lang w:val="en-US" w:eastAsia="zh-CN"/>
                    </w:rPr>
                  </w:pPr>
                </w:p>
              </w:tc>
              <w:tc>
                <w:tcPr>
                  <w:tcW w:w="5311"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both"/>
                    <w:textAlignment w:val="auto"/>
                    <w:rPr>
                      <w:rFonts w:hint="default" w:eastAsia="宋体"/>
                      <w:color w:val="auto"/>
                      <w:spacing w:val="0"/>
                      <w:sz w:val="21"/>
                      <w:szCs w:val="21"/>
                      <w:lang w:val="en-US" w:eastAsia="zh-CN"/>
                    </w:rPr>
                  </w:pPr>
                  <w:r>
                    <w:rPr>
                      <w:color w:val="auto"/>
                      <w:spacing w:val="0"/>
                      <w:sz w:val="21"/>
                      <w:szCs w:val="21"/>
                    </w:rPr>
                    <w:t>加强对水土流失重点防治区及治理区的保护措施</w:t>
                  </w:r>
                  <w:r>
                    <w:rPr>
                      <w:rFonts w:hint="eastAsia"/>
                      <w:color w:val="auto"/>
                      <w:spacing w:val="0"/>
                      <w:sz w:val="21"/>
                      <w:szCs w:val="21"/>
                      <w:lang w:eastAsia="zh-CN"/>
                    </w:rPr>
                    <w:t>，</w:t>
                  </w:r>
                  <w:r>
                    <w:rPr>
                      <w:rFonts w:hint="eastAsia"/>
                      <w:color w:val="auto"/>
                      <w:spacing w:val="0"/>
                      <w:sz w:val="21"/>
                      <w:szCs w:val="21"/>
                      <w:lang w:val="en-US" w:eastAsia="zh-CN"/>
                    </w:rPr>
                    <w:t>包含工程措施、植物措施、临时措施、水土保持监测等</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eastAsia="宋体"/>
                      <w:color w:val="auto"/>
                      <w:sz w:val="21"/>
                      <w:szCs w:val="21"/>
                      <w:lang w:val="en-US" w:eastAsia="zh-CN"/>
                    </w:rPr>
                  </w:pPr>
                  <w:r>
                    <w:rPr>
                      <w:rFonts w:hint="default" w:eastAsia="宋体"/>
                      <w:color w:val="auto"/>
                      <w:sz w:val="21"/>
                      <w:szCs w:val="21"/>
                      <w:lang w:val="en-US" w:eastAsia="zh-CN"/>
                    </w:rPr>
                    <w:t>14615.3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N/>
                    <w:bidi w:val="0"/>
                    <w:snapToGrid w:val="0"/>
                    <w:spacing w:line="240" w:lineRule="auto"/>
                    <w:ind w:firstLine="0" w:firstLineChars="0"/>
                    <w:jc w:val="left"/>
                    <w:textAlignment w:val="auto"/>
                    <w:rPr>
                      <w:color w:val="auto"/>
                      <w:sz w:val="21"/>
                      <w:szCs w:val="21"/>
                    </w:rPr>
                  </w:pPr>
                  <w:r>
                    <w:rPr>
                      <w:rFonts w:hint="eastAsia"/>
                      <w:color w:val="auto"/>
                      <w:sz w:val="21"/>
                      <w:szCs w:val="21"/>
                    </w:rPr>
                    <w:t>运营期</w:t>
                  </w:r>
                </w:p>
              </w:tc>
              <w:tc>
                <w:tcPr>
                  <w:tcW w:w="72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生活污水</w:t>
                  </w:r>
                </w:p>
              </w:tc>
              <w:tc>
                <w:tcPr>
                  <w:tcW w:w="531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管理、养护人员生活污水，经化粪池处理后用于周边山林、农田作为农肥消纳</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N/>
                    <w:bidi w:val="0"/>
                    <w:snapToGrid w:val="0"/>
                    <w:spacing w:line="240" w:lineRule="auto"/>
                    <w:ind w:firstLine="0" w:firstLineChars="0"/>
                    <w:jc w:val="left"/>
                    <w:textAlignment w:val="auto"/>
                    <w:rPr>
                      <w:rFonts w:hint="eastAsia"/>
                      <w:color w:val="auto"/>
                      <w:sz w:val="21"/>
                      <w:szCs w:val="21"/>
                    </w:rPr>
                  </w:pPr>
                </w:p>
              </w:tc>
              <w:tc>
                <w:tcPr>
                  <w:tcW w:w="72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废气</w:t>
                  </w:r>
                </w:p>
              </w:tc>
              <w:tc>
                <w:tcPr>
                  <w:tcW w:w="531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农药产生的微量异味属于间断性排放，施肥施药采用精准施药技术，选用高效、低毒、低残留的农药，可以降低农药与化肥对周边环境的影响；林木采伐粉尘、运输扬尘及燃油废气自然稀释扩散</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N/>
                    <w:bidi w:val="0"/>
                    <w:snapToGrid w:val="0"/>
                    <w:spacing w:line="240" w:lineRule="auto"/>
                    <w:ind w:firstLine="0" w:firstLineChars="0"/>
                    <w:jc w:val="left"/>
                    <w:textAlignment w:val="auto"/>
                    <w:rPr>
                      <w:rFonts w:hint="eastAsia"/>
                      <w:color w:val="auto"/>
                      <w:sz w:val="21"/>
                      <w:szCs w:val="21"/>
                    </w:rPr>
                  </w:pPr>
                </w:p>
              </w:tc>
              <w:tc>
                <w:tcPr>
                  <w:tcW w:w="725" w:type="dxa"/>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噪声</w:t>
                  </w:r>
                </w:p>
              </w:tc>
              <w:tc>
                <w:tcPr>
                  <w:tcW w:w="53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textAlignment w:val="auto"/>
                    <w:rPr>
                      <w:rFonts w:hint="default" w:eastAsia="宋体"/>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选用高效低噪设备；定期检修清理设备，防止因设备故障产生的噪声；合理安排作业时间、夜间不得采伐；在路口设置限速牌、</w:t>
                  </w:r>
                  <w:r>
                    <w:rPr>
                      <w:rFonts w:hint="eastAsia" w:ascii="Times New Roman" w:hAnsi="Times New Roman" w:eastAsia="宋体" w:cs="Times New Roman"/>
                      <w:b w:val="0"/>
                      <w:bCs w:val="0"/>
                      <w:color w:val="auto"/>
                      <w:sz w:val="21"/>
                      <w:szCs w:val="21"/>
                      <w:lang w:val="en-US" w:eastAsia="zh-CN"/>
                    </w:rPr>
                    <w:t>途经居民路段</w:t>
                  </w:r>
                  <w:r>
                    <w:rPr>
                      <w:rFonts w:hint="default" w:ascii="Times New Roman" w:hAnsi="Times New Roman" w:eastAsia="宋体" w:cs="Times New Roman"/>
                      <w:b w:val="0"/>
                      <w:bCs w:val="0"/>
                      <w:color w:val="auto"/>
                      <w:sz w:val="21"/>
                      <w:szCs w:val="21"/>
                      <w:lang w:val="en-US" w:eastAsia="zh-CN"/>
                    </w:rPr>
                    <w:t>控制运输车辆的行驶车速，减少鸣笛</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8"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N/>
                    <w:bidi w:val="0"/>
                    <w:snapToGrid w:val="0"/>
                    <w:spacing w:line="240" w:lineRule="auto"/>
                    <w:ind w:firstLine="0" w:firstLineChars="0"/>
                    <w:jc w:val="left"/>
                    <w:textAlignment w:val="auto"/>
                    <w:rPr>
                      <w:color w:val="auto"/>
                      <w:sz w:val="21"/>
                      <w:szCs w:val="21"/>
                    </w:rPr>
                  </w:pPr>
                </w:p>
              </w:tc>
              <w:tc>
                <w:tcPr>
                  <w:tcW w:w="7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color w:val="auto"/>
                      <w:sz w:val="21"/>
                      <w:szCs w:val="21"/>
                    </w:rPr>
                  </w:pPr>
                  <w:r>
                    <w:rPr>
                      <w:color w:val="auto"/>
                      <w:sz w:val="21"/>
                      <w:szCs w:val="21"/>
                    </w:rPr>
                    <w:t>固废</w:t>
                  </w:r>
                </w:p>
              </w:tc>
              <w:tc>
                <w:tcPr>
                  <w:tcW w:w="53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textAlignment w:val="auto"/>
                    <w:rPr>
                      <w:color w:val="auto"/>
                      <w:sz w:val="21"/>
                      <w:szCs w:val="21"/>
                    </w:rPr>
                  </w:pPr>
                  <w:r>
                    <w:rPr>
                      <w:rFonts w:hint="default" w:ascii="Times New Roman" w:hAnsi="Times New Roman" w:eastAsia="宋体" w:cs="Times New Roman"/>
                      <w:color w:val="auto"/>
                      <w:spacing w:val="0"/>
                      <w:kern w:val="0"/>
                      <w:sz w:val="21"/>
                      <w:szCs w:val="21"/>
                      <w:highlight w:val="none"/>
                      <w:lang w:val="en-US" w:eastAsia="zh-CN" w:bidi="ar"/>
                    </w:rPr>
                    <w:t>废弃包装袋经收集后</w:t>
                  </w:r>
                  <w:r>
                    <w:rPr>
                      <w:rFonts w:hint="eastAsia" w:cs="Times New Roman"/>
                      <w:color w:val="auto"/>
                      <w:spacing w:val="0"/>
                      <w:kern w:val="0"/>
                      <w:sz w:val="21"/>
                      <w:szCs w:val="21"/>
                      <w:highlight w:val="none"/>
                      <w:lang w:val="en-US" w:eastAsia="zh-CN" w:bidi="ar"/>
                    </w:rPr>
                    <w:t>外售</w:t>
                  </w:r>
                  <w:r>
                    <w:rPr>
                      <w:rFonts w:hint="default" w:ascii="Times New Roman" w:hAnsi="Times New Roman" w:eastAsia="宋体" w:cs="Times New Roman"/>
                      <w:color w:val="auto"/>
                      <w:spacing w:val="0"/>
                      <w:kern w:val="0"/>
                      <w:sz w:val="21"/>
                      <w:szCs w:val="21"/>
                      <w:highlight w:val="none"/>
                      <w:lang w:val="en-US" w:eastAsia="zh-CN" w:bidi="ar"/>
                    </w:rPr>
                    <w:t>废品回收公司处置；清理的灌木杂草及产生的</w:t>
                  </w:r>
                  <w:r>
                    <w:rPr>
                      <w:rFonts w:hint="eastAsia" w:cs="Times New Roman"/>
                      <w:color w:val="auto"/>
                      <w:spacing w:val="0"/>
                      <w:kern w:val="0"/>
                      <w:sz w:val="21"/>
                      <w:szCs w:val="21"/>
                      <w:highlight w:val="none"/>
                      <w:lang w:val="en-US" w:eastAsia="zh-CN" w:bidi="ar"/>
                    </w:rPr>
                    <w:t>枯枝落叶</w:t>
                  </w:r>
                  <w:r>
                    <w:rPr>
                      <w:rFonts w:hint="default" w:ascii="Times New Roman" w:hAnsi="Times New Roman" w:eastAsia="宋体" w:cs="Times New Roman"/>
                      <w:color w:val="auto"/>
                      <w:spacing w:val="0"/>
                      <w:kern w:val="0"/>
                      <w:sz w:val="21"/>
                      <w:szCs w:val="21"/>
                      <w:highlight w:val="none"/>
                      <w:lang w:val="en-US" w:eastAsia="zh-CN" w:bidi="ar"/>
                    </w:rPr>
                    <w:t>，自然腐烂为肥料；生活垃圾运至</w:t>
                  </w:r>
                  <w:r>
                    <w:rPr>
                      <w:rFonts w:hint="eastAsia" w:ascii="Times New Roman" w:hAnsi="Times New Roman" w:cs="Times New Roman"/>
                      <w:color w:val="auto"/>
                      <w:spacing w:val="0"/>
                      <w:kern w:val="0"/>
                      <w:sz w:val="21"/>
                      <w:szCs w:val="21"/>
                      <w:highlight w:val="none"/>
                      <w:lang w:val="en-US" w:eastAsia="zh-CN" w:bidi="ar"/>
                    </w:rPr>
                    <w:t>附近垃圾收集点，交由</w:t>
                  </w:r>
                  <w:r>
                    <w:rPr>
                      <w:rFonts w:hint="default" w:ascii="Times New Roman" w:hAnsi="Times New Roman" w:eastAsia="宋体" w:cs="Times New Roman"/>
                      <w:color w:val="auto"/>
                      <w:spacing w:val="0"/>
                      <w:kern w:val="0"/>
                      <w:sz w:val="21"/>
                      <w:szCs w:val="21"/>
                      <w:highlight w:val="none"/>
                      <w:lang w:val="en-US" w:eastAsia="zh-CN" w:bidi="ar"/>
                    </w:rPr>
                    <w:t>环卫部门清运</w:t>
                  </w:r>
                  <w:r>
                    <w:rPr>
                      <w:rFonts w:hint="eastAsia" w:ascii="Times New Roman" w:hAnsi="Times New Roman" w:cs="Times New Roman"/>
                      <w:color w:val="auto"/>
                      <w:spacing w:val="0"/>
                      <w:kern w:val="0"/>
                      <w:sz w:val="21"/>
                      <w:szCs w:val="21"/>
                      <w:highlight w:val="none"/>
                      <w:lang w:val="en-US" w:eastAsia="zh-CN" w:bidi="ar"/>
                    </w:rPr>
                    <w:t>处理</w:t>
                  </w:r>
                  <w:r>
                    <w:rPr>
                      <w:rFonts w:hint="default" w:ascii="Times New Roman" w:hAnsi="Times New Roman" w:eastAsia="宋体" w:cs="Times New Roman"/>
                      <w:color w:val="auto"/>
                      <w:spacing w:val="0"/>
                      <w:kern w:val="0"/>
                      <w:sz w:val="21"/>
                      <w:szCs w:val="21"/>
                      <w:highlight w:val="none"/>
                      <w:lang w:val="en-US" w:eastAsia="zh-CN" w:bidi="ar"/>
                    </w:rPr>
                    <w:t>；农药废弃包装物及时收集并交回农药经营者或交由专门的农药包装废弃物回收站（点）处置</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N/>
                    <w:bidi w:val="0"/>
                    <w:snapToGrid w:val="0"/>
                    <w:spacing w:line="240" w:lineRule="auto"/>
                    <w:ind w:firstLine="0" w:firstLineChars="0"/>
                    <w:jc w:val="left"/>
                    <w:textAlignment w:val="auto"/>
                    <w:rPr>
                      <w:color w:val="auto"/>
                      <w:sz w:val="21"/>
                      <w:szCs w:val="21"/>
                    </w:rPr>
                  </w:pPr>
                </w:p>
              </w:tc>
              <w:tc>
                <w:tcPr>
                  <w:tcW w:w="7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生态</w:t>
                  </w:r>
                </w:p>
              </w:tc>
              <w:tc>
                <w:tcPr>
                  <w:tcW w:w="5311" w:type="dxa"/>
                  <w:tcBorders>
                    <w:top w:val="single" w:color="auto" w:sz="4" w:space="0"/>
                    <w:left w:val="single" w:color="auto" w:sz="4" w:space="0"/>
                    <w:bottom w:val="single" w:color="auto" w:sz="4" w:space="0"/>
                    <w:right w:val="single" w:color="auto" w:sz="4" w:space="0"/>
                  </w:tcBorders>
                  <w:noWrap w:val="0"/>
                  <w:vAlign w:val="center"/>
                </w:tcPr>
                <w:p>
                  <w:pPr>
                    <w:pStyle w:val="6"/>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eastAsia" w:ascii="Times New Roman" w:hAnsi="Times New Roman" w:eastAsia="宋体" w:cs="Times New Roman"/>
                      <w:b w:val="0"/>
                      <w:bCs w:val="0"/>
                      <w:color w:val="auto"/>
                      <w:sz w:val="21"/>
                      <w:szCs w:val="21"/>
                      <w:lang w:val="en-US" w:eastAsia="zh-CN"/>
                    </w:rPr>
                  </w:pPr>
                  <w:r>
                    <w:rPr>
                      <w:color w:val="auto"/>
                      <w:spacing w:val="0"/>
                      <w:sz w:val="21"/>
                      <w:szCs w:val="21"/>
                    </w:rPr>
                    <w:t>抚育间伐</w:t>
                  </w:r>
                  <w:r>
                    <w:rPr>
                      <w:rFonts w:hint="eastAsia"/>
                      <w:color w:val="auto"/>
                      <w:spacing w:val="0"/>
                      <w:sz w:val="21"/>
                      <w:szCs w:val="21"/>
                      <w:lang w:eastAsia="zh-CN"/>
                    </w:rPr>
                    <w:t>；</w:t>
                  </w:r>
                  <w:r>
                    <w:rPr>
                      <w:color w:val="auto"/>
                      <w:spacing w:val="0"/>
                      <w:sz w:val="21"/>
                      <w:szCs w:val="21"/>
                    </w:rPr>
                    <w:t>造林后搞好幼树封禁保护</w:t>
                  </w:r>
                  <w:r>
                    <w:rPr>
                      <w:rFonts w:hint="eastAsia"/>
                      <w:color w:val="auto"/>
                      <w:spacing w:val="0"/>
                      <w:sz w:val="21"/>
                      <w:szCs w:val="21"/>
                      <w:lang w:eastAsia="zh-CN"/>
                    </w:rPr>
                    <w:t>；实施“科技兴林”和可持续发展战略；</w:t>
                  </w:r>
                  <w:r>
                    <w:rPr>
                      <w:color w:val="auto"/>
                      <w:spacing w:val="0"/>
                      <w:sz w:val="21"/>
                      <w:szCs w:val="21"/>
                    </w:rPr>
                    <w:t>林木的采伐和集材尽可能地保留地表植被，尽可能减少集材道的密度和数量</w:t>
                  </w:r>
                  <w:r>
                    <w:rPr>
                      <w:rFonts w:hint="eastAsia"/>
                      <w:color w:val="auto"/>
                      <w:spacing w:val="0"/>
                      <w:sz w:val="21"/>
                      <w:szCs w:val="21"/>
                      <w:lang w:eastAsia="zh-CN"/>
                    </w:rPr>
                    <w:t>；</w:t>
                  </w:r>
                  <w:r>
                    <w:rPr>
                      <w:rFonts w:hint="eastAsia" w:ascii="Times New Roman" w:hAnsi="Times New Roman" w:eastAsia="宋体" w:cs="Times New Roman"/>
                      <w:color w:val="auto"/>
                      <w:sz w:val="21"/>
                      <w:szCs w:val="21"/>
                      <w:lang w:val="en-US" w:eastAsia="zh-CN"/>
                    </w:rPr>
                    <w:t>加强宣传教育，粘贴和设置公告、宣传册、警示标语（牌）等</w:t>
                  </w:r>
                  <w:r>
                    <w:rPr>
                      <w:rFonts w:hint="eastAsia" w:ascii="Times New Roman" w:hAnsi="Times New Roman" w:cs="Times New Roman"/>
                      <w:color w:val="auto"/>
                      <w:sz w:val="21"/>
                      <w:szCs w:val="21"/>
                      <w:lang w:val="en-US" w:eastAsia="zh-CN"/>
                    </w:rPr>
                    <w:t>；加强</w:t>
                  </w:r>
                  <w:r>
                    <w:rPr>
                      <w:rFonts w:hint="eastAsia"/>
                      <w:color w:val="auto"/>
                      <w:spacing w:val="0"/>
                      <w:sz w:val="21"/>
                      <w:szCs w:val="21"/>
                      <w:lang w:val="en-US" w:eastAsia="zh-CN"/>
                    </w:rPr>
                    <w:t>森林防火</w:t>
                  </w:r>
                  <w:r>
                    <w:rPr>
                      <w:rFonts w:hint="eastAsia"/>
                      <w:color w:val="auto"/>
                      <w:spacing w:val="0"/>
                      <w:sz w:val="21"/>
                      <w:szCs w:val="21"/>
                      <w:lang w:eastAsia="zh-CN"/>
                    </w:rPr>
                    <w:t>以及危险品管理；制定生态环境监测方案</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3" w:type="dxa"/>
                  <w:gridSpan w:val="2"/>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color w:val="auto"/>
                      <w:sz w:val="21"/>
                      <w:szCs w:val="21"/>
                    </w:rPr>
                  </w:pPr>
                  <w:r>
                    <w:rPr>
                      <w:color w:val="auto"/>
                      <w:sz w:val="21"/>
                      <w:szCs w:val="21"/>
                    </w:rPr>
                    <w:t>环境管理</w:t>
                  </w:r>
                </w:p>
              </w:tc>
              <w:tc>
                <w:tcPr>
                  <w:tcW w:w="5311"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textAlignment w:val="auto"/>
                    <w:rPr>
                      <w:color w:val="auto"/>
                      <w:sz w:val="21"/>
                      <w:szCs w:val="21"/>
                    </w:rPr>
                  </w:pPr>
                  <w:r>
                    <w:rPr>
                      <w:color w:val="auto"/>
                      <w:sz w:val="21"/>
                      <w:szCs w:val="21"/>
                    </w:rPr>
                    <w:t>包括</w:t>
                  </w:r>
                  <w:r>
                    <w:rPr>
                      <w:rFonts w:hint="eastAsia"/>
                      <w:color w:val="auto"/>
                      <w:sz w:val="21"/>
                      <w:szCs w:val="21"/>
                    </w:rPr>
                    <w:t>环境</w:t>
                  </w:r>
                  <w:r>
                    <w:rPr>
                      <w:rFonts w:hint="eastAsia"/>
                      <w:color w:val="auto"/>
                      <w:sz w:val="21"/>
                      <w:szCs w:val="21"/>
                      <w:lang w:val="en-US" w:eastAsia="zh-CN"/>
                    </w:rPr>
                    <w:t>管理</w:t>
                  </w:r>
                  <w:r>
                    <w:rPr>
                      <w:rFonts w:hint="eastAsia"/>
                      <w:color w:val="auto"/>
                      <w:sz w:val="21"/>
                      <w:szCs w:val="21"/>
                    </w:rPr>
                    <w:t>、</w:t>
                  </w:r>
                  <w:r>
                    <w:rPr>
                      <w:color w:val="auto"/>
                      <w:sz w:val="21"/>
                      <w:szCs w:val="21"/>
                    </w:rPr>
                    <w:t>环境</w:t>
                  </w:r>
                  <w:r>
                    <w:rPr>
                      <w:rFonts w:hint="eastAsia"/>
                      <w:color w:val="auto"/>
                      <w:sz w:val="21"/>
                      <w:szCs w:val="21"/>
                      <w:lang w:val="en-US" w:eastAsia="zh-CN"/>
                    </w:rPr>
                    <w:t>监理及</w:t>
                  </w:r>
                  <w:r>
                    <w:rPr>
                      <w:color w:val="auto"/>
                      <w:sz w:val="21"/>
                      <w:szCs w:val="21"/>
                    </w:rPr>
                    <w:t>监测等</w:t>
                  </w:r>
                </w:p>
              </w:tc>
              <w:tc>
                <w:tcPr>
                  <w:tcW w:w="1224"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53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2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val="0"/>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15660.3</w:t>
                  </w:r>
                </w:p>
              </w:tc>
            </w:tr>
          </w:tbl>
          <w:p>
            <w:pPr>
              <w:adjustRightInd w:val="0"/>
              <w:snapToGrid w:val="0"/>
              <w:spacing w:line="240" w:lineRule="auto"/>
              <w:jc w:val="both"/>
              <w:rPr>
                <w:rFonts w:hint="default" w:ascii="Times New Roman" w:hAnsi="Times New Roman" w:cs="Times New Roman"/>
                <w:bCs/>
                <w:color w:val="auto"/>
                <w:spacing w:val="10"/>
                <w:szCs w:val="21"/>
              </w:rPr>
            </w:pPr>
          </w:p>
          <w:p>
            <w:pPr>
              <w:adjustRightInd w:val="0"/>
              <w:snapToGrid w:val="0"/>
              <w:spacing w:line="240" w:lineRule="auto"/>
              <w:ind w:left="0" w:leftChars="0" w:firstLine="0" w:firstLineChars="0"/>
              <w:jc w:val="both"/>
              <w:rPr>
                <w:rFonts w:hint="default" w:ascii="Times New Roman" w:hAnsi="Times New Roman" w:cs="Times New Roman"/>
                <w:bCs/>
                <w:color w:val="auto"/>
                <w:spacing w:val="10"/>
                <w:szCs w:val="21"/>
              </w:rPr>
            </w:pPr>
          </w:p>
        </w:tc>
      </w:tr>
    </w:tbl>
    <w:p>
      <w:pPr>
        <w:rPr>
          <w:rFonts w:hint="eastAsia" w:ascii="Times New Roman" w:hAnsi="Times New Roman" w:cs="Times New Roman"/>
          <w:color w:val="auto"/>
          <w:lang w:val="en-US" w:eastAsia="zh-CN"/>
        </w:rPr>
      </w:pPr>
      <w:bookmarkStart w:id="13" w:name="_Toc29143"/>
      <w:r>
        <w:rPr>
          <w:rFonts w:hint="eastAsia" w:ascii="Times New Roman" w:hAnsi="Times New Roman" w:cs="Times New Roman"/>
          <w:color w:val="auto"/>
          <w:lang w:val="en-US" w:eastAsia="zh-CN"/>
        </w:rPr>
        <w:br w:type="page"/>
      </w:r>
    </w:p>
    <w:p>
      <w:pPr>
        <w:pStyle w:val="34"/>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六、生态环境保护措施监督检查清单</w:t>
      </w:r>
      <w:bookmarkEnd w:id="13"/>
    </w:p>
    <w:tbl>
      <w:tblPr>
        <w:tblStyle w:val="22"/>
        <w:tblW w:w="885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785"/>
        <w:gridCol w:w="1423"/>
        <w:gridCol w:w="2568"/>
        <w:gridCol w:w="14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454" w:hRule="atLeast"/>
          <w:jc w:val="center"/>
        </w:trPr>
        <w:tc>
          <w:tcPr>
            <w:tcW w:w="642" w:type="dxa"/>
            <w:vMerge w:val="restart"/>
            <w:tcBorders>
              <w:tl2br w:val="single" w:color="auto" w:sz="4" w:space="0"/>
            </w:tcBorders>
            <w:noWrap w:val="0"/>
            <w:vAlign w:val="top"/>
          </w:tcPr>
          <w:p>
            <w:pPr>
              <w:pStyle w:val="19"/>
              <w:keepNext w:val="0"/>
              <w:keepLines w:val="0"/>
              <w:pageBreakBefore w:val="0"/>
              <w:kinsoku/>
              <w:wordWrap/>
              <w:overflowPunct/>
              <w:topLinePunct w:val="0"/>
              <w:autoSpaceDE/>
              <w:autoSpaceDN/>
              <w:bidi w:val="0"/>
              <w:adjustRightInd w:val="0"/>
              <w:snapToGrid w:val="0"/>
              <w:spacing w:before="72" w:beforeLines="30" w:beforeAutospacing="0" w:after="0" w:afterAutospacing="0"/>
              <w:ind w:firstLine="0" w:firstLineChars="0"/>
              <w:jc w:val="right"/>
              <w:textAlignment w:val="auto"/>
              <w:outlineLvl w:val="9"/>
              <w:rPr>
                <w:rFonts w:ascii="黑体" w:hAnsi="黑体" w:eastAsia="黑体" w:cs="宋体"/>
                <w:color w:val="auto"/>
                <w:spacing w:val="0"/>
                <w:kern w:val="2"/>
                <w:sz w:val="24"/>
                <w:szCs w:val="24"/>
              </w:rPr>
            </w:pPr>
            <w:r>
              <w:rPr>
                <w:rFonts w:hint="eastAsia" w:ascii="黑体" w:hAnsi="黑体" w:eastAsia="黑体" w:cs="宋体"/>
                <w:color w:val="auto"/>
                <w:spacing w:val="0"/>
                <w:kern w:val="2"/>
                <w:sz w:val="24"/>
                <w:szCs w:val="24"/>
              </w:rPr>
              <w:t>内容</w:t>
            </w:r>
          </w:p>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14" w:lineRule="auto"/>
              <w:ind w:firstLine="0" w:firstLineChars="0"/>
              <w:textAlignment w:val="auto"/>
              <w:outlineLvl w:val="9"/>
              <w:rPr>
                <w:rFonts w:hint="eastAsia" w:ascii="黑体" w:hAnsi="黑体" w:eastAsia="黑体" w:cs="宋体"/>
                <w:color w:val="auto"/>
                <w:spacing w:val="0"/>
                <w:kern w:val="2"/>
                <w:sz w:val="24"/>
                <w:szCs w:val="24"/>
                <w:lang w:eastAsia="zh-CN"/>
              </w:rPr>
            </w:pPr>
          </w:p>
          <w:p>
            <w:pPr>
              <w:pStyle w:val="19"/>
              <w:keepNext w:val="0"/>
              <w:keepLines w:val="0"/>
              <w:pageBreakBefore w:val="0"/>
              <w:kinsoku/>
              <w:wordWrap/>
              <w:overflowPunct/>
              <w:topLinePunct w:val="0"/>
              <w:autoSpaceDE/>
              <w:autoSpaceDN/>
              <w:bidi w:val="0"/>
              <w:adjustRightInd w:val="0"/>
              <w:snapToGrid w:val="0"/>
              <w:spacing w:before="0" w:beforeAutospacing="0" w:after="0" w:afterAutospacing="0"/>
              <w:ind w:firstLine="0" w:firstLineChars="0"/>
              <w:textAlignment w:val="auto"/>
              <w:outlineLvl w:val="9"/>
              <w:rPr>
                <w:rFonts w:hint="eastAsia" w:ascii="黑体" w:hAnsi="黑体" w:eastAsia="黑体" w:cs="宋体"/>
                <w:color w:val="auto"/>
                <w:spacing w:val="0"/>
                <w:kern w:val="2"/>
                <w:sz w:val="24"/>
                <w:szCs w:val="24"/>
              </w:rPr>
            </w:pPr>
            <w:r>
              <w:rPr>
                <w:rFonts w:hint="eastAsia" w:ascii="黑体" w:hAnsi="黑体" w:eastAsia="黑体" w:cs="宋体"/>
                <w:color w:val="auto"/>
                <w:spacing w:val="0"/>
                <w:kern w:val="2"/>
                <w:sz w:val="24"/>
                <w:szCs w:val="24"/>
              </w:rPr>
              <w:t>要素</w:t>
            </w:r>
          </w:p>
        </w:tc>
        <w:tc>
          <w:tcPr>
            <w:tcW w:w="4208" w:type="dxa"/>
            <w:gridSpan w:val="2"/>
            <w:noWrap w:val="0"/>
            <w:vAlign w:val="center"/>
          </w:tcPr>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9"/>
              <w:rPr>
                <w:rFonts w:ascii="黑体" w:hAnsi="黑体" w:eastAsia="黑体" w:cs="宋体"/>
                <w:color w:val="auto"/>
                <w:spacing w:val="0"/>
                <w:kern w:val="2"/>
                <w:sz w:val="24"/>
                <w:szCs w:val="24"/>
              </w:rPr>
            </w:pPr>
            <w:r>
              <w:rPr>
                <w:rFonts w:hint="eastAsia" w:ascii="黑体" w:hAnsi="黑体" w:eastAsia="黑体" w:cs="宋体"/>
                <w:color w:val="auto"/>
                <w:spacing w:val="0"/>
                <w:kern w:val="2"/>
                <w:sz w:val="24"/>
                <w:szCs w:val="24"/>
              </w:rPr>
              <w:t>施工期</w:t>
            </w:r>
          </w:p>
        </w:tc>
        <w:tc>
          <w:tcPr>
            <w:tcW w:w="4003" w:type="dxa"/>
            <w:gridSpan w:val="2"/>
            <w:noWrap w:val="0"/>
            <w:vAlign w:val="center"/>
          </w:tcPr>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9"/>
              <w:rPr>
                <w:rFonts w:ascii="黑体" w:hAnsi="黑体" w:eastAsia="黑体" w:cs="宋体"/>
                <w:color w:val="auto"/>
                <w:spacing w:val="0"/>
                <w:kern w:val="2"/>
                <w:sz w:val="24"/>
                <w:szCs w:val="24"/>
              </w:rPr>
            </w:pPr>
            <w:r>
              <w:rPr>
                <w:rFonts w:hint="eastAsia" w:ascii="黑体" w:hAnsi="黑体" w:eastAsia="黑体" w:cs="宋体"/>
                <w:color w:val="auto"/>
                <w:spacing w:val="0"/>
                <w:kern w:val="2"/>
                <w:sz w:val="24"/>
                <w:szCs w:val="24"/>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2" w:type="dxa"/>
            <w:vMerge w:val="continue"/>
            <w:noWrap w:val="0"/>
            <w:vAlign w:val="top"/>
          </w:tcPr>
          <w:p>
            <w:pPr>
              <w:pStyle w:val="19"/>
              <w:keepNext w:val="0"/>
              <w:keepLines w:val="0"/>
              <w:pageBreakBefore w:val="0"/>
              <w:kinsoku/>
              <w:wordWrap/>
              <w:overflowPunct/>
              <w:topLinePunct w:val="0"/>
              <w:autoSpaceDE/>
              <w:autoSpaceDN/>
              <w:bidi w:val="0"/>
              <w:adjustRightInd w:val="0"/>
              <w:snapToGrid w:val="0"/>
              <w:spacing w:before="0" w:beforeAutospacing="0" w:after="0" w:afterAutospacing="0"/>
              <w:ind w:firstLine="0" w:firstLineChars="0"/>
              <w:jc w:val="center"/>
              <w:textAlignment w:val="auto"/>
              <w:outlineLvl w:val="9"/>
              <w:rPr>
                <w:rFonts w:ascii="黑体" w:hAnsi="黑体" w:eastAsia="黑体" w:cs="宋体"/>
                <w:color w:val="auto"/>
                <w:spacing w:val="0"/>
                <w:kern w:val="2"/>
                <w:sz w:val="24"/>
                <w:szCs w:val="24"/>
              </w:rPr>
            </w:pPr>
          </w:p>
        </w:tc>
        <w:tc>
          <w:tcPr>
            <w:tcW w:w="2785" w:type="dxa"/>
            <w:noWrap w:val="0"/>
            <w:vAlign w:val="center"/>
          </w:tcPr>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9"/>
              <w:rPr>
                <w:rFonts w:ascii="黑体" w:hAnsi="黑体" w:eastAsia="黑体" w:cs="宋体"/>
                <w:color w:val="auto"/>
                <w:spacing w:val="0"/>
                <w:kern w:val="2"/>
                <w:sz w:val="24"/>
                <w:szCs w:val="24"/>
              </w:rPr>
            </w:pPr>
            <w:r>
              <w:rPr>
                <w:rFonts w:hint="eastAsia" w:ascii="黑体" w:hAnsi="黑体" w:eastAsia="黑体" w:cs="宋体"/>
                <w:color w:val="auto"/>
                <w:spacing w:val="0"/>
                <w:kern w:val="2"/>
                <w:sz w:val="24"/>
                <w:szCs w:val="24"/>
              </w:rPr>
              <w:t>环境保护措施</w:t>
            </w:r>
          </w:p>
        </w:tc>
        <w:tc>
          <w:tcPr>
            <w:tcW w:w="1423" w:type="dxa"/>
            <w:noWrap w:val="0"/>
            <w:vAlign w:val="center"/>
          </w:tcPr>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9"/>
              <w:rPr>
                <w:rFonts w:ascii="黑体" w:hAnsi="黑体" w:eastAsia="黑体" w:cs="宋体"/>
                <w:color w:val="auto"/>
                <w:spacing w:val="0"/>
                <w:kern w:val="2"/>
                <w:sz w:val="24"/>
                <w:szCs w:val="24"/>
              </w:rPr>
            </w:pPr>
            <w:r>
              <w:rPr>
                <w:rFonts w:hint="eastAsia" w:ascii="黑体" w:hAnsi="黑体" w:eastAsia="黑体" w:cs="宋体"/>
                <w:color w:val="auto"/>
                <w:spacing w:val="0"/>
                <w:kern w:val="2"/>
                <w:sz w:val="24"/>
                <w:szCs w:val="24"/>
              </w:rPr>
              <w:t>验收要求</w:t>
            </w:r>
          </w:p>
        </w:tc>
        <w:tc>
          <w:tcPr>
            <w:tcW w:w="2568" w:type="dxa"/>
            <w:noWrap w:val="0"/>
            <w:vAlign w:val="center"/>
          </w:tcPr>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9"/>
              <w:rPr>
                <w:rFonts w:ascii="黑体" w:hAnsi="黑体" w:eastAsia="黑体" w:cs="宋体"/>
                <w:color w:val="auto"/>
                <w:spacing w:val="0"/>
                <w:kern w:val="2"/>
                <w:sz w:val="24"/>
                <w:szCs w:val="24"/>
              </w:rPr>
            </w:pPr>
            <w:r>
              <w:rPr>
                <w:rFonts w:hint="eastAsia" w:ascii="黑体" w:hAnsi="黑体" w:eastAsia="黑体" w:cs="宋体"/>
                <w:color w:val="auto"/>
                <w:spacing w:val="0"/>
                <w:kern w:val="2"/>
                <w:sz w:val="24"/>
                <w:szCs w:val="24"/>
              </w:rPr>
              <w:t>环境保护措施</w:t>
            </w:r>
          </w:p>
        </w:tc>
        <w:tc>
          <w:tcPr>
            <w:tcW w:w="1435" w:type="dxa"/>
            <w:noWrap w:val="0"/>
            <w:vAlign w:val="center"/>
          </w:tcPr>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9"/>
              <w:rPr>
                <w:rFonts w:ascii="黑体" w:hAnsi="黑体" w:eastAsia="黑体" w:cs="宋体"/>
                <w:color w:val="auto"/>
                <w:spacing w:val="0"/>
                <w:kern w:val="2"/>
                <w:sz w:val="24"/>
                <w:szCs w:val="24"/>
              </w:rPr>
            </w:pPr>
            <w:r>
              <w:rPr>
                <w:rFonts w:hint="eastAsia" w:ascii="黑体" w:hAnsi="黑体" w:eastAsia="黑体" w:cs="宋体"/>
                <w:color w:val="auto"/>
                <w:spacing w:val="0"/>
                <w:kern w:val="2"/>
                <w:sz w:val="24"/>
                <w:szCs w:val="24"/>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cs="宋体"/>
                <w:color w:val="auto"/>
                <w:spacing w:val="0"/>
                <w:sz w:val="24"/>
                <w:szCs w:val="24"/>
              </w:rPr>
            </w:pPr>
            <w:r>
              <w:rPr>
                <w:rFonts w:hint="eastAsia" w:ascii="宋体" w:hAnsi="宋体" w:cs="宋体"/>
                <w:color w:val="auto"/>
                <w:spacing w:val="0"/>
                <w:sz w:val="24"/>
                <w:szCs w:val="24"/>
              </w:rPr>
              <w:t>陆生</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宋体" w:hAnsi="宋体" w:cs="宋体"/>
                <w:color w:val="auto"/>
                <w:spacing w:val="0"/>
                <w:sz w:val="24"/>
                <w:szCs w:val="24"/>
              </w:rPr>
            </w:pPr>
            <w:r>
              <w:rPr>
                <w:rFonts w:hint="eastAsia" w:ascii="宋体" w:hAnsi="宋体" w:cs="宋体"/>
                <w:color w:val="auto"/>
                <w:spacing w:val="0"/>
                <w:sz w:val="24"/>
                <w:szCs w:val="24"/>
              </w:rPr>
              <w:t>生态</w:t>
            </w:r>
          </w:p>
        </w:tc>
        <w:tc>
          <w:tcPr>
            <w:tcW w:w="2785" w:type="dxa"/>
            <w:noWrap w:val="0"/>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color w:val="auto"/>
                <w:spacing w:val="0"/>
                <w:sz w:val="24"/>
                <w:szCs w:val="24"/>
                <w:lang w:eastAsia="zh-CN"/>
              </w:rPr>
              <w:t>合理划定施工区域，加强施工管理，加强施工过程中“三废”管理，强化施工队伍的环保意识，加强生态环境保护宣传；</w:t>
            </w:r>
            <w:r>
              <w:rPr>
                <w:rFonts w:hint="eastAsia"/>
                <w:color w:val="auto"/>
                <w:spacing w:val="0"/>
                <w:sz w:val="24"/>
                <w:szCs w:val="24"/>
                <w:lang w:val="en-US" w:eastAsia="zh-CN"/>
              </w:rPr>
              <w:t>加强病虫害防治，</w:t>
            </w:r>
            <w:r>
              <w:rPr>
                <w:rFonts w:hint="eastAsia"/>
                <w:color w:val="auto"/>
                <w:spacing w:val="0"/>
                <w:sz w:val="24"/>
                <w:szCs w:val="24"/>
                <w:lang w:eastAsia="zh-CN"/>
              </w:rPr>
              <w:t>合理选择造林树种；对野生动植物尽量采取避让措施，严禁猎捕野生动物</w:t>
            </w:r>
            <w:r>
              <w:rPr>
                <w:rFonts w:hint="eastAsia"/>
                <w:color w:val="auto"/>
                <w:spacing w:val="0"/>
                <w:sz w:val="24"/>
                <w:szCs w:val="24"/>
                <w:lang w:val="en-US" w:eastAsia="zh-CN"/>
              </w:rPr>
              <w:t>及毁坏重点野生植物</w:t>
            </w:r>
            <w:r>
              <w:rPr>
                <w:rFonts w:hint="eastAsia"/>
                <w:color w:val="auto"/>
                <w:spacing w:val="0"/>
                <w:sz w:val="24"/>
                <w:szCs w:val="24"/>
                <w:lang w:eastAsia="zh-CN"/>
              </w:rPr>
              <w:t>；加强对水土流失重点防治区及治理区的保护措施；提高工程质量，加强</w:t>
            </w:r>
            <w:r>
              <w:rPr>
                <w:rFonts w:hint="eastAsia"/>
                <w:color w:val="auto"/>
                <w:spacing w:val="0"/>
                <w:sz w:val="24"/>
                <w:szCs w:val="24"/>
                <w:lang w:val="en-US" w:eastAsia="zh-CN"/>
              </w:rPr>
              <w:t>森林防火、</w:t>
            </w:r>
            <w:r>
              <w:rPr>
                <w:rFonts w:hint="eastAsia"/>
                <w:color w:val="auto"/>
                <w:spacing w:val="0"/>
                <w:sz w:val="24"/>
                <w:szCs w:val="24"/>
                <w:lang w:eastAsia="zh-CN"/>
              </w:rPr>
              <w:t>生态入侵风险管理；</w:t>
            </w:r>
            <w:r>
              <w:rPr>
                <w:rFonts w:hint="eastAsia"/>
                <w:color w:val="auto"/>
                <w:spacing w:val="0"/>
                <w:sz w:val="24"/>
                <w:szCs w:val="24"/>
                <w:lang w:val="en-US" w:eastAsia="zh-CN"/>
              </w:rPr>
              <w:t>建设完成后实施迹地恢复</w:t>
            </w:r>
            <w:r>
              <w:rPr>
                <w:rFonts w:hint="eastAsia"/>
                <w:color w:val="auto"/>
                <w:spacing w:val="0"/>
                <w:sz w:val="24"/>
                <w:szCs w:val="24"/>
                <w:lang w:eastAsia="zh-CN"/>
              </w:rPr>
              <w:t>；制定生态环境监测方案</w:t>
            </w:r>
          </w:p>
        </w:tc>
        <w:tc>
          <w:tcPr>
            <w:tcW w:w="1423" w:type="dxa"/>
            <w:noWrap w:val="0"/>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color w:val="auto"/>
                <w:spacing w:val="0"/>
                <w:sz w:val="24"/>
                <w:szCs w:val="24"/>
              </w:rPr>
              <w:t>陆生生境不被破坏</w:t>
            </w:r>
          </w:p>
        </w:tc>
        <w:tc>
          <w:tcPr>
            <w:tcW w:w="2568" w:type="dxa"/>
            <w:noWrap w:val="0"/>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2"/>
                <w:sz w:val="24"/>
                <w:szCs w:val="24"/>
                <w:highlight w:val="none"/>
                <w:lang w:val="en-US" w:eastAsia="zh-CN" w:bidi="ar-SA"/>
              </w:rPr>
            </w:pPr>
            <w:r>
              <w:rPr>
                <w:color w:val="auto"/>
                <w:spacing w:val="0"/>
                <w:sz w:val="24"/>
                <w:szCs w:val="24"/>
              </w:rPr>
              <w:t>抚育间伐</w:t>
            </w:r>
            <w:r>
              <w:rPr>
                <w:rFonts w:hint="eastAsia"/>
                <w:color w:val="auto"/>
                <w:spacing w:val="0"/>
                <w:sz w:val="24"/>
                <w:szCs w:val="24"/>
                <w:lang w:eastAsia="zh-CN"/>
              </w:rPr>
              <w:t>；</w:t>
            </w:r>
            <w:r>
              <w:rPr>
                <w:color w:val="auto"/>
                <w:spacing w:val="0"/>
                <w:sz w:val="24"/>
                <w:szCs w:val="24"/>
              </w:rPr>
              <w:t>造林后搞好幼树封禁保护</w:t>
            </w:r>
            <w:r>
              <w:rPr>
                <w:rFonts w:hint="eastAsia"/>
                <w:color w:val="auto"/>
                <w:spacing w:val="0"/>
                <w:sz w:val="24"/>
                <w:szCs w:val="24"/>
                <w:lang w:eastAsia="zh-CN"/>
              </w:rPr>
              <w:t>；实施“科技兴林”和可持续发展战略；</w:t>
            </w:r>
            <w:r>
              <w:rPr>
                <w:color w:val="auto"/>
                <w:spacing w:val="0"/>
                <w:sz w:val="24"/>
                <w:szCs w:val="24"/>
              </w:rPr>
              <w:t>林木的采伐和集材尽可能地保留地表植被，尽可能减少集材道的密度和数量</w:t>
            </w:r>
            <w:r>
              <w:rPr>
                <w:rFonts w:hint="eastAsia"/>
                <w:color w:val="auto"/>
                <w:spacing w:val="0"/>
                <w:sz w:val="24"/>
                <w:szCs w:val="24"/>
                <w:lang w:eastAsia="zh-CN"/>
              </w:rPr>
              <w:t>；</w:t>
            </w:r>
            <w:r>
              <w:rPr>
                <w:rFonts w:hint="eastAsia" w:ascii="Times New Roman" w:hAnsi="Times New Roman" w:eastAsia="宋体" w:cs="Times New Roman"/>
                <w:color w:val="auto"/>
                <w:sz w:val="24"/>
                <w:szCs w:val="24"/>
                <w:lang w:val="en-US" w:eastAsia="zh-CN"/>
              </w:rPr>
              <w:t>加强宣传教育，粘贴和设置公告、宣传册、警示标语（牌）等</w:t>
            </w:r>
            <w:r>
              <w:rPr>
                <w:rFonts w:hint="eastAsia" w:ascii="Times New Roman" w:hAnsi="Times New Roman" w:cs="Times New Roman"/>
                <w:color w:val="auto"/>
                <w:sz w:val="24"/>
                <w:szCs w:val="24"/>
                <w:lang w:val="en-US" w:eastAsia="zh-CN"/>
              </w:rPr>
              <w:t>；加强</w:t>
            </w:r>
            <w:r>
              <w:rPr>
                <w:rFonts w:hint="eastAsia"/>
                <w:color w:val="auto"/>
                <w:spacing w:val="0"/>
                <w:sz w:val="24"/>
                <w:szCs w:val="24"/>
                <w:lang w:val="en-US" w:eastAsia="zh-CN"/>
              </w:rPr>
              <w:t>森林防火</w:t>
            </w:r>
            <w:r>
              <w:rPr>
                <w:rFonts w:hint="eastAsia"/>
                <w:color w:val="auto"/>
                <w:spacing w:val="0"/>
                <w:sz w:val="24"/>
                <w:szCs w:val="24"/>
                <w:lang w:eastAsia="zh-CN"/>
              </w:rPr>
              <w:t>以及危险品管理；制定生态环境监测方案</w:t>
            </w:r>
          </w:p>
        </w:tc>
        <w:tc>
          <w:tcPr>
            <w:tcW w:w="1435" w:type="dxa"/>
            <w:noWrap w:val="0"/>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color w:val="auto"/>
                <w:spacing w:val="0"/>
                <w:sz w:val="24"/>
                <w:szCs w:val="24"/>
              </w:rPr>
              <w:t>陆生生境不被破坏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cs="宋体"/>
                <w:color w:val="auto"/>
                <w:spacing w:val="0"/>
                <w:sz w:val="24"/>
                <w:szCs w:val="24"/>
              </w:rPr>
            </w:pPr>
            <w:r>
              <w:rPr>
                <w:rFonts w:hint="eastAsia" w:ascii="宋体" w:hAnsi="宋体" w:cs="宋体"/>
                <w:color w:val="auto"/>
                <w:spacing w:val="0"/>
                <w:sz w:val="24"/>
                <w:szCs w:val="24"/>
              </w:rPr>
              <w:t>水生</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宋体" w:hAnsi="宋体" w:cs="宋体"/>
                <w:color w:val="auto"/>
                <w:spacing w:val="0"/>
                <w:sz w:val="24"/>
                <w:szCs w:val="24"/>
              </w:rPr>
            </w:pPr>
            <w:r>
              <w:rPr>
                <w:rFonts w:hint="eastAsia" w:ascii="宋体" w:hAnsi="宋体" w:cs="宋体"/>
                <w:color w:val="auto"/>
                <w:spacing w:val="0"/>
                <w:sz w:val="24"/>
                <w:szCs w:val="24"/>
              </w:rPr>
              <w:t>生态</w:t>
            </w:r>
          </w:p>
        </w:tc>
        <w:tc>
          <w:tcPr>
            <w:tcW w:w="2785"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c>
          <w:tcPr>
            <w:tcW w:w="1423"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c>
          <w:tcPr>
            <w:tcW w:w="2568"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c>
          <w:tcPr>
            <w:tcW w:w="1435"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cs="宋体"/>
                <w:color w:val="auto"/>
                <w:spacing w:val="0"/>
                <w:sz w:val="24"/>
                <w:szCs w:val="24"/>
              </w:rPr>
            </w:pPr>
            <w:r>
              <w:rPr>
                <w:rFonts w:hint="eastAsia" w:ascii="宋体" w:hAnsi="宋体" w:cs="宋体"/>
                <w:color w:val="auto"/>
                <w:spacing w:val="0"/>
                <w:sz w:val="24"/>
                <w:szCs w:val="24"/>
              </w:rPr>
              <w:t>地表</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cs="宋体"/>
                <w:color w:val="auto"/>
                <w:spacing w:val="0"/>
                <w:sz w:val="24"/>
                <w:szCs w:val="24"/>
              </w:rPr>
            </w:pPr>
            <w:r>
              <w:rPr>
                <w:rFonts w:hint="eastAsia" w:ascii="宋体" w:hAnsi="宋体" w:cs="宋体"/>
                <w:color w:val="auto"/>
                <w:spacing w:val="0"/>
                <w:sz w:val="24"/>
                <w:szCs w:val="24"/>
              </w:rPr>
              <w:t>水环</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宋体" w:hAnsi="宋体" w:cs="宋体"/>
                <w:color w:val="auto"/>
                <w:spacing w:val="0"/>
                <w:sz w:val="24"/>
                <w:szCs w:val="24"/>
              </w:rPr>
            </w:pPr>
            <w:r>
              <w:rPr>
                <w:rFonts w:hint="eastAsia" w:ascii="宋体" w:hAnsi="宋体" w:cs="宋体"/>
                <w:color w:val="auto"/>
                <w:spacing w:val="0"/>
                <w:sz w:val="24"/>
                <w:szCs w:val="24"/>
              </w:rPr>
              <w:t>境</w:t>
            </w:r>
          </w:p>
        </w:tc>
        <w:tc>
          <w:tcPr>
            <w:tcW w:w="27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①施工废水经简易沉淀池处理后回用于施工工序或道路降尘洒水</w:t>
            </w:r>
          </w:p>
          <w:p>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②施工生活污水依托民房已建污水处理设施</w:t>
            </w:r>
          </w:p>
        </w:tc>
        <w:tc>
          <w:tcPr>
            <w:tcW w:w="1423" w:type="dxa"/>
            <w:noWrap w:val="0"/>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回用或用作农肥，不外排</w:t>
            </w:r>
          </w:p>
        </w:tc>
        <w:tc>
          <w:tcPr>
            <w:tcW w:w="25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管理用房产生的生活污水经化粪池处理后用于周边山林、农田作为农肥消纳</w:t>
            </w:r>
          </w:p>
        </w:tc>
        <w:tc>
          <w:tcPr>
            <w:tcW w:w="14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回用或用作农肥，不外排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cs="宋体"/>
                <w:color w:val="auto"/>
                <w:spacing w:val="0"/>
                <w:sz w:val="24"/>
                <w:szCs w:val="24"/>
              </w:rPr>
            </w:pPr>
            <w:r>
              <w:rPr>
                <w:rFonts w:hint="eastAsia" w:ascii="宋体" w:hAnsi="宋体" w:cs="宋体"/>
                <w:color w:val="auto"/>
                <w:spacing w:val="0"/>
                <w:sz w:val="24"/>
                <w:szCs w:val="24"/>
              </w:rPr>
              <w:t>地下</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cs="宋体"/>
                <w:color w:val="auto"/>
                <w:spacing w:val="0"/>
                <w:sz w:val="24"/>
                <w:szCs w:val="24"/>
              </w:rPr>
            </w:pPr>
            <w:r>
              <w:rPr>
                <w:rFonts w:hint="eastAsia" w:ascii="宋体" w:hAnsi="宋体" w:cs="宋体"/>
                <w:color w:val="auto"/>
                <w:spacing w:val="0"/>
                <w:sz w:val="24"/>
                <w:szCs w:val="24"/>
              </w:rPr>
              <w:t>水及</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cs="宋体"/>
                <w:color w:val="auto"/>
                <w:spacing w:val="0"/>
                <w:sz w:val="24"/>
                <w:szCs w:val="24"/>
              </w:rPr>
            </w:pPr>
            <w:r>
              <w:rPr>
                <w:rFonts w:hint="eastAsia" w:ascii="宋体" w:hAnsi="宋体" w:cs="宋体"/>
                <w:color w:val="auto"/>
                <w:spacing w:val="0"/>
                <w:sz w:val="24"/>
                <w:szCs w:val="24"/>
              </w:rPr>
              <w:t>土壤</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宋体" w:hAnsi="宋体" w:cs="宋体"/>
                <w:color w:val="auto"/>
                <w:spacing w:val="0"/>
                <w:sz w:val="24"/>
                <w:szCs w:val="24"/>
              </w:rPr>
            </w:pPr>
            <w:r>
              <w:rPr>
                <w:rFonts w:hint="eastAsia" w:ascii="宋体" w:hAnsi="宋体" w:cs="宋体"/>
                <w:color w:val="auto"/>
                <w:spacing w:val="0"/>
                <w:sz w:val="24"/>
                <w:szCs w:val="24"/>
              </w:rPr>
              <w:t>环境</w:t>
            </w:r>
          </w:p>
        </w:tc>
        <w:tc>
          <w:tcPr>
            <w:tcW w:w="2785" w:type="dxa"/>
            <w:noWrap w:val="0"/>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c>
          <w:tcPr>
            <w:tcW w:w="1423" w:type="dxa"/>
            <w:noWrap w:val="0"/>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c>
          <w:tcPr>
            <w:tcW w:w="2568" w:type="dxa"/>
            <w:noWrap w:val="0"/>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c>
          <w:tcPr>
            <w:tcW w:w="1435"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cs="宋体"/>
                <w:color w:val="auto"/>
                <w:spacing w:val="0"/>
                <w:sz w:val="24"/>
                <w:szCs w:val="24"/>
              </w:rPr>
            </w:pPr>
            <w:r>
              <w:rPr>
                <w:rFonts w:hint="eastAsia" w:ascii="宋体" w:hAnsi="宋体" w:cs="宋体"/>
                <w:color w:val="auto"/>
                <w:spacing w:val="0"/>
                <w:sz w:val="24"/>
                <w:szCs w:val="24"/>
              </w:rPr>
              <w:t>声环</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宋体" w:hAnsi="宋体" w:cs="宋体"/>
                <w:color w:val="auto"/>
                <w:spacing w:val="0"/>
                <w:sz w:val="24"/>
                <w:szCs w:val="24"/>
              </w:rPr>
            </w:pPr>
            <w:r>
              <w:rPr>
                <w:rFonts w:hint="eastAsia" w:ascii="宋体" w:hAnsi="宋体" w:cs="宋体"/>
                <w:color w:val="auto"/>
                <w:spacing w:val="0"/>
                <w:sz w:val="24"/>
                <w:szCs w:val="24"/>
              </w:rPr>
              <w:t>境</w:t>
            </w:r>
          </w:p>
        </w:tc>
        <w:tc>
          <w:tcPr>
            <w:tcW w:w="2785" w:type="dxa"/>
            <w:noWrap w:val="0"/>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加强管理，</w:t>
            </w:r>
            <w:r>
              <w:rPr>
                <w:rFonts w:hint="eastAsia" w:ascii="Times New Roman" w:hAnsi="Times New Roman" w:cs="Times New Roman"/>
                <w:color w:val="auto"/>
                <w:spacing w:val="0"/>
                <w:kern w:val="0"/>
                <w:sz w:val="24"/>
                <w:szCs w:val="24"/>
                <w:highlight w:val="none"/>
                <w:lang w:val="en-US" w:eastAsia="zh-CN" w:bidi="ar"/>
              </w:rPr>
              <w:t>尽量避免夜间施工，</w:t>
            </w:r>
            <w:r>
              <w:rPr>
                <w:rFonts w:hint="default" w:ascii="Times New Roman" w:hAnsi="Times New Roman" w:eastAsia="宋体" w:cs="Times New Roman"/>
                <w:color w:val="auto"/>
                <w:spacing w:val="0"/>
                <w:kern w:val="0"/>
                <w:sz w:val="24"/>
                <w:szCs w:val="24"/>
                <w:highlight w:val="none"/>
                <w:lang w:val="en-US" w:eastAsia="zh-CN" w:bidi="ar"/>
              </w:rPr>
              <w:t>运输车辆经过</w:t>
            </w:r>
            <w:r>
              <w:rPr>
                <w:rFonts w:hint="eastAsia" w:ascii="Times New Roman" w:hAnsi="Times New Roman" w:cs="Times New Roman"/>
                <w:color w:val="auto"/>
                <w:spacing w:val="0"/>
                <w:kern w:val="0"/>
                <w:sz w:val="24"/>
                <w:szCs w:val="24"/>
                <w:highlight w:val="none"/>
                <w:lang w:val="en-US" w:eastAsia="zh-CN" w:bidi="ar"/>
              </w:rPr>
              <w:t>人员密集段</w:t>
            </w:r>
            <w:r>
              <w:rPr>
                <w:rFonts w:hint="default" w:ascii="Times New Roman" w:hAnsi="Times New Roman" w:eastAsia="宋体" w:cs="Times New Roman"/>
                <w:color w:val="auto"/>
                <w:spacing w:val="0"/>
                <w:kern w:val="0"/>
                <w:sz w:val="24"/>
                <w:szCs w:val="24"/>
                <w:highlight w:val="none"/>
                <w:lang w:val="en-US" w:eastAsia="zh-CN" w:bidi="ar"/>
              </w:rPr>
              <w:t>道路禁止鸣笛；选用符合标准的施工机械和运输车辆</w:t>
            </w:r>
          </w:p>
        </w:tc>
        <w:tc>
          <w:tcPr>
            <w:tcW w:w="1423" w:type="dxa"/>
            <w:noWrap w:val="0"/>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《建筑施工场界环境噪声排放标准》（GB12523-2011）</w:t>
            </w:r>
          </w:p>
        </w:tc>
        <w:tc>
          <w:tcPr>
            <w:tcW w:w="2568"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b w:val="0"/>
                <w:bCs w:val="0"/>
                <w:color w:val="auto"/>
                <w:sz w:val="24"/>
                <w:szCs w:val="24"/>
                <w:lang w:val="en-US" w:eastAsia="zh-CN"/>
              </w:rPr>
              <w:t>选用高效低噪设备；定期检修清理设备，防止因设备故障产生的噪声；合理安排作业时间、夜间不得采伐；在路口设置限速牌、</w:t>
            </w:r>
            <w:r>
              <w:rPr>
                <w:rFonts w:hint="eastAsia" w:ascii="Times New Roman" w:hAnsi="Times New Roman" w:eastAsia="宋体" w:cs="Times New Roman"/>
                <w:b w:val="0"/>
                <w:bCs w:val="0"/>
                <w:color w:val="auto"/>
                <w:sz w:val="24"/>
                <w:szCs w:val="24"/>
                <w:lang w:val="en-US" w:eastAsia="zh-CN"/>
              </w:rPr>
              <w:t>途经居民路段</w:t>
            </w:r>
            <w:r>
              <w:rPr>
                <w:rFonts w:hint="default" w:ascii="Times New Roman" w:hAnsi="Times New Roman" w:eastAsia="宋体" w:cs="Times New Roman"/>
                <w:b w:val="0"/>
                <w:bCs w:val="0"/>
                <w:color w:val="auto"/>
                <w:sz w:val="24"/>
                <w:szCs w:val="24"/>
                <w:lang w:val="en-US" w:eastAsia="zh-CN"/>
              </w:rPr>
              <w:t>控制运输车辆的行驶车速，减少鸣笛</w:t>
            </w:r>
          </w:p>
        </w:tc>
        <w:tc>
          <w:tcPr>
            <w:tcW w:w="1435" w:type="dxa"/>
            <w:noWrap w:val="0"/>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宋体" w:hAnsi="宋体" w:cs="宋体"/>
                <w:color w:val="auto"/>
                <w:spacing w:val="0"/>
                <w:sz w:val="24"/>
                <w:szCs w:val="24"/>
              </w:rPr>
            </w:pPr>
            <w:r>
              <w:rPr>
                <w:rFonts w:hint="eastAsia" w:ascii="宋体" w:hAnsi="宋体" w:cs="宋体"/>
                <w:color w:val="auto"/>
                <w:spacing w:val="0"/>
                <w:sz w:val="24"/>
                <w:szCs w:val="24"/>
              </w:rPr>
              <w:t>振动</w:t>
            </w:r>
          </w:p>
        </w:tc>
        <w:tc>
          <w:tcPr>
            <w:tcW w:w="27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w:t>
            </w:r>
          </w:p>
        </w:tc>
        <w:tc>
          <w:tcPr>
            <w:tcW w:w="142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w:t>
            </w:r>
          </w:p>
        </w:tc>
        <w:tc>
          <w:tcPr>
            <w:tcW w:w="25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w:t>
            </w:r>
          </w:p>
        </w:tc>
        <w:tc>
          <w:tcPr>
            <w:tcW w:w="14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cs="宋体"/>
                <w:color w:val="auto"/>
                <w:spacing w:val="0"/>
                <w:sz w:val="24"/>
                <w:szCs w:val="24"/>
              </w:rPr>
            </w:pPr>
            <w:r>
              <w:rPr>
                <w:rFonts w:hint="eastAsia" w:ascii="宋体" w:hAnsi="宋体" w:cs="宋体"/>
                <w:color w:val="auto"/>
                <w:spacing w:val="0"/>
                <w:sz w:val="24"/>
                <w:szCs w:val="24"/>
              </w:rPr>
              <w:t>大气</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宋体" w:hAnsi="宋体" w:cs="宋体"/>
                <w:color w:val="auto"/>
                <w:spacing w:val="0"/>
                <w:sz w:val="24"/>
                <w:szCs w:val="24"/>
              </w:rPr>
            </w:pPr>
            <w:r>
              <w:rPr>
                <w:rFonts w:hint="eastAsia" w:ascii="宋体" w:hAnsi="宋体" w:cs="宋体"/>
                <w:color w:val="auto"/>
                <w:spacing w:val="0"/>
                <w:sz w:val="24"/>
                <w:szCs w:val="24"/>
              </w:rPr>
              <w:t>环境</w:t>
            </w:r>
          </w:p>
        </w:tc>
        <w:tc>
          <w:tcPr>
            <w:tcW w:w="27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加强管理</w:t>
            </w:r>
            <w:r>
              <w:rPr>
                <w:rFonts w:hint="eastAsia" w:ascii="Times New Roman" w:hAnsi="Times New Roman" w:eastAsia="宋体" w:cs="Times New Roman"/>
                <w:color w:val="auto"/>
                <w:spacing w:val="0"/>
                <w:kern w:val="0"/>
                <w:sz w:val="24"/>
                <w:szCs w:val="24"/>
                <w:highlight w:val="none"/>
                <w:lang w:val="en-US" w:eastAsia="zh-CN" w:bidi="ar"/>
              </w:rPr>
              <w:t>，倡导</w:t>
            </w:r>
            <w:r>
              <w:rPr>
                <w:rFonts w:hint="default" w:ascii="Times New Roman" w:hAnsi="Times New Roman" w:eastAsia="宋体" w:cs="Times New Roman"/>
                <w:color w:val="auto"/>
                <w:spacing w:val="0"/>
                <w:kern w:val="0"/>
                <w:sz w:val="24"/>
                <w:szCs w:val="24"/>
                <w:highlight w:val="none"/>
                <w:lang w:val="en-US" w:eastAsia="zh-CN" w:bidi="ar"/>
              </w:rPr>
              <w:t>文明施工</w:t>
            </w:r>
            <w:r>
              <w:rPr>
                <w:rFonts w:hint="eastAsia" w:cs="Times New Roman"/>
                <w:color w:val="auto"/>
                <w:spacing w:val="0"/>
                <w:kern w:val="0"/>
                <w:sz w:val="24"/>
                <w:szCs w:val="24"/>
                <w:highlight w:val="none"/>
                <w:lang w:val="en-US" w:eastAsia="zh-CN" w:bidi="ar"/>
              </w:rPr>
              <w:t>，</w:t>
            </w:r>
            <w:r>
              <w:rPr>
                <w:rFonts w:hint="eastAsia" w:ascii="Times New Roman" w:hAnsi="Times New Roman" w:eastAsia="宋体" w:cs="Times New Roman"/>
                <w:color w:val="auto"/>
                <w:sz w:val="24"/>
                <w:szCs w:val="24"/>
                <w:lang w:val="zh-CN"/>
              </w:rPr>
              <w:t>施工场地洒水抑尘</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易起尘</w:t>
            </w:r>
            <w:r>
              <w:rPr>
                <w:rFonts w:hint="eastAsia" w:eastAsia="宋体"/>
                <w:color w:val="auto"/>
                <w:sz w:val="24"/>
                <w:szCs w:val="24"/>
                <w:lang w:val="en-US" w:eastAsia="zh-CN"/>
              </w:rPr>
              <w:t>施工</w:t>
            </w:r>
            <w:r>
              <w:rPr>
                <w:color w:val="auto"/>
                <w:sz w:val="24"/>
                <w:szCs w:val="24"/>
              </w:rPr>
              <w:t>材料</w:t>
            </w:r>
            <w:r>
              <w:rPr>
                <w:rFonts w:hint="eastAsia"/>
                <w:color w:val="auto"/>
                <w:sz w:val="24"/>
                <w:szCs w:val="24"/>
                <w:lang w:val="en-US" w:eastAsia="zh-CN"/>
              </w:rPr>
              <w:t>篷布覆盖</w:t>
            </w:r>
            <w:r>
              <w:rPr>
                <w:rFonts w:hint="eastAsia"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运输车辆</w:t>
            </w:r>
            <w:r>
              <w:rPr>
                <w:rFonts w:hint="eastAsia" w:cs="Times New Roman"/>
                <w:color w:val="auto"/>
                <w:spacing w:val="0"/>
                <w:kern w:val="0"/>
                <w:sz w:val="24"/>
                <w:szCs w:val="24"/>
                <w:highlight w:val="none"/>
                <w:lang w:val="en-US" w:eastAsia="zh-CN" w:bidi="ar"/>
              </w:rPr>
              <w:t>限速</w:t>
            </w:r>
          </w:p>
        </w:tc>
        <w:tc>
          <w:tcPr>
            <w:tcW w:w="142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《大气污染物综合排放标准》（GB16297-1996）无组织排放标准</w:t>
            </w:r>
          </w:p>
        </w:tc>
        <w:tc>
          <w:tcPr>
            <w:tcW w:w="25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kern w:val="2"/>
                <w:sz w:val="24"/>
                <w:szCs w:val="24"/>
                <w:lang w:val="en-US" w:eastAsia="zh-CN" w:bidi="ar-SA"/>
              </w:rPr>
              <w:t>农药产生的微量异味属于间断性排放，施肥施药采用精准施药技术，选用高效、低毒、低残留的农药，可以降低农药与化肥对周边环境的影响；林木采伐粉尘、运输扬尘及燃油废气自然稀释扩散</w:t>
            </w:r>
          </w:p>
        </w:tc>
        <w:tc>
          <w:tcPr>
            <w:tcW w:w="14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《大气污染物综合排放标准》（GB16297-1996）无组织排放标准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cs="宋体"/>
                <w:color w:val="auto"/>
                <w:spacing w:val="0"/>
                <w:sz w:val="24"/>
                <w:szCs w:val="24"/>
              </w:rPr>
            </w:pPr>
            <w:r>
              <w:rPr>
                <w:rFonts w:hint="eastAsia" w:ascii="宋体" w:hAnsi="宋体" w:cs="宋体"/>
                <w:color w:val="auto"/>
                <w:spacing w:val="0"/>
                <w:sz w:val="24"/>
                <w:szCs w:val="24"/>
              </w:rPr>
              <w:t>固体</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宋体" w:hAnsi="宋体" w:cs="宋体"/>
                <w:color w:val="auto"/>
                <w:spacing w:val="0"/>
                <w:sz w:val="24"/>
                <w:szCs w:val="24"/>
              </w:rPr>
            </w:pPr>
            <w:r>
              <w:rPr>
                <w:rFonts w:hint="eastAsia" w:ascii="宋体" w:hAnsi="宋体" w:cs="宋体"/>
                <w:color w:val="auto"/>
                <w:spacing w:val="0"/>
                <w:sz w:val="24"/>
                <w:szCs w:val="24"/>
              </w:rPr>
              <w:t>废物</w:t>
            </w:r>
          </w:p>
        </w:tc>
        <w:tc>
          <w:tcPr>
            <w:tcW w:w="2785" w:type="dxa"/>
            <w:noWrap w:val="0"/>
            <w:vAlign w:val="center"/>
          </w:tcPr>
          <w:p>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弃土基本挖填平衡；废弃包装袋</w:t>
            </w:r>
            <w:r>
              <w:rPr>
                <w:rFonts w:hint="eastAsia" w:ascii="Times New Roman" w:hAnsi="Times New Roman" w:cs="Times New Roman"/>
                <w:color w:val="auto"/>
                <w:spacing w:val="0"/>
                <w:kern w:val="0"/>
                <w:sz w:val="24"/>
                <w:szCs w:val="24"/>
                <w:highlight w:val="none"/>
                <w:lang w:val="en-US" w:eastAsia="zh-CN" w:bidi="ar"/>
              </w:rPr>
              <w:t>外售</w:t>
            </w:r>
            <w:r>
              <w:rPr>
                <w:rFonts w:hint="default" w:ascii="Times New Roman" w:hAnsi="Times New Roman" w:eastAsia="宋体" w:cs="Times New Roman"/>
                <w:color w:val="auto"/>
                <w:spacing w:val="0"/>
                <w:kern w:val="0"/>
                <w:sz w:val="24"/>
                <w:szCs w:val="24"/>
                <w:highlight w:val="none"/>
                <w:lang w:val="en-US" w:eastAsia="zh-CN" w:bidi="ar"/>
              </w:rPr>
              <w:t>废品回收公司处置；生活垃圾运至</w:t>
            </w:r>
            <w:r>
              <w:rPr>
                <w:rFonts w:hint="eastAsia" w:ascii="Times New Roman" w:hAnsi="Times New Roman" w:cs="Times New Roman"/>
                <w:color w:val="auto"/>
                <w:spacing w:val="0"/>
                <w:kern w:val="0"/>
                <w:sz w:val="24"/>
                <w:szCs w:val="24"/>
                <w:highlight w:val="none"/>
                <w:lang w:val="en-US" w:eastAsia="zh-CN" w:bidi="ar"/>
              </w:rPr>
              <w:t>附近垃圾收集点，交由</w:t>
            </w:r>
            <w:r>
              <w:rPr>
                <w:rFonts w:hint="default" w:ascii="Times New Roman" w:hAnsi="Times New Roman" w:eastAsia="宋体" w:cs="Times New Roman"/>
                <w:color w:val="auto"/>
                <w:spacing w:val="0"/>
                <w:kern w:val="0"/>
                <w:sz w:val="24"/>
                <w:szCs w:val="24"/>
                <w:highlight w:val="none"/>
                <w:lang w:val="en-US" w:eastAsia="zh-CN" w:bidi="ar"/>
              </w:rPr>
              <w:t>环卫部门清运</w:t>
            </w:r>
            <w:r>
              <w:rPr>
                <w:rFonts w:hint="eastAsia" w:ascii="Times New Roman" w:hAnsi="Times New Roman" w:cs="Times New Roman"/>
                <w:color w:val="auto"/>
                <w:spacing w:val="0"/>
                <w:kern w:val="0"/>
                <w:sz w:val="24"/>
                <w:szCs w:val="24"/>
                <w:highlight w:val="none"/>
                <w:lang w:val="en-US" w:eastAsia="zh-CN" w:bidi="ar"/>
              </w:rPr>
              <w:t>处理</w:t>
            </w:r>
          </w:p>
        </w:tc>
        <w:tc>
          <w:tcPr>
            <w:tcW w:w="1423"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right="105" w:righ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施工现场不遗留垃圾</w:t>
            </w:r>
          </w:p>
        </w:tc>
        <w:tc>
          <w:tcPr>
            <w:tcW w:w="2568"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right="101" w:righ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废弃包装袋经收集后</w:t>
            </w:r>
            <w:r>
              <w:rPr>
                <w:rFonts w:hint="eastAsia" w:ascii="Times New Roman" w:hAnsi="Times New Roman" w:cs="Times New Roman"/>
                <w:color w:val="auto"/>
                <w:spacing w:val="0"/>
                <w:kern w:val="0"/>
                <w:sz w:val="24"/>
                <w:szCs w:val="24"/>
                <w:highlight w:val="none"/>
                <w:lang w:val="en-US" w:eastAsia="zh-CN" w:bidi="ar"/>
              </w:rPr>
              <w:t>外售</w:t>
            </w:r>
            <w:r>
              <w:rPr>
                <w:rFonts w:hint="default" w:ascii="Times New Roman" w:hAnsi="Times New Roman" w:eastAsia="宋体" w:cs="Times New Roman"/>
                <w:color w:val="auto"/>
                <w:spacing w:val="0"/>
                <w:kern w:val="0"/>
                <w:sz w:val="24"/>
                <w:szCs w:val="24"/>
                <w:highlight w:val="none"/>
                <w:lang w:val="en-US" w:eastAsia="zh-CN" w:bidi="ar"/>
              </w:rPr>
              <w:t>废品回收公司处置；清理的灌木杂草及产生的</w:t>
            </w:r>
            <w:r>
              <w:rPr>
                <w:rFonts w:hint="eastAsia" w:ascii="Times New Roman" w:hAnsi="Times New Roman" w:cs="Times New Roman"/>
                <w:color w:val="auto"/>
                <w:spacing w:val="0"/>
                <w:kern w:val="0"/>
                <w:sz w:val="24"/>
                <w:szCs w:val="24"/>
                <w:highlight w:val="none"/>
                <w:lang w:val="en-US" w:eastAsia="zh-CN" w:bidi="ar"/>
              </w:rPr>
              <w:t>枯枝落叶</w:t>
            </w:r>
            <w:r>
              <w:rPr>
                <w:rFonts w:hint="default" w:ascii="Times New Roman" w:hAnsi="Times New Roman" w:eastAsia="宋体" w:cs="Times New Roman"/>
                <w:color w:val="auto"/>
                <w:spacing w:val="0"/>
                <w:kern w:val="0"/>
                <w:sz w:val="24"/>
                <w:szCs w:val="24"/>
                <w:highlight w:val="none"/>
                <w:lang w:val="en-US" w:eastAsia="zh-CN" w:bidi="ar"/>
              </w:rPr>
              <w:t>，自然腐烂为肥料；生活垃圾运至</w:t>
            </w:r>
            <w:r>
              <w:rPr>
                <w:rFonts w:hint="eastAsia" w:ascii="Times New Roman" w:hAnsi="Times New Roman" w:cs="Times New Roman"/>
                <w:color w:val="auto"/>
                <w:spacing w:val="0"/>
                <w:kern w:val="0"/>
                <w:sz w:val="24"/>
                <w:szCs w:val="24"/>
                <w:highlight w:val="none"/>
                <w:lang w:val="en-US" w:eastAsia="zh-CN" w:bidi="ar"/>
              </w:rPr>
              <w:t>附近垃圾收集点，交由</w:t>
            </w:r>
            <w:r>
              <w:rPr>
                <w:rFonts w:hint="default" w:ascii="Times New Roman" w:hAnsi="Times New Roman" w:eastAsia="宋体" w:cs="Times New Roman"/>
                <w:color w:val="auto"/>
                <w:spacing w:val="0"/>
                <w:kern w:val="0"/>
                <w:sz w:val="24"/>
                <w:szCs w:val="24"/>
                <w:highlight w:val="none"/>
                <w:lang w:val="en-US" w:eastAsia="zh-CN" w:bidi="ar"/>
              </w:rPr>
              <w:t>环卫部门清运</w:t>
            </w:r>
            <w:r>
              <w:rPr>
                <w:rFonts w:hint="eastAsia" w:ascii="Times New Roman" w:hAnsi="Times New Roman" w:cs="Times New Roman"/>
                <w:color w:val="auto"/>
                <w:spacing w:val="0"/>
                <w:kern w:val="0"/>
                <w:sz w:val="24"/>
                <w:szCs w:val="24"/>
                <w:highlight w:val="none"/>
                <w:lang w:val="en-US" w:eastAsia="zh-CN" w:bidi="ar"/>
              </w:rPr>
              <w:t>处理</w:t>
            </w:r>
            <w:r>
              <w:rPr>
                <w:rFonts w:hint="default" w:ascii="Times New Roman" w:hAnsi="Times New Roman" w:eastAsia="宋体" w:cs="Times New Roman"/>
                <w:color w:val="auto"/>
                <w:spacing w:val="0"/>
                <w:kern w:val="0"/>
                <w:sz w:val="24"/>
                <w:szCs w:val="24"/>
                <w:highlight w:val="none"/>
                <w:lang w:val="en-US" w:eastAsia="zh-CN" w:bidi="ar"/>
              </w:rPr>
              <w:t>；农药废弃包装物及时收集并交回农药经营者或交由专门的农药包装废弃物回收站（点）处置</w:t>
            </w:r>
          </w:p>
        </w:tc>
        <w:tc>
          <w:tcPr>
            <w:tcW w:w="1435"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right="101" w:righ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宋体" w:hAnsi="宋体" w:cs="宋体"/>
                <w:color w:val="auto"/>
                <w:spacing w:val="0"/>
                <w:sz w:val="24"/>
                <w:szCs w:val="24"/>
              </w:rPr>
            </w:pPr>
            <w:r>
              <w:rPr>
                <w:rFonts w:hint="eastAsia" w:ascii="宋体" w:hAnsi="宋体" w:cs="宋体"/>
                <w:color w:val="auto"/>
                <w:spacing w:val="0"/>
                <w:sz w:val="24"/>
                <w:szCs w:val="24"/>
              </w:rPr>
              <w:t>电磁环境</w:t>
            </w:r>
          </w:p>
        </w:tc>
        <w:tc>
          <w:tcPr>
            <w:tcW w:w="27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w:t>
            </w:r>
          </w:p>
        </w:tc>
        <w:tc>
          <w:tcPr>
            <w:tcW w:w="142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w:t>
            </w:r>
          </w:p>
        </w:tc>
        <w:tc>
          <w:tcPr>
            <w:tcW w:w="25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w:t>
            </w:r>
          </w:p>
        </w:tc>
        <w:tc>
          <w:tcPr>
            <w:tcW w:w="14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宋体" w:hAnsi="宋体" w:cs="宋体"/>
                <w:color w:val="auto"/>
                <w:spacing w:val="0"/>
                <w:sz w:val="24"/>
                <w:szCs w:val="24"/>
              </w:rPr>
            </w:pPr>
            <w:r>
              <w:rPr>
                <w:rFonts w:hint="eastAsia" w:ascii="宋体" w:hAnsi="宋体" w:cs="宋体"/>
                <w:color w:val="auto"/>
                <w:spacing w:val="0"/>
                <w:sz w:val="24"/>
                <w:szCs w:val="24"/>
              </w:rPr>
              <w:t>环境风险</w:t>
            </w:r>
          </w:p>
        </w:tc>
        <w:tc>
          <w:tcPr>
            <w:tcW w:w="2785"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c>
          <w:tcPr>
            <w:tcW w:w="1423"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c>
          <w:tcPr>
            <w:tcW w:w="2568"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c>
          <w:tcPr>
            <w:tcW w:w="1435"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ascii="宋体" w:hAnsi="宋体" w:cs="宋体"/>
                <w:color w:val="auto"/>
                <w:spacing w:val="0"/>
                <w:sz w:val="24"/>
                <w:szCs w:val="24"/>
              </w:rPr>
            </w:pPr>
            <w:r>
              <w:rPr>
                <w:rFonts w:hint="eastAsia" w:ascii="宋体" w:hAnsi="宋体" w:cs="宋体"/>
                <w:color w:val="auto"/>
                <w:spacing w:val="0"/>
                <w:sz w:val="24"/>
                <w:szCs w:val="24"/>
              </w:rPr>
              <w:t>环境监测</w:t>
            </w:r>
          </w:p>
        </w:tc>
        <w:tc>
          <w:tcPr>
            <w:tcW w:w="2785"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c>
          <w:tcPr>
            <w:tcW w:w="1423"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c>
          <w:tcPr>
            <w:tcW w:w="2568"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c>
          <w:tcPr>
            <w:tcW w:w="1435" w:type="dxa"/>
            <w:noWrap w:val="0"/>
            <w:vAlign w:val="center"/>
          </w:tcPr>
          <w:p>
            <w:pPr>
              <w:pStyle w:val="59"/>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cs="宋体"/>
                <w:color w:val="auto"/>
                <w:spacing w:val="0"/>
                <w:sz w:val="24"/>
                <w:szCs w:val="24"/>
              </w:rPr>
            </w:pPr>
            <w:r>
              <w:rPr>
                <w:rFonts w:hint="eastAsia" w:ascii="宋体" w:hAnsi="宋体" w:cs="宋体"/>
                <w:color w:val="auto"/>
                <w:spacing w:val="0"/>
                <w:sz w:val="24"/>
                <w:szCs w:val="24"/>
              </w:rPr>
              <w:t>其他</w:t>
            </w:r>
          </w:p>
        </w:tc>
        <w:tc>
          <w:tcPr>
            <w:tcW w:w="8211" w:type="dxa"/>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一、运营期管理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1、环境管理制度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本项目设立有专门的环保机构和专职负责人，配备环保人员1人，负责项目区的环境管理工作。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（1）工程前期的环境管理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①负责办理项目环境影响评价等委托编制和审批。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②在设计阶段，本报告表中提出的各项环保措施应列入设计之中，并落实资金，上报环保部门审查。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③加强施工期环境工程监理与施工队伍管理，严格执行“三同时”制度，建立环境管理制度，环保实施计划应有专门记录，设立运行台账并报环保部门备案。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④加强施工期环境工程监理与施工队伍管理，严格执行“三同时”制度，环保实施计划应有专门记录，并存档备查。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⑤加强施工期及营运期环保工程监理。环保设施施工照片、环保设施运行状况，以图文资料</w:t>
            </w:r>
            <w:r>
              <w:rPr>
                <w:rFonts w:hint="eastAsia" w:cs="Times New Roman"/>
                <w:color w:val="auto"/>
                <w:spacing w:val="0"/>
                <w:kern w:val="0"/>
                <w:sz w:val="24"/>
                <w:szCs w:val="24"/>
                <w:highlight w:val="none"/>
                <w:lang w:val="en-US" w:eastAsia="zh-CN" w:bidi="ar"/>
              </w:rPr>
              <w:t>形式</w:t>
            </w:r>
            <w:r>
              <w:rPr>
                <w:rFonts w:hint="default" w:ascii="Times New Roman" w:hAnsi="Times New Roman" w:eastAsia="宋体" w:cs="Times New Roman"/>
                <w:color w:val="auto"/>
                <w:spacing w:val="0"/>
                <w:kern w:val="0"/>
                <w:sz w:val="24"/>
                <w:szCs w:val="24"/>
                <w:highlight w:val="none"/>
                <w:lang w:val="en-US" w:eastAsia="zh-CN" w:bidi="ar"/>
              </w:rPr>
              <w:t>存档备查。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⑥加强施工期环保工程监理工作，施工期采取的环保措施以图文资料的</w:t>
            </w:r>
            <w:r>
              <w:rPr>
                <w:rFonts w:hint="eastAsia" w:cs="Times New Roman"/>
                <w:color w:val="auto"/>
                <w:spacing w:val="0"/>
                <w:kern w:val="0"/>
                <w:sz w:val="24"/>
                <w:szCs w:val="24"/>
                <w:highlight w:val="none"/>
                <w:lang w:val="en-US" w:eastAsia="zh-CN" w:bidi="ar"/>
              </w:rPr>
              <w:t>形式</w:t>
            </w:r>
            <w:r>
              <w:rPr>
                <w:rFonts w:hint="default" w:ascii="Times New Roman" w:hAnsi="Times New Roman" w:eastAsia="宋体" w:cs="Times New Roman"/>
                <w:color w:val="auto"/>
                <w:spacing w:val="0"/>
                <w:kern w:val="0"/>
                <w:sz w:val="24"/>
                <w:szCs w:val="24"/>
                <w:highlight w:val="none"/>
                <w:lang w:val="en-US" w:eastAsia="zh-CN" w:bidi="ar"/>
              </w:rPr>
              <w:t>存档备查。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（2）运营期环境管理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1）环境管理机构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在</w:t>
            </w:r>
            <w:r>
              <w:rPr>
                <w:rFonts w:hint="eastAsia" w:cs="Times New Roman"/>
                <w:color w:val="auto"/>
                <w:spacing w:val="0"/>
                <w:kern w:val="0"/>
                <w:sz w:val="24"/>
                <w:szCs w:val="24"/>
                <w:highlight w:val="none"/>
                <w:lang w:val="en-US" w:eastAsia="zh-CN" w:bidi="ar"/>
              </w:rPr>
              <w:t>公司总经理</w:t>
            </w:r>
            <w:r>
              <w:rPr>
                <w:rFonts w:hint="default" w:ascii="Times New Roman" w:hAnsi="Times New Roman" w:eastAsia="宋体" w:cs="Times New Roman"/>
                <w:color w:val="auto"/>
                <w:spacing w:val="0"/>
                <w:kern w:val="0"/>
                <w:sz w:val="24"/>
                <w:szCs w:val="24"/>
                <w:highlight w:val="none"/>
                <w:lang w:val="en-US" w:eastAsia="zh-CN" w:bidi="ar"/>
              </w:rPr>
              <w:t>直接领导下，生产技术管理部实施环保管理和环保目标考核工作，生产技术管理部环保科设置有1名兼职环保管理人员，具体落实企业的各项环保工作。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2）环保科环境管理基本职责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①负责在内部贯彻执行国家及地方政府、</w:t>
            </w:r>
            <w:r>
              <w:rPr>
                <w:rFonts w:hint="eastAsia" w:cs="Times New Roman"/>
                <w:color w:val="auto"/>
                <w:spacing w:val="0"/>
                <w:kern w:val="0"/>
                <w:sz w:val="24"/>
                <w:szCs w:val="24"/>
                <w:highlight w:val="none"/>
                <w:lang w:val="en-US" w:eastAsia="zh-CN" w:bidi="ar"/>
              </w:rPr>
              <w:t>生态环境部</w:t>
            </w:r>
            <w:r>
              <w:rPr>
                <w:rFonts w:hint="default" w:ascii="Times New Roman" w:hAnsi="Times New Roman" w:eastAsia="宋体" w:cs="Times New Roman"/>
                <w:color w:val="auto"/>
                <w:spacing w:val="0"/>
                <w:kern w:val="0"/>
                <w:sz w:val="24"/>
                <w:szCs w:val="24"/>
                <w:highlight w:val="none"/>
                <w:lang w:val="en-US" w:eastAsia="zh-CN" w:bidi="ar"/>
              </w:rPr>
              <w:t>门的有关法律、法规、环保标准、条例和办法等；制定和推行环保考核制度和办法；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②按照IS014001环境管理体系进行环境管理：制定公司环境方针，确定目标指标，制定年度环境管理方案，监督落实，实现持续改进；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③推行清洁生产工作，对各工序进行清洁生产企业内部审核，不断提高清洁生产水平；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④推广使用环保新技术、新工艺、新材料；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⑤进行环保宣传、环保培训及总结交流经验；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⑥环保设施的运行监督管理，建立环保设施运行维护及污染物处置台账，台账记录需包括污染物种类、产生量、处理方式、去向等。定期向当地生态环境局汇报污染治理设施运行情况和监视性监测结果。建立污染事故报告制度，当污染事故发生时，应立即向当地生态环境局报告，并采取相应措施，并向</w:t>
            </w:r>
            <w:r>
              <w:rPr>
                <w:rFonts w:hint="eastAsia" w:cs="Times New Roman"/>
                <w:color w:val="auto"/>
                <w:spacing w:val="0"/>
                <w:kern w:val="0"/>
                <w:sz w:val="24"/>
                <w:szCs w:val="24"/>
                <w:highlight w:val="none"/>
                <w:lang w:val="en-US" w:eastAsia="zh-CN" w:bidi="ar"/>
              </w:rPr>
              <w:t>遂宁市蓬溪</w:t>
            </w:r>
            <w:r>
              <w:rPr>
                <w:rFonts w:hint="default" w:ascii="Times New Roman" w:hAnsi="Times New Roman" w:eastAsia="宋体" w:cs="Times New Roman"/>
                <w:color w:val="auto"/>
                <w:spacing w:val="0"/>
                <w:kern w:val="0"/>
                <w:sz w:val="24"/>
                <w:szCs w:val="24"/>
                <w:highlight w:val="none"/>
                <w:lang w:val="en-US" w:eastAsia="zh-CN" w:bidi="ar"/>
              </w:rPr>
              <w:t>生态环境局备案。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⑦建立</w:t>
            </w:r>
            <w:r>
              <w:rPr>
                <w:rFonts w:hint="eastAsia" w:cs="Times New Roman"/>
                <w:color w:val="auto"/>
                <w:spacing w:val="0"/>
                <w:kern w:val="0"/>
                <w:sz w:val="24"/>
                <w:szCs w:val="24"/>
                <w:highlight w:val="none"/>
                <w:lang w:val="en-US" w:eastAsia="zh-CN" w:bidi="ar"/>
              </w:rPr>
              <w:t>项目区</w:t>
            </w:r>
            <w:r>
              <w:rPr>
                <w:rFonts w:hint="default" w:ascii="Times New Roman" w:hAnsi="Times New Roman" w:eastAsia="宋体" w:cs="Times New Roman"/>
                <w:color w:val="auto"/>
                <w:spacing w:val="0"/>
                <w:kern w:val="0"/>
                <w:sz w:val="24"/>
                <w:szCs w:val="24"/>
                <w:highlight w:val="none"/>
                <w:lang w:val="en-US" w:eastAsia="zh-CN" w:bidi="ar"/>
              </w:rPr>
              <w:t>的水文、地质、土壤和动植物等生态环境和人文环境基础状况数据库。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二、验收管理要求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根据中华人民共和国国务院令第682号《国务院关于修改&lt;建设项目环境保护管理条例&gt;的决定》于2017年6月21日修订，自2017年10月1日起施行。根据国务院关于修改《建设项目环境保护管理条例</w:t>
            </w:r>
            <w:r>
              <w:rPr>
                <w:rFonts w:hint="eastAsia" w:cs="Times New Roman"/>
                <w:color w:val="auto"/>
                <w:spacing w:val="0"/>
                <w:kern w:val="0"/>
                <w:sz w:val="24"/>
                <w:szCs w:val="24"/>
                <w:highlight w:val="none"/>
                <w:lang w:val="en-US" w:eastAsia="zh-CN" w:bidi="ar"/>
              </w:rPr>
              <w:t>》的</w:t>
            </w:r>
            <w:r>
              <w:rPr>
                <w:rFonts w:hint="default" w:ascii="Times New Roman" w:hAnsi="Times New Roman" w:eastAsia="宋体" w:cs="Times New Roman"/>
                <w:color w:val="auto"/>
                <w:spacing w:val="0"/>
                <w:kern w:val="0"/>
                <w:sz w:val="24"/>
                <w:szCs w:val="24"/>
                <w:highlight w:val="none"/>
                <w:lang w:val="en-US" w:eastAsia="zh-CN" w:bidi="ar"/>
              </w:rPr>
              <w:t>要求，提出项目业主单位自主验收的管理要求如下：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①环境保护行政主管部门应当对本项目环境保护设施设计、施工、验收、投入使用情况，以及有关环境影响评价文件确定的其他环境保护措施的落实情况，进行监督检查。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②本项目建设竣工后，业主应当按照国务院环境保护行政主管部门规定的标准和程序，对配套建设的环境保护设施进行验收，编制验收报告。</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③建设单位应该对施工期环保设施、措施进行记录或拍照，在环境保护设施验收过程中，应当如实查验、监测、记载建设项目环境保护设施的建设和调试情况，不得弄虚作假。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④本项目建设的环境保护设施经验收合格后，方可投入生产或者使用；未经验收或者验收不合格的，不得投入生产或者使用。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根据新修改的《建设项目环境保护管理条例》，本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tc>
      </w:tr>
    </w:tbl>
    <w:p>
      <w:pPr>
        <w:rPr>
          <w:rFonts w:hint="eastAsia"/>
          <w:color w:val="auto"/>
        </w:rPr>
      </w:pPr>
      <w:r>
        <w:rPr>
          <w:rFonts w:hint="eastAsia"/>
          <w:color w:val="auto"/>
        </w:rPr>
        <w:br w:type="page"/>
      </w:r>
    </w:p>
    <w:p>
      <w:pPr>
        <w:pStyle w:val="34"/>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lang w:val="en-US" w:eastAsia="zh-CN"/>
        </w:rPr>
      </w:pPr>
      <w:bookmarkStart w:id="14" w:name="_Toc18272"/>
      <w:r>
        <w:rPr>
          <w:rFonts w:hint="eastAsia" w:ascii="Times New Roman" w:hAnsi="Times New Roman" w:cs="Times New Roman"/>
          <w:color w:val="auto"/>
          <w:lang w:val="en-US" w:eastAsia="zh-CN"/>
        </w:rPr>
        <w:t>七、结论</w:t>
      </w:r>
      <w:bookmarkEnd w:id="14"/>
    </w:p>
    <w:tbl>
      <w:tblPr>
        <w:tblStyle w:val="22"/>
        <w:tblW w:w="85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9" w:hRule="atLeast"/>
          <w:jc w:val="center"/>
        </w:trPr>
        <w:tc>
          <w:tcPr>
            <w:tcW w:w="852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本项目符合国家产业政策</w:t>
            </w:r>
            <w:r>
              <w:rPr>
                <w:rFonts w:hint="eastAsia" w:cs="Times New Roman"/>
                <w:color w:val="auto"/>
                <w:kern w:val="0"/>
                <w:sz w:val="24"/>
                <w:szCs w:val="24"/>
                <w:highlight w:val="none"/>
                <w:lang w:val="en-US" w:eastAsia="zh-CN" w:bidi="ar"/>
              </w:rPr>
              <w:t>，选址合理，</w:t>
            </w:r>
            <w:r>
              <w:rPr>
                <w:rFonts w:hint="default" w:ascii="Times New Roman" w:hAnsi="Times New Roman" w:eastAsia="宋体" w:cs="Times New Roman"/>
                <w:color w:val="auto"/>
                <w:sz w:val="24"/>
                <w:lang w:bidi="ar"/>
              </w:rPr>
              <w:t>建成后能改善区域生态环境</w:t>
            </w: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val="en-US" w:eastAsia="zh-CN" w:bidi="ar"/>
              </w:rPr>
              <w:t>在涵养水源、</w:t>
            </w:r>
            <w:r>
              <w:rPr>
                <w:rFonts w:hint="eastAsia" w:ascii="Times New Roman" w:hAnsi="Times New Roman" w:eastAsia="宋体" w:cs="Times New Roman"/>
                <w:color w:val="auto"/>
                <w:sz w:val="24"/>
                <w:lang w:val="en-US" w:eastAsia="zh-CN" w:bidi="ar"/>
              </w:rPr>
              <w:t>防止</w:t>
            </w:r>
            <w:r>
              <w:rPr>
                <w:rFonts w:hint="default" w:ascii="Times New Roman" w:hAnsi="Times New Roman" w:eastAsia="宋体" w:cs="Times New Roman"/>
                <w:color w:val="auto"/>
                <w:sz w:val="24"/>
                <w:lang w:val="en-US" w:eastAsia="zh-CN" w:bidi="ar"/>
              </w:rPr>
              <w:t>水土流失及改良土壤上起到一定的促进作用</w:t>
            </w:r>
            <w:r>
              <w:rPr>
                <w:rFonts w:hint="default" w:ascii="Times New Roman" w:hAnsi="Times New Roman" w:eastAsia="宋体" w:cs="Times New Roman"/>
                <w:color w:val="auto"/>
                <w:kern w:val="0"/>
                <w:sz w:val="24"/>
                <w:szCs w:val="24"/>
                <w:highlight w:val="none"/>
                <w:lang w:val="en-US" w:eastAsia="zh-CN" w:bidi="ar"/>
              </w:rPr>
              <w:t>。项目采用的污染防治措施有效、可靠。项目的污染物排放量较小，通过采取相应的环境保护对策措施可以实现达标排放，所采用的环保措施技术经济</w:t>
            </w:r>
            <w:r>
              <w:rPr>
                <w:rFonts w:hint="eastAsia" w:cs="Times New Roman"/>
                <w:color w:val="auto"/>
                <w:kern w:val="0"/>
                <w:sz w:val="24"/>
                <w:szCs w:val="24"/>
                <w:highlight w:val="none"/>
                <w:lang w:val="en-US" w:eastAsia="zh-CN" w:bidi="ar"/>
              </w:rPr>
              <w:t>技术</w:t>
            </w:r>
            <w:r>
              <w:rPr>
                <w:rFonts w:hint="default" w:ascii="Times New Roman" w:hAnsi="Times New Roman" w:eastAsia="宋体" w:cs="Times New Roman"/>
                <w:color w:val="auto"/>
                <w:kern w:val="0"/>
                <w:sz w:val="24"/>
                <w:szCs w:val="24"/>
                <w:highlight w:val="none"/>
                <w:lang w:val="en-US" w:eastAsia="zh-CN" w:bidi="ar"/>
              </w:rPr>
              <w:t>可行，项目实施后不会对地表水、环境空气、声环境和生态环境产生明显影响。项目建设无明显环境制约因素。在建设单位严格执行本环境影响报告表中提出的污染防治对策和措施、严格执行“三同时”制度、确保各项污染物达标排放的前提下，从环境保护角度分析，该项目的建设是可行的。</w:t>
            </w:r>
          </w:p>
          <w:p>
            <w:pPr>
              <w:adjustRightInd w:val="0"/>
              <w:snapToGrid w:val="0"/>
              <w:ind w:firstLine="315"/>
              <w:jc w:val="both"/>
              <w:rPr>
                <w:rFonts w:ascii="宋体" w:hAnsi="宋体" w:cs="宋体"/>
                <w:color w:val="auto"/>
                <w:szCs w:val="21"/>
              </w:rPr>
            </w:pPr>
          </w:p>
        </w:tc>
      </w:tr>
    </w:tbl>
    <w:p>
      <w:pPr>
        <w:autoSpaceDE w:val="0"/>
        <w:autoSpaceDN w:val="0"/>
        <w:adjustRightInd w:val="0"/>
        <w:spacing w:line="360" w:lineRule="auto"/>
        <w:ind w:firstLine="480" w:firstLineChars="200"/>
        <w:jc w:val="left"/>
        <w:rPr>
          <w:rFonts w:hint="eastAsia" w:ascii="宋体" w:hAnsi="宋体" w:cs="宋体"/>
          <w:color w:val="auto"/>
          <w:kern w:val="0"/>
          <w:sz w:val="24"/>
          <w:szCs w:val="32"/>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script"/>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新宋体-18030">
    <w:altName w:val="微软雅黑"/>
    <w:panose1 w:val="00000000000000000000"/>
    <w:charset w:val="00"/>
    <w:family w:val="auto"/>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rPr>
                              <w:sz w:val="21"/>
                              <w:szCs w:val="21"/>
                            </w:rPr>
                          </w:pPr>
                          <w:r>
                            <w:rPr>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tabs>
                        <w:tab w:val="center" w:pos="4153"/>
                        <w:tab w:val="right" w:pos="8306"/>
                      </w:tabs>
                      <w:rPr>
                        <w:sz w:val="21"/>
                        <w:szCs w:val="21"/>
                      </w:rPr>
                    </w:pPr>
                    <w:r>
                      <w:rPr>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rPr>
                              <w:sz w:val="21"/>
                              <w:szCs w:val="21"/>
                            </w:rPr>
                          </w:pPr>
                          <w:r>
                            <w:rPr>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83</w:t>
                          </w:r>
                          <w:r>
                            <w:rPr>
                              <w:sz w:val="21"/>
                              <w:szCs w:val="21"/>
                            </w:rPr>
                            <w:fldChar w:fldCharType="end"/>
                          </w:r>
                          <w:r>
                            <w:rPr>
                              <w:sz w:val="21"/>
                              <w:szCs w:val="21"/>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tabs>
                        <w:tab w:val="center" w:pos="4153"/>
                        <w:tab w:val="right" w:pos="8306"/>
                      </w:tabs>
                      <w:rPr>
                        <w:sz w:val="21"/>
                        <w:szCs w:val="21"/>
                      </w:rPr>
                    </w:pPr>
                    <w:r>
                      <w:rPr>
                        <w:sz w:val="21"/>
                        <w:szCs w:val="21"/>
                      </w:rPr>
                      <w:t>—</w:t>
                    </w:r>
                    <w:r>
                      <w:rPr>
                        <w:sz w:val="21"/>
                        <w:szCs w:val="21"/>
                      </w:rPr>
                      <w:fldChar w:fldCharType="begin"/>
                    </w:r>
                    <w:r>
                      <w:rPr>
                        <w:sz w:val="21"/>
                        <w:szCs w:val="21"/>
                      </w:rPr>
                      <w:instrText xml:space="preserve"> PAGE  \* MERGEFORMAT </w:instrText>
                    </w:r>
                    <w:r>
                      <w:rPr>
                        <w:sz w:val="21"/>
                        <w:szCs w:val="21"/>
                      </w:rPr>
                      <w:fldChar w:fldCharType="separate"/>
                    </w:r>
                    <w:r>
                      <w:rPr>
                        <w:sz w:val="21"/>
                        <w:szCs w:val="21"/>
                      </w:rPr>
                      <w:t>83</w:t>
                    </w:r>
                    <w:r>
                      <w:rPr>
                        <w:sz w:val="21"/>
                        <w:szCs w:val="21"/>
                      </w:rPr>
                      <w:fldChar w:fldCharType="end"/>
                    </w:r>
                    <w:r>
                      <w:rPr>
                        <w:sz w:val="21"/>
                        <w:szCs w:val="21"/>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DC653C"/>
    <w:multiLevelType w:val="singleLevel"/>
    <w:tmpl w:val="A6DC653C"/>
    <w:lvl w:ilvl="0" w:tentative="0">
      <w:start w:val="2"/>
      <w:numFmt w:val="decimal"/>
      <w:suff w:val="nothing"/>
      <w:lvlText w:val="%1、"/>
      <w:lvlJc w:val="left"/>
    </w:lvl>
  </w:abstractNum>
  <w:abstractNum w:abstractNumId="1">
    <w:nsid w:val="A9B18243"/>
    <w:multiLevelType w:val="singleLevel"/>
    <w:tmpl w:val="A9B18243"/>
    <w:lvl w:ilvl="0" w:tentative="0">
      <w:start w:val="1"/>
      <w:numFmt w:val="decimal"/>
      <w:suff w:val="nothing"/>
      <w:lvlText w:val="%1）"/>
      <w:lvlJc w:val="left"/>
    </w:lvl>
  </w:abstractNum>
  <w:abstractNum w:abstractNumId="2">
    <w:nsid w:val="AAE166EB"/>
    <w:multiLevelType w:val="singleLevel"/>
    <w:tmpl w:val="AAE166EB"/>
    <w:lvl w:ilvl="0" w:tentative="0">
      <w:start w:val="5"/>
      <w:numFmt w:val="decimal"/>
      <w:suff w:val="nothing"/>
      <w:lvlText w:val="%1、"/>
      <w:lvlJc w:val="left"/>
    </w:lvl>
  </w:abstractNum>
  <w:abstractNum w:abstractNumId="3">
    <w:nsid w:val="CA193C81"/>
    <w:multiLevelType w:val="singleLevel"/>
    <w:tmpl w:val="CA193C81"/>
    <w:lvl w:ilvl="0" w:tentative="0">
      <w:start w:val="1"/>
      <w:numFmt w:val="decimal"/>
      <w:suff w:val="nothing"/>
      <w:lvlText w:val="%1）"/>
      <w:lvlJc w:val="left"/>
    </w:lvl>
  </w:abstractNum>
  <w:abstractNum w:abstractNumId="4">
    <w:nsid w:val="112C90DA"/>
    <w:multiLevelType w:val="singleLevel"/>
    <w:tmpl w:val="112C90DA"/>
    <w:lvl w:ilvl="0" w:tentative="0">
      <w:start w:val="1"/>
      <w:numFmt w:val="decimal"/>
      <w:suff w:val="nothing"/>
      <w:lvlText w:val="%1）"/>
      <w:lvlJc w:val="left"/>
    </w:lvl>
  </w:abstractNum>
  <w:abstractNum w:abstractNumId="5">
    <w:nsid w:val="59F4A608"/>
    <w:multiLevelType w:val="singleLevel"/>
    <w:tmpl w:val="59F4A608"/>
    <w:lvl w:ilvl="0" w:tentative="0">
      <w:start w:val="1"/>
      <w:numFmt w:val="decimal"/>
      <w:suff w:val="nothing"/>
      <w:lvlText w:val="%1）"/>
      <w:lvlJc w:val="left"/>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NmZiNGJiY2ZjZDY4MDNmZjUyZWM2YzBiOWUwNDEifQ=="/>
  </w:docVars>
  <w:rsids>
    <w:rsidRoot w:val="3FD17C28"/>
    <w:rsid w:val="003B6A65"/>
    <w:rsid w:val="00B87A8B"/>
    <w:rsid w:val="00CA61D7"/>
    <w:rsid w:val="00CA7EEA"/>
    <w:rsid w:val="01B16E86"/>
    <w:rsid w:val="02825860"/>
    <w:rsid w:val="03125B78"/>
    <w:rsid w:val="038F71C9"/>
    <w:rsid w:val="03C86114"/>
    <w:rsid w:val="04C70D83"/>
    <w:rsid w:val="04FF4800"/>
    <w:rsid w:val="05071D98"/>
    <w:rsid w:val="05AE39E0"/>
    <w:rsid w:val="05B102F8"/>
    <w:rsid w:val="06936ADD"/>
    <w:rsid w:val="06D64634"/>
    <w:rsid w:val="07342561"/>
    <w:rsid w:val="07356ED9"/>
    <w:rsid w:val="0825672F"/>
    <w:rsid w:val="086F4168"/>
    <w:rsid w:val="08946E41"/>
    <w:rsid w:val="08A33906"/>
    <w:rsid w:val="08E12275"/>
    <w:rsid w:val="09055156"/>
    <w:rsid w:val="095C1CAF"/>
    <w:rsid w:val="0AE14619"/>
    <w:rsid w:val="0B2C17A1"/>
    <w:rsid w:val="0B6007DA"/>
    <w:rsid w:val="0B661F14"/>
    <w:rsid w:val="0B734991"/>
    <w:rsid w:val="0B8E57A5"/>
    <w:rsid w:val="0CBA0F7D"/>
    <w:rsid w:val="0D415314"/>
    <w:rsid w:val="0D946CC0"/>
    <w:rsid w:val="0DAC1658"/>
    <w:rsid w:val="0DF85889"/>
    <w:rsid w:val="0ED55496"/>
    <w:rsid w:val="0F735C25"/>
    <w:rsid w:val="0F766CAD"/>
    <w:rsid w:val="10BB3939"/>
    <w:rsid w:val="10E05778"/>
    <w:rsid w:val="113B1BFC"/>
    <w:rsid w:val="117A14B8"/>
    <w:rsid w:val="119562DE"/>
    <w:rsid w:val="123D4508"/>
    <w:rsid w:val="134104D7"/>
    <w:rsid w:val="13CE326A"/>
    <w:rsid w:val="14DB633D"/>
    <w:rsid w:val="152E07C5"/>
    <w:rsid w:val="15B95D9C"/>
    <w:rsid w:val="15BD5E17"/>
    <w:rsid w:val="15CB626A"/>
    <w:rsid w:val="15E41720"/>
    <w:rsid w:val="16006445"/>
    <w:rsid w:val="16BA5500"/>
    <w:rsid w:val="17220106"/>
    <w:rsid w:val="181438DB"/>
    <w:rsid w:val="18496282"/>
    <w:rsid w:val="18F97DB4"/>
    <w:rsid w:val="190722CA"/>
    <w:rsid w:val="19F36237"/>
    <w:rsid w:val="1A484660"/>
    <w:rsid w:val="1B9655F8"/>
    <w:rsid w:val="1BA46234"/>
    <w:rsid w:val="1C3E2AE7"/>
    <w:rsid w:val="1CB92CCE"/>
    <w:rsid w:val="1CEB5018"/>
    <w:rsid w:val="1DA750EC"/>
    <w:rsid w:val="1E6701CF"/>
    <w:rsid w:val="1F2C580E"/>
    <w:rsid w:val="1FCC0F2A"/>
    <w:rsid w:val="20190103"/>
    <w:rsid w:val="203647BC"/>
    <w:rsid w:val="20991EE7"/>
    <w:rsid w:val="21200896"/>
    <w:rsid w:val="213C77D1"/>
    <w:rsid w:val="21C65A76"/>
    <w:rsid w:val="2216567D"/>
    <w:rsid w:val="23322B54"/>
    <w:rsid w:val="239E1F0A"/>
    <w:rsid w:val="23E10F23"/>
    <w:rsid w:val="248F2C00"/>
    <w:rsid w:val="25AB39AB"/>
    <w:rsid w:val="260517B1"/>
    <w:rsid w:val="26556CE6"/>
    <w:rsid w:val="26E44C65"/>
    <w:rsid w:val="275639EA"/>
    <w:rsid w:val="27E4057B"/>
    <w:rsid w:val="28983C59"/>
    <w:rsid w:val="29C72986"/>
    <w:rsid w:val="29F60473"/>
    <w:rsid w:val="2C7F1518"/>
    <w:rsid w:val="2CEF46B1"/>
    <w:rsid w:val="2DCF49C4"/>
    <w:rsid w:val="2DFC70F1"/>
    <w:rsid w:val="2E884E0F"/>
    <w:rsid w:val="2EA2300B"/>
    <w:rsid w:val="2F776C1C"/>
    <w:rsid w:val="306D5ED0"/>
    <w:rsid w:val="30A25EDE"/>
    <w:rsid w:val="31EB57E8"/>
    <w:rsid w:val="329614D2"/>
    <w:rsid w:val="33301130"/>
    <w:rsid w:val="33A33CBD"/>
    <w:rsid w:val="34EA2924"/>
    <w:rsid w:val="34F31422"/>
    <w:rsid w:val="351A1AA2"/>
    <w:rsid w:val="351D3D85"/>
    <w:rsid w:val="35B052CA"/>
    <w:rsid w:val="36242C05"/>
    <w:rsid w:val="37A63166"/>
    <w:rsid w:val="38202883"/>
    <w:rsid w:val="38912A8D"/>
    <w:rsid w:val="396D6C07"/>
    <w:rsid w:val="39A14F85"/>
    <w:rsid w:val="39CB4A59"/>
    <w:rsid w:val="3A5E69D2"/>
    <w:rsid w:val="3BBB47F0"/>
    <w:rsid w:val="3C9B11D1"/>
    <w:rsid w:val="3DB61A2E"/>
    <w:rsid w:val="3DCB4FA0"/>
    <w:rsid w:val="3DE47CE0"/>
    <w:rsid w:val="3E1321C9"/>
    <w:rsid w:val="3F5B4EDA"/>
    <w:rsid w:val="3FCA68B7"/>
    <w:rsid w:val="3FD17C28"/>
    <w:rsid w:val="40372443"/>
    <w:rsid w:val="40833636"/>
    <w:rsid w:val="40CC62BD"/>
    <w:rsid w:val="427C6938"/>
    <w:rsid w:val="4324200C"/>
    <w:rsid w:val="432664FB"/>
    <w:rsid w:val="43284021"/>
    <w:rsid w:val="43456981"/>
    <w:rsid w:val="43803E5D"/>
    <w:rsid w:val="44827903"/>
    <w:rsid w:val="44DD550F"/>
    <w:rsid w:val="45BB1492"/>
    <w:rsid w:val="45CD7515"/>
    <w:rsid w:val="45EF4282"/>
    <w:rsid w:val="462C3E28"/>
    <w:rsid w:val="468E4AE3"/>
    <w:rsid w:val="47423499"/>
    <w:rsid w:val="47BA219C"/>
    <w:rsid w:val="47BC2152"/>
    <w:rsid w:val="48321D5E"/>
    <w:rsid w:val="495B195B"/>
    <w:rsid w:val="49D83966"/>
    <w:rsid w:val="49EE7527"/>
    <w:rsid w:val="49F25D52"/>
    <w:rsid w:val="4A6C480C"/>
    <w:rsid w:val="4AA84E97"/>
    <w:rsid w:val="4AC167CD"/>
    <w:rsid w:val="4AD56812"/>
    <w:rsid w:val="4AF30DD3"/>
    <w:rsid w:val="4BC0690F"/>
    <w:rsid w:val="4BD35915"/>
    <w:rsid w:val="4BDE3E16"/>
    <w:rsid w:val="4D6A0128"/>
    <w:rsid w:val="4D754953"/>
    <w:rsid w:val="4D786196"/>
    <w:rsid w:val="4DAC584E"/>
    <w:rsid w:val="4ECE076F"/>
    <w:rsid w:val="4F461E2F"/>
    <w:rsid w:val="50483325"/>
    <w:rsid w:val="50A62A29"/>
    <w:rsid w:val="50DB0924"/>
    <w:rsid w:val="50E313EF"/>
    <w:rsid w:val="51417822"/>
    <w:rsid w:val="51954F96"/>
    <w:rsid w:val="5210667F"/>
    <w:rsid w:val="52940567"/>
    <w:rsid w:val="537B2684"/>
    <w:rsid w:val="54E55964"/>
    <w:rsid w:val="565B6A6D"/>
    <w:rsid w:val="566601BC"/>
    <w:rsid w:val="56ED13B1"/>
    <w:rsid w:val="5714488F"/>
    <w:rsid w:val="57DC3628"/>
    <w:rsid w:val="58577D96"/>
    <w:rsid w:val="588A72E6"/>
    <w:rsid w:val="593D2B7D"/>
    <w:rsid w:val="59B13835"/>
    <w:rsid w:val="59B954FA"/>
    <w:rsid w:val="59F652AC"/>
    <w:rsid w:val="59FE5684"/>
    <w:rsid w:val="5A135FFA"/>
    <w:rsid w:val="5A97463C"/>
    <w:rsid w:val="5AEB5A09"/>
    <w:rsid w:val="5B0031FB"/>
    <w:rsid w:val="5BB121C0"/>
    <w:rsid w:val="5BCA7FDA"/>
    <w:rsid w:val="5BD7339E"/>
    <w:rsid w:val="5BDB5C7C"/>
    <w:rsid w:val="5C104E51"/>
    <w:rsid w:val="5CD402D7"/>
    <w:rsid w:val="5CDA587F"/>
    <w:rsid w:val="5CFE35BA"/>
    <w:rsid w:val="5D633792"/>
    <w:rsid w:val="5D7D214E"/>
    <w:rsid w:val="5E676A84"/>
    <w:rsid w:val="5EBB0D6C"/>
    <w:rsid w:val="5F5643DE"/>
    <w:rsid w:val="5F6E3594"/>
    <w:rsid w:val="61181721"/>
    <w:rsid w:val="611832B2"/>
    <w:rsid w:val="61356E89"/>
    <w:rsid w:val="615A3FF9"/>
    <w:rsid w:val="61A32C37"/>
    <w:rsid w:val="61AB0336"/>
    <w:rsid w:val="62C90F25"/>
    <w:rsid w:val="64620D06"/>
    <w:rsid w:val="64A5151D"/>
    <w:rsid w:val="64AB6749"/>
    <w:rsid w:val="64BF434C"/>
    <w:rsid w:val="64F62209"/>
    <w:rsid w:val="64FF02FF"/>
    <w:rsid w:val="65994615"/>
    <w:rsid w:val="659F0584"/>
    <w:rsid w:val="65BA3DD5"/>
    <w:rsid w:val="65F2164C"/>
    <w:rsid w:val="662C02E6"/>
    <w:rsid w:val="66356D3F"/>
    <w:rsid w:val="667E304B"/>
    <w:rsid w:val="6737062E"/>
    <w:rsid w:val="674C1B6C"/>
    <w:rsid w:val="67E916E4"/>
    <w:rsid w:val="68442D8B"/>
    <w:rsid w:val="687B4B5D"/>
    <w:rsid w:val="68BA7B43"/>
    <w:rsid w:val="68F60FCD"/>
    <w:rsid w:val="6938470E"/>
    <w:rsid w:val="6A070584"/>
    <w:rsid w:val="6AB2747D"/>
    <w:rsid w:val="6ADC37BF"/>
    <w:rsid w:val="6B19218F"/>
    <w:rsid w:val="6B5423CD"/>
    <w:rsid w:val="6B6B1E4D"/>
    <w:rsid w:val="6BD61B71"/>
    <w:rsid w:val="6C5213CE"/>
    <w:rsid w:val="6C5D6298"/>
    <w:rsid w:val="6C666ABD"/>
    <w:rsid w:val="6D2C6E97"/>
    <w:rsid w:val="6D8C5028"/>
    <w:rsid w:val="6DC42A14"/>
    <w:rsid w:val="6FA36908"/>
    <w:rsid w:val="6FC32A76"/>
    <w:rsid w:val="70355F04"/>
    <w:rsid w:val="71182A31"/>
    <w:rsid w:val="71A5545E"/>
    <w:rsid w:val="71D865AB"/>
    <w:rsid w:val="724B7922"/>
    <w:rsid w:val="725B1478"/>
    <w:rsid w:val="72A83A22"/>
    <w:rsid w:val="74766F8B"/>
    <w:rsid w:val="748316AB"/>
    <w:rsid w:val="74FB1979"/>
    <w:rsid w:val="75175F0D"/>
    <w:rsid w:val="75544044"/>
    <w:rsid w:val="755C19A3"/>
    <w:rsid w:val="75EA3234"/>
    <w:rsid w:val="761D7DAA"/>
    <w:rsid w:val="76F31C74"/>
    <w:rsid w:val="76FF444F"/>
    <w:rsid w:val="78061E7B"/>
    <w:rsid w:val="7A18327E"/>
    <w:rsid w:val="7A995229"/>
    <w:rsid w:val="7B7928DA"/>
    <w:rsid w:val="7BFC15CB"/>
    <w:rsid w:val="7C003275"/>
    <w:rsid w:val="7D124FFC"/>
    <w:rsid w:val="7D7C4894"/>
    <w:rsid w:val="7D861783"/>
    <w:rsid w:val="7E542D3C"/>
    <w:rsid w:val="7E9D45A0"/>
    <w:rsid w:val="7F2E37CD"/>
    <w:rsid w:val="7F6B47BF"/>
    <w:rsid w:val="7FA95261"/>
    <w:rsid w:val="7FE949E3"/>
    <w:rsid w:val="BFED1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ind w:firstLine="0" w:firstLineChars="0"/>
      <w:outlineLvl w:val="0"/>
    </w:pPr>
    <w:rPr>
      <w:rFonts w:eastAsia="黑体"/>
      <w:b/>
      <w:kern w:val="44"/>
      <w:sz w:val="30"/>
    </w:rPr>
  </w:style>
  <w:style w:type="paragraph" w:styleId="3">
    <w:name w:val="heading 3"/>
    <w:basedOn w:val="1"/>
    <w:next w:val="1"/>
    <w:qFormat/>
    <w:uiPriority w:val="9"/>
    <w:pPr>
      <w:keepNext/>
      <w:keepLines/>
      <w:spacing w:beforeLines="0" w:afterLines="0" w:line="360" w:lineRule="auto"/>
      <w:ind w:firstLine="0" w:firstLineChars="0"/>
      <w:outlineLvl w:val="2"/>
    </w:pPr>
    <w:rPr>
      <w:rFonts w:eastAsia="黑体"/>
      <w:b/>
      <w:bCs/>
      <w:sz w:val="32"/>
    </w:rPr>
  </w:style>
  <w:style w:type="character" w:default="1" w:styleId="24">
    <w:name w:val="Default Paragraph Font"/>
    <w:qFormat/>
    <w:uiPriority w:val="0"/>
    <w:rPr>
      <w:rFonts w:ascii="Calibri" w:hAnsi="Calibri" w:eastAsia="宋体"/>
      <w:sz w:val="24"/>
    </w:rPr>
  </w:style>
  <w:style w:type="table" w:default="1" w:styleId="22">
    <w:name w:val="Normal Table"/>
    <w:semiHidden/>
    <w:qFormat/>
    <w:uiPriority w:val="0"/>
    <w:tblPr>
      <w:tblLayout w:type="fixed"/>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caption"/>
    <w:basedOn w:val="1"/>
    <w:next w:val="1"/>
    <w:qFormat/>
    <w:uiPriority w:val="0"/>
    <w:pPr>
      <w:keepNext/>
      <w:adjustRightInd/>
      <w:spacing w:before="120" w:beforeLines="50" w:line="240" w:lineRule="auto"/>
      <w:ind w:firstLine="422"/>
      <w:jc w:val="center"/>
    </w:pPr>
    <w:rPr>
      <w:rFonts w:ascii="等线 Light" w:hAnsi="等线 Light" w:eastAsia="黑体" w:cs="Times New Roman"/>
      <w:b/>
      <w:sz w:val="21"/>
      <w:szCs w:val="20"/>
    </w:rPr>
  </w:style>
  <w:style w:type="paragraph" w:styleId="6">
    <w:name w:val="annotation text"/>
    <w:basedOn w:val="1"/>
    <w:qFormat/>
    <w:uiPriority w:val="0"/>
    <w:pPr>
      <w:jc w:val="left"/>
    </w:pPr>
  </w:style>
  <w:style w:type="paragraph" w:styleId="7">
    <w:name w:val="Body Text"/>
    <w:basedOn w:val="1"/>
    <w:next w:val="1"/>
    <w:qFormat/>
    <w:uiPriority w:val="0"/>
    <w:pPr>
      <w:widowControl/>
      <w:snapToGrid w:val="0"/>
      <w:spacing w:before="60" w:after="160" w:line="259" w:lineRule="auto"/>
      <w:ind w:right="113"/>
    </w:pPr>
    <w:rPr>
      <w:kern w:val="0"/>
      <w:sz w:val="18"/>
      <w:szCs w:val="18"/>
    </w:rPr>
  </w:style>
  <w:style w:type="paragraph" w:styleId="8">
    <w:name w:val="Body Text Indent"/>
    <w:basedOn w:val="1"/>
    <w:semiHidden/>
    <w:qFormat/>
    <w:uiPriority w:val="0"/>
    <w:pPr>
      <w:spacing w:after="120"/>
      <w:ind w:left="420" w:leftChars="200"/>
    </w:pPr>
  </w:style>
  <w:style w:type="paragraph" w:styleId="9">
    <w:name w:val="Block Text"/>
    <w:basedOn w:val="1"/>
    <w:qFormat/>
    <w:uiPriority w:val="0"/>
    <w:pPr>
      <w:spacing w:line="320" w:lineRule="exact"/>
      <w:ind w:left="113" w:right="113"/>
      <w:jc w:val="center"/>
    </w:pPr>
    <w:rPr>
      <w:rFonts w:ascii="Calibri" w:hAnsi="Calibri"/>
      <w:b/>
      <w:sz w:val="13"/>
      <w:szCs w:val="15"/>
    </w:rPr>
  </w:style>
  <w:style w:type="paragraph" w:styleId="10">
    <w:name w:val="Plain Text"/>
    <w:basedOn w:val="1"/>
    <w:next w:val="11"/>
    <w:qFormat/>
    <w:uiPriority w:val="0"/>
    <w:rPr>
      <w:rFonts w:ascii="宋体" w:hAnsi="Courier New" w:cs="Courier New"/>
      <w:szCs w:val="21"/>
    </w:rPr>
  </w:style>
  <w:style w:type="paragraph" w:customStyle="1" w:styleId="11">
    <w:name w:val="Char4 Char Char Char Char Char Char1"/>
    <w:basedOn w:val="1"/>
    <w:qFormat/>
    <w:uiPriority w:val="0"/>
    <w:pPr>
      <w:spacing w:line="360" w:lineRule="auto"/>
      <w:ind w:firstLine="200" w:firstLineChars="200"/>
    </w:pPr>
    <w:rPr>
      <w:rFonts w:ascii="宋体" w:cs="宋体"/>
      <w:sz w:val="24"/>
    </w:rPr>
  </w:style>
  <w:style w:type="paragraph" w:styleId="12">
    <w:name w:val="Body Text Indent 2"/>
    <w:basedOn w:val="1"/>
    <w:qFormat/>
    <w:uiPriority w:val="0"/>
    <w:pPr>
      <w:spacing w:line="460" w:lineRule="exact"/>
      <w:ind w:left="660"/>
    </w:pPr>
    <w:rPr>
      <w:sz w:val="24"/>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List"/>
    <w:basedOn w:val="1"/>
    <w:qFormat/>
    <w:uiPriority w:val="0"/>
    <w:pPr>
      <w:ind w:left="200" w:hanging="200" w:hangingChars="200"/>
    </w:pPr>
    <w:rPr>
      <w:szCs w:val="20"/>
    </w:rPr>
  </w:style>
  <w:style w:type="paragraph" w:styleId="17">
    <w:name w:val="Body Text Indent 3"/>
    <w:basedOn w:val="1"/>
    <w:qFormat/>
    <w:uiPriority w:val="0"/>
    <w:pPr>
      <w:ind w:firstLine="560"/>
    </w:pPr>
    <w:rPr>
      <w:rFonts w:ascii="Times New Roman" w:hAnsi="Times New Roman"/>
      <w:szCs w:val="24"/>
    </w:rPr>
  </w:style>
  <w:style w:type="paragraph" w:styleId="18">
    <w:name w:val="Body Text 2"/>
    <w:basedOn w:val="1"/>
    <w:qFormat/>
    <w:uiPriority w:val="0"/>
    <w:pPr>
      <w:widowControl/>
      <w:spacing w:line="360" w:lineRule="auto"/>
      <w:jc w:val="center"/>
    </w:pPr>
    <w:rPr>
      <w:rFonts w:ascii="等线" w:hAnsi="等线"/>
      <w:szCs w:val="22"/>
    </w:rPr>
  </w:style>
  <w:style w:type="paragraph" w:styleId="19">
    <w:name w:val="Normal (Web)"/>
    <w:basedOn w:val="1"/>
    <w:qFormat/>
    <w:uiPriority w:val="0"/>
    <w:pPr>
      <w:widowControl/>
      <w:spacing w:before="100" w:beforeAutospacing="1" w:after="100" w:afterAutospacing="1"/>
      <w:jc w:val="left"/>
    </w:pPr>
    <w:rPr>
      <w:rFonts w:ascii="宋体" w:hAnsi="宋体"/>
      <w:kern w:val="0"/>
      <w:sz w:val="24"/>
    </w:rPr>
  </w:style>
  <w:style w:type="paragraph" w:styleId="20">
    <w:name w:val="Body Text First Indent"/>
    <w:basedOn w:val="7"/>
    <w:qFormat/>
    <w:uiPriority w:val="0"/>
    <w:pPr>
      <w:ind w:firstLine="420" w:firstLineChars="100"/>
    </w:pPr>
  </w:style>
  <w:style w:type="paragraph" w:styleId="21">
    <w:name w:val="Body Text First Indent 2"/>
    <w:basedOn w:val="8"/>
    <w:next w:val="7"/>
    <w:qFormat/>
    <w:uiPriority w:val="0"/>
    <w:pPr>
      <w:ind w:firstLine="42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5">
    <w:name w:val="Strong"/>
    <w:basedOn w:val="24"/>
    <w:qFormat/>
    <w:uiPriority w:val="0"/>
    <w:rPr>
      <w:b/>
    </w:rPr>
  </w:style>
  <w:style w:type="character" w:styleId="26">
    <w:name w:val="page number"/>
    <w:basedOn w:val="24"/>
    <w:qFormat/>
    <w:uiPriority w:val="0"/>
  </w:style>
  <w:style w:type="character" w:styleId="27">
    <w:name w:val="Hyperlink"/>
    <w:basedOn w:val="24"/>
    <w:qFormat/>
    <w:uiPriority w:val="0"/>
    <w:rPr>
      <w:color w:val="0000FF"/>
      <w:u w:val="single"/>
    </w:rPr>
  </w:style>
  <w:style w:type="paragraph" w:customStyle="1" w:styleId="28">
    <w:name w:val="Default"/>
    <w:basedOn w:val="29"/>
    <w:qFormat/>
    <w:uiPriority w:val="0"/>
    <w:pPr>
      <w:widowControl w:val="0"/>
      <w:autoSpaceDE w:val="0"/>
      <w:autoSpaceDN w:val="0"/>
      <w:adjustRightInd w:val="0"/>
    </w:pPr>
    <w:rPr>
      <w:rFonts w:ascii="黑体" w:hAnsi="黑体" w:eastAsia="黑体" w:cs="黑体"/>
      <w:color w:val="000000"/>
      <w:sz w:val="24"/>
      <w:szCs w:val="24"/>
      <w:lang w:val="en-US" w:eastAsia="zh-CN" w:bidi="ar-SA"/>
    </w:rPr>
  </w:style>
  <w:style w:type="paragraph" w:customStyle="1" w:styleId="29">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0">
    <w:name w:val="简单回函地址"/>
    <w:basedOn w:val="1"/>
    <w:next w:val="31"/>
    <w:qFormat/>
    <w:uiPriority w:val="0"/>
  </w:style>
  <w:style w:type="paragraph" w:customStyle="1" w:styleId="31">
    <w:name w:val="正文2"/>
    <w:basedOn w:val="1"/>
    <w:qFormat/>
    <w:uiPriority w:val="0"/>
    <w:pPr>
      <w:spacing w:line="360" w:lineRule="auto"/>
      <w:ind w:firstLine="200" w:firstLineChars="200"/>
    </w:pPr>
    <w:rPr>
      <w:sz w:val="24"/>
      <w:szCs w:val="24"/>
    </w:rPr>
  </w:style>
  <w:style w:type="paragraph" w:customStyle="1" w:styleId="32">
    <w:name w:val="_Style 3"/>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3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paragraph" w:customStyle="1" w:styleId="34">
    <w:name w:val="标题1"/>
    <w:basedOn w:val="1"/>
    <w:next w:val="1"/>
    <w:qFormat/>
    <w:uiPriority w:val="0"/>
    <w:pPr>
      <w:spacing w:before="340" w:after="330" w:line="576" w:lineRule="auto"/>
      <w:ind w:firstLine="0" w:firstLineChars="0"/>
      <w:jc w:val="center"/>
      <w:outlineLvl w:val="0"/>
    </w:pPr>
    <w:rPr>
      <w:rFonts w:hint="eastAsia" w:eastAsia="黑体"/>
      <w:b/>
      <w:kern w:val="44"/>
      <w:sz w:val="30"/>
    </w:rPr>
  </w:style>
  <w:style w:type="paragraph" w:customStyle="1" w:styleId="35">
    <w:name w:val="表格文字"/>
    <w:basedOn w:val="10"/>
    <w:next w:val="1"/>
    <w:semiHidden/>
    <w:qFormat/>
    <w:uiPriority w:val="0"/>
    <w:pPr>
      <w:jc w:val="center"/>
    </w:pPr>
    <w:rPr>
      <w:rFonts w:ascii="仿宋_GB2312" w:hAnsi="Arial Black" w:eastAsia="仿宋_GB2312" w:cs="Times New Roman"/>
      <w:kern w:val="44"/>
      <w:sz w:val="24"/>
      <w:szCs w:val="24"/>
    </w:rPr>
  </w:style>
  <w:style w:type="paragraph" w:customStyle="1" w:styleId="36">
    <w:name w:val="表1"/>
    <w:basedOn w:val="1"/>
    <w:qFormat/>
    <w:uiPriority w:val="1"/>
    <w:pPr>
      <w:jc w:val="center"/>
    </w:pPr>
    <w:rPr>
      <w:b/>
      <w:kern w:val="0"/>
      <w:sz w:val="21"/>
      <w:szCs w:val="22"/>
      <w:lang w:eastAsia="en-US"/>
    </w:rPr>
  </w:style>
  <w:style w:type="character" w:customStyle="1" w:styleId="37">
    <w:name w:val="NormalCharacter"/>
    <w:semiHidden/>
    <w:qFormat/>
    <w:uiPriority w:val="0"/>
  </w:style>
  <w:style w:type="paragraph" w:customStyle="1" w:styleId="38">
    <w:name w:val="Lux 正文"/>
    <w:basedOn w:val="1"/>
    <w:qFormat/>
    <w:uiPriority w:val="0"/>
    <w:pPr>
      <w:spacing w:before="80" w:after="80" w:line="500" w:lineRule="exact"/>
      <w:ind w:firstLine="200" w:firstLineChars="200"/>
    </w:pPr>
    <w:rPr>
      <w:rFonts w:ascii="Calibri" w:hAnsi="Calibri"/>
      <w:kern w:val="0"/>
    </w:rPr>
  </w:style>
  <w:style w:type="paragraph" w:customStyle="1" w:styleId="39">
    <w:name w:val="小表中字"/>
    <w:basedOn w:val="1"/>
    <w:qFormat/>
    <w:uiPriority w:val="0"/>
    <w:pPr>
      <w:widowControl w:val="0"/>
      <w:snapToGrid w:val="0"/>
      <w:spacing w:line="400" w:lineRule="exact"/>
      <w:jc w:val="center"/>
    </w:pPr>
    <w:rPr>
      <w:rFonts w:ascii="Times New Roman" w:cs="Times New Roman"/>
      <w:bCs/>
      <w:sz w:val="21"/>
      <w:szCs w:val="21"/>
    </w:rPr>
  </w:style>
  <w:style w:type="paragraph" w:customStyle="1" w:styleId="40">
    <w:name w:val="1表格中字"/>
    <w:basedOn w:val="1"/>
    <w:qFormat/>
    <w:uiPriority w:val="0"/>
    <w:pPr>
      <w:snapToGrid w:val="0"/>
      <w:jc w:val="center"/>
    </w:pPr>
    <w:rPr>
      <w:rFonts w:cs="Times New Roman"/>
      <w:szCs w:val="21"/>
    </w:rPr>
  </w:style>
  <w:style w:type="paragraph" w:customStyle="1" w:styleId="41">
    <w:name w:val="Lux 表格标题"/>
    <w:basedOn w:val="38"/>
    <w:qFormat/>
    <w:uiPriority w:val="0"/>
    <w:pPr>
      <w:spacing w:before="0" w:after="0" w:line="360" w:lineRule="auto"/>
      <w:ind w:firstLine="0" w:firstLineChars="0"/>
      <w:jc w:val="center"/>
    </w:pPr>
    <w:rPr>
      <w:rFonts w:ascii="Times New Roman" w:hAnsi="Times New Roman"/>
      <w:b/>
      <w:bCs/>
      <w:kern w:val="2"/>
      <w:sz w:val="21"/>
      <w:szCs w:val="21"/>
    </w:rPr>
  </w:style>
  <w:style w:type="paragraph" w:customStyle="1" w:styleId="42">
    <w:name w:val="正文缩进1"/>
    <w:basedOn w:val="1"/>
    <w:qFormat/>
    <w:uiPriority w:val="0"/>
    <w:pPr>
      <w:widowControl w:val="0"/>
      <w:suppressAutoHyphens/>
      <w:spacing w:line="360" w:lineRule="atLeast"/>
      <w:ind w:firstLine="420"/>
      <w:jc w:val="left"/>
      <w:textAlignment w:val="baseline"/>
    </w:pPr>
    <w:rPr>
      <w:kern w:val="2"/>
      <w:lang w:eastAsia="ar-SA"/>
    </w:rPr>
  </w:style>
  <w:style w:type="paragraph" w:customStyle="1" w:styleId="43">
    <w:name w:val="BodyTextIndent2"/>
    <w:basedOn w:val="1"/>
    <w:next w:val="44"/>
    <w:qFormat/>
    <w:locked/>
    <w:uiPriority w:val="0"/>
    <w:pPr>
      <w:spacing w:after="120" w:line="480" w:lineRule="auto"/>
      <w:ind w:left="420" w:leftChars="200"/>
      <w:jc w:val="both"/>
      <w:textAlignment w:val="baseline"/>
    </w:pPr>
    <w:rPr>
      <w:rFonts w:ascii="Times New Roman" w:hAnsi="Times New Roman" w:eastAsia="宋体"/>
      <w:kern w:val="2"/>
      <w:sz w:val="28"/>
      <w:szCs w:val="20"/>
      <w:lang w:val="en-US" w:eastAsia="zh-CN" w:bidi="ar-SA"/>
    </w:rPr>
  </w:style>
  <w:style w:type="paragraph" w:customStyle="1" w:styleId="44">
    <w:name w:val="UserStyle_16"/>
    <w:next w:val="45"/>
    <w:qFormat/>
    <w:uiPriority w:val="0"/>
    <w:pPr>
      <w:jc w:val="both"/>
      <w:textAlignment w:val="baseline"/>
    </w:pPr>
    <w:rPr>
      <w:rFonts w:ascii="Calibri" w:hAnsi="Calibri" w:eastAsia="宋体" w:cs="Times New Roman"/>
      <w:kern w:val="2"/>
      <w:sz w:val="21"/>
      <w:szCs w:val="24"/>
      <w:lang w:val="en-US" w:eastAsia="zh-CN" w:bidi="ar-SA"/>
    </w:rPr>
  </w:style>
  <w:style w:type="paragraph" w:customStyle="1" w:styleId="45">
    <w:name w:val="UserStyle_21"/>
    <w:basedOn w:val="1"/>
    <w:qFormat/>
    <w:uiPriority w:val="0"/>
    <w:pPr>
      <w:spacing w:line="360" w:lineRule="auto"/>
      <w:ind w:firstLine="200" w:firstLineChars="200"/>
      <w:jc w:val="both"/>
      <w:textAlignment w:val="baseline"/>
    </w:pPr>
    <w:rPr>
      <w:kern w:val="2"/>
      <w:sz w:val="24"/>
      <w:szCs w:val="24"/>
      <w:lang w:val="en-US" w:eastAsia="zh-CN" w:bidi="ar-SA"/>
    </w:rPr>
  </w:style>
  <w:style w:type="paragraph" w:customStyle="1" w:styleId="46">
    <w:name w:val="UserStyle_15"/>
    <w:qFormat/>
    <w:uiPriority w:val="0"/>
    <w:pPr>
      <w:spacing w:line="360" w:lineRule="auto"/>
      <w:ind w:firstLine="560" w:firstLineChars="200"/>
      <w:textAlignment w:val="baseline"/>
    </w:pPr>
    <w:rPr>
      <w:rFonts w:ascii="仿宋_GB2312" w:hAnsi="仿宋_GB2312" w:eastAsia="宋体" w:cs="Times New Roman"/>
      <w:color w:val="000000"/>
      <w:sz w:val="24"/>
      <w:szCs w:val="24"/>
      <w:lang w:val="en-US" w:eastAsia="zh-CN" w:bidi="ar-SA"/>
    </w:rPr>
  </w:style>
  <w:style w:type="paragraph" w:customStyle="1" w:styleId="47">
    <w:name w:val="1表格标题"/>
    <w:basedOn w:val="1"/>
    <w:qFormat/>
    <w:uiPriority w:val="0"/>
    <w:pPr>
      <w:autoSpaceDE w:val="0"/>
      <w:autoSpaceDN w:val="0"/>
      <w:adjustRightInd w:val="0"/>
      <w:snapToGrid w:val="0"/>
      <w:jc w:val="center"/>
    </w:pPr>
    <w:rPr>
      <w:b/>
      <w:bCs/>
      <w:kern w:val="21"/>
      <w:szCs w:val="21"/>
    </w:rPr>
  </w:style>
  <w:style w:type="paragraph" w:customStyle="1" w:styleId="48">
    <w:name w:val="纯文本1"/>
    <w:basedOn w:val="1"/>
    <w:qFormat/>
    <w:uiPriority w:val="0"/>
    <w:pPr>
      <w:adjustRightInd w:val="0"/>
      <w:textAlignment w:val="baseline"/>
    </w:pPr>
    <w:rPr>
      <w:rFonts w:ascii="宋体"/>
      <w:sz w:val="21"/>
    </w:rPr>
  </w:style>
  <w:style w:type="paragraph" w:customStyle="1" w:styleId="49">
    <w:name w:val="1正文"/>
    <w:basedOn w:val="1"/>
    <w:qFormat/>
    <w:uiPriority w:val="0"/>
    <w:pPr>
      <w:autoSpaceDE w:val="0"/>
      <w:autoSpaceDN w:val="0"/>
      <w:adjustRightInd w:val="0"/>
      <w:snapToGrid w:val="0"/>
      <w:spacing w:line="360" w:lineRule="auto"/>
      <w:ind w:firstLine="480" w:firstLineChars="200"/>
    </w:pPr>
    <w:rPr>
      <w:bCs/>
      <w:color w:val="000000"/>
      <w:kern w:val="21"/>
      <w:sz w:val="24"/>
    </w:rPr>
  </w:style>
  <w:style w:type="paragraph" w:customStyle="1" w:styleId="50">
    <w:name w:val="表格字"/>
    <w:basedOn w:val="1"/>
    <w:qFormat/>
    <w:uiPriority w:val="0"/>
    <w:pPr>
      <w:autoSpaceDE w:val="0"/>
      <w:autoSpaceDN w:val="0"/>
      <w:spacing w:line="240" w:lineRule="auto"/>
      <w:ind w:firstLine="0" w:firstLineChars="0"/>
      <w:jc w:val="center"/>
      <w:textAlignment w:val="bottom"/>
    </w:pPr>
    <w:rPr>
      <w:rFonts w:cs="Times New Roman"/>
      <w:kern w:val="0"/>
      <w:sz w:val="21"/>
      <w:szCs w:val="22"/>
      <w:lang w:eastAsia="en-US"/>
    </w:rPr>
  </w:style>
  <w:style w:type="paragraph" w:customStyle="1" w:styleId="51">
    <w:name w:val="Table Paragraph"/>
    <w:basedOn w:val="1"/>
    <w:qFormat/>
    <w:uiPriority w:val="1"/>
    <w:rPr>
      <w:rFonts w:ascii="Calibri" w:hAnsi="Calibri" w:eastAsia="Calibri"/>
      <w:sz w:val="22"/>
      <w:lang w:eastAsia="en-US"/>
    </w:rPr>
  </w:style>
  <w:style w:type="paragraph" w:customStyle="1" w:styleId="52">
    <w:name w:val="5正文"/>
    <w:basedOn w:val="1"/>
    <w:qFormat/>
    <w:uiPriority w:val="0"/>
    <w:pPr>
      <w:spacing w:before="0" w:after="0"/>
      <w:ind w:firstLine="200" w:firstLineChars="200"/>
    </w:pPr>
    <w:rPr>
      <w:rFonts w:ascii="宋体" w:hAnsi="宋体"/>
      <w:bCs/>
      <w:snapToGrid w:val="0"/>
      <w:kern w:val="0"/>
      <w:sz w:val="24"/>
    </w:rPr>
  </w:style>
  <w:style w:type="paragraph" w:customStyle="1" w:styleId="53">
    <w:name w:val="UserStyle_24"/>
    <w:basedOn w:val="54"/>
    <w:next w:val="1"/>
    <w:semiHidden/>
    <w:qFormat/>
    <w:uiPriority w:val="0"/>
    <w:pPr>
      <w:jc w:val="center"/>
      <w:textAlignment w:val="baseline"/>
    </w:pPr>
    <w:rPr>
      <w:rFonts w:ascii="仿宋_GB2312" w:hAnsi="Arial Black" w:eastAsia="仿宋_GB2312"/>
      <w:kern w:val="44"/>
      <w:sz w:val="24"/>
      <w:szCs w:val="24"/>
      <w:lang w:val="en-US" w:eastAsia="zh-CN" w:bidi="ar-SA"/>
    </w:rPr>
  </w:style>
  <w:style w:type="paragraph" w:customStyle="1" w:styleId="54">
    <w:name w:val="PlainText"/>
    <w:basedOn w:val="1"/>
    <w:qFormat/>
    <w:locked/>
    <w:uiPriority w:val="0"/>
    <w:pPr>
      <w:jc w:val="both"/>
      <w:textAlignment w:val="baseline"/>
    </w:pPr>
    <w:rPr>
      <w:rFonts w:ascii="宋体" w:hAnsi="Courier New"/>
      <w:kern w:val="2"/>
      <w:sz w:val="21"/>
      <w:szCs w:val="21"/>
      <w:lang w:val="en-US" w:eastAsia="zh-CN" w:bidi="ar-SA"/>
    </w:rPr>
  </w:style>
  <w:style w:type="table" w:customStyle="1" w:styleId="55">
    <w:name w:val="Table Normal"/>
    <w:unhideWhenUsed/>
    <w:qFormat/>
    <w:uiPriority w:val="0"/>
    <w:rPr>
      <w:rFonts w:ascii="Times New Roman" w:hAnsi="Times New Roman" w:eastAsia="宋体" w:cs="Times New Roman"/>
      <w:kern w:val="0"/>
      <w:sz w:val="20"/>
      <w:szCs w:val="20"/>
    </w:rPr>
    <w:tblPr>
      <w:tblLayout w:type="fixed"/>
      <w:tblCellMar>
        <w:top w:w="0" w:type="dxa"/>
        <w:left w:w="0" w:type="dxa"/>
        <w:bottom w:w="0" w:type="dxa"/>
        <w:right w:w="0" w:type="dxa"/>
      </w:tblCellMar>
    </w:tblPr>
  </w:style>
  <w:style w:type="paragraph" w:customStyle="1" w:styleId="56">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57">
    <w:name w:val="1正文加粗"/>
    <w:basedOn w:val="1"/>
    <w:qFormat/>
    <w:uiPriority w:val="0"/>
    <w:pPr>
      <w:spacing w:line="360" w:lineRule="auto"/>
      <w:ind w:firstLine="482" w:firstLineChars="200"/>
    </w:pPr>
    <w:rPr>
      <w:rFonts w:hAnsi="宋体"/>
      <w:b/>
      <w:kern w:val="0"/>
      <w:sz w:val="24"/>
    </w:rPr>
  </w:style>
  <w:style w:type="paragraph" w:customStyle="1" w:styleId="58">
    <w:name w:val="文1"/>
    <w:basedOn w:val="1"/>
    <w:qFormat/>
    <w:uiPriority w:val="1"/>
    <w:pPr>
      <w:spacing w:line="360" w:lineRule="auto"/>
      <w:ind w:firstLine="200" w:firstLineChars="200"/>
    </w:pPr>
    <w:rPr>
      <w:kern w:val="0"/>
      <w:sz w:val="24"/>
      <w:szCs w:val="22"/>
      <w:lang w:eastAsia="en-US"/>
    </w:rPr>
  </w:style>
  <w:style w:type="paragraph" w:customStyle="1" w:styleId="59">
    <w:name w:val="Table Text"/>
    <w:basedOn w:val="1"/>
    <w:semiHidden/>
    <w:qFormat/>
    <w:uiPriority w:val="0"/>
    <w:rPr>
      <w:rFonts w:ascii="宋体" w:hAnsi="宋体" w:eastAsia="宋体" w:cs="宋体"/>
      <w:sz w:val="24"/>
      <w:szCs w:val="24"/>
      <w:lang w:val="en-US" w:eastAsia="en-US" w:bidi="ar-SA"/>
    </w:rPr>
  </w:style>
  <w:style w:type="paragraph" w:customStyle="1" w:styleId="60">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61">
    <w:name w:val="1正文文本"/>
    <w:basedOn w:val="1"/>
    <w:qFormat/>
    <w:uiPriority w:val="0"/>
    <w:pPr>
      <w:autoSpaceDE w:val="0"/>
      <w:autoSpaceDN w:val="0"/>
      <w:adjustRightInd w:val="0"/>
      <w:spacing w:line="480" w:lineRule="exact"/>
      <w:ind w:firstLine="200" w:firstLineChars="200"/>
    </w:pPr>
    <w:rPr>
      <w:rFonts w:hAnsi="宋体"/>
      <w:kern w:val="0"/>
      <w:sz w:val="24"/>
    </w:rPr>
  </w:style>
  <w:style w:type="paragraph" w:customStyle="1" w:styleId="62">
    <w:name w:val="样式 小四 行距: 1.5 倍行距"/>
    <w:basedOn w:val="1"/>
    <w:qFormat/>
    <w:uiPriority w:val="0"/>
    <w:pPr>
      <w:spacing w:line="360" w:lineRule="auto"/>
      <w:ind w:firstLine="480" w:firstLineChars="200"/>
    </w:pPr>
    <w:rPr>
      <w:kern w:val="0"/>
      <w:sz w:val="24"/>
      <w:szCs w:val="20"/>
    </w:rPr>
  </w:style>
  <w:style w:type="paragraph" w:customStyle="1" w:styleId="63">
    <w:name w:val="表格"/>
    <w:basedOn w:val="16"/>
    <w:next w:val="1"/>
    <w:qFormat/>
    <w:uiPriority w:val="0"/>
    <w:pPr>
      <w:adjustRightInd w:val="0"/>
      <w:snapToGrid w:val="0"/>
      <w:spacing w:beforeLines="10" w:afterLines="10" w:line="259" w:lineRule="auto"/>
      <w:jc w:val="center"/>
    </w:pPr>
    <w:rPr>
      <w:rFonts w:ascii="宋体"/>
      <w:kern w:val="0"/>
    </w:rPr>
  </w:style>
  <w:style w:type="paragraph" w:customStyle="1" w:styleId="64">
    <w:name w:val="正文01"/>
    <w:basedOn w:val="1"/>
    <w:qFormat/>
    <w:uiPriority w:val="0"/>
    <w:pPr>
      <w:widowControl/>
      <w:spacing w:line="460" w:lineRule="exact"/>
      <w:jc w:val="left"/>
    </w:pPr>
    <w:rPr>
      <w:kern w:val="0"/>
      <w:sz w:val="24"/>
    </w:rPr>
  </w:style>
  <w:style w:type="paragraph" w:customStyle="1" w:styleId="65">
    <w:name w:val="标"/>
    <w:basedOn w:val="1"/>
    <w:next w:val="3"/>
    <w:qFormat/>
    <w:uiPriority w:val="0"/>
    <w:pPr>
      <w:spacing w:beforeLines="0" w:afterLines="0" w:line="300" w:lineRule="auto"/>
      <w:ind w:firstLine="200"/>
    </w:pPr>
  </w:style>
  <w:style w:type="paragraph" w:customStyle="1" w:styleId="66">
    <w:name w:val="样式 宋体 加粗 首行缩进:  0.99 厘米 行距: 1.5 倍行距"/>
    <w:basedOn w:val="1"/>
    <w:qFormat/>
    <w:uiPriority w:val="0"/>
    <w:pPr>
      <w:snapToGrid w:val="0"/>
      <w:spacing w:line="360" w:lineRule="auto"/>
      <w:ind w:firstLine="480"/>
    </w:pPr>
    <w:rPr>
      <w:rFonts w:ascii="宋体" w:hAnsi="宋体" w:cs="宋体"/>
      <w:b/>
      <w:bCs/>
      <w:sz w:val="24"/>
      <w:szCs w:val="24"/>
    </w:rPr>
  </w:style>
  <w:style w:type="paragraph" w:customStyle="1" w:styleId="67">
    <w:name w:val="环评正文"/>
    <w:basedOn w:val="1"/>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paragraph" w:customStyle="1" w:styleId="68">
    <w:name w:val="表格内容"/>
    <w:basedOn w:val="69"/>
    <w:next w:val="1"/>
    <w:qFormat/>
    <w:uiPriority w:val="0"/>
    <w:pPr>
      <w:jc w:val="center"/>
    </w:pPr>
    <w:rPr>
      <w:rFonts w:ascii="Times New Roman" w:hAnsi="Times New Roman"/>
      <w:bCs/>
      <w:kern w:val="0"/>
      <w:szCs w:val="20"/>
    </w:rPr>
  </w:style>
  <w:style w:type="paragraph" w:customStyle="1" w:styleId="69">
    <w:name w:val="表格标题"/>
    <w:basedOn w:val="5"/>
    <w:next w:val="1"/>
    <w:qFormat/>
    <w:uiPriority w:val="0"/>
    <w:pPr>
      <w:spacing w:line="240" w:lineRule="auto"/>
      <w:ind w:firstLine="0" w:firstLineChars="0"/>
      <w:jc w:val="center"/>
    </w:pPr>
    <w:rPr>
      <w:rFonts w:eastAsia="黑体"/>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6.emf"/><Relationship Id="rId33" Type="http://schemas.openxmlformats.org/officeDocument/2006/relationships/oleObject" Target="embeddings/oleObject2.bin"/><Relationship Id="rId32" Type="http://schemas.openxmlformats.org/officeDocument/2006/relationships/image" Target="media/image25.emf"/><Relationship Id="rId31" Type="http://schemas.openxmlformats.org/officeDocument/2006/relationships/oleObject" Target="embeddings/oleObject1.bin"/><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24189</Words>
  <Characters>27503</Characters>
  <Lines>0</Lines>
  <Paragraphs>0</Paragraphs>
  <TotalTime>17</TotalTime>
  <ScaleCrop>false</ScaleCrop>
  <LinksUpToDate>false</LinksUpToDate>
  <CharactersWithSpaces>27593</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2023-05-10T15:09:00Z</dcterms:created>
  <dc:creator>杨双铭</dc:creator>
  <cp:lastModifiedBy>Administrator</cp:lastModifiedBy>
  <cp:lastPrinted>2024-01-17T10:40:00Z</cp:lastPrinted>
  <dcterms:modified xsi:type="dcterms:W3CDTF">2025-04-24T02:01:48Z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6FD0647E659876F8C5AB0568EF5F3B8C</vt:lpwstr>
  </property>
  <property fmtid="{D5CDD505-2E9C-101B-9397-08002B2CF9AE}" pid="4" name="KSOTemplateDocerSaveRecord">
    <vt:lpwstr>eyJoZGlkIjoiMjhhZThiOGE1NDJkZDBiOWRjMGRlNTFkMWYyOTcwY2IiLCJ1c2VySWQiOiIxNTM1NzY1NzUxIn0=</vt:lpwstr>
  </property>
</Properties>
</file>