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720"/>
        <w:rPr>
          <w:rFonts w:hint="eastAsia" w:ascii="仿宋_GB2312" w:hAnsi="仿宋_GB2312" w:eastAsia="仿宋_GB2312" w:cs="仿宋_GB2312"/>
          <w:sz w:val="36"/>
          <w:szCs w:val="36"/>
        </w:rPr>
      </w:pPr>
      <w:bookmarkStart w:id="0" w:name="_Hlk57883707"/>
    </w:p>
    <w:p>
      <w:pPr>
        <w:ind w:firstLine="720"/>
        <w:rPr>
          <w:rFonts w:hint="eastAsia" w:ascii="仿宋_GB2312" w:hAnsi="仿宋_GB2312" w:eastAsia="仿宋_GB2312" w:cs="仿宋_GB2312"/>
          <w:sz w:val="36"/>
          <w:szCs w:val="36"/>
        </w:rPr>
      </w:pPr>
    </w:p>
    <w:p>
      <w:pPr>
        <w:ind w:firstLine="720"/>
        <w:rPr>
          <w:rFonts w:hint="eastAsia" w:ascii="仿宋_GB2312" w:hAnsi="仿宋_GB2312" w:eastAsia="仿宋_GB2312" w:cs="仿宋_GB2312"/>
          <w:sz w:val="36"/>
          <w:szCs w:val="36"/>
        </w:rPr>
      </w:pPr>
    </w:p>
    <w:p>
      <w:pPr>
        <w:ind w:firstLine="720"/>
        <w:rPr>
          <w:rFonts w:hint="eastAsia" w:ascii="仿宋_GB2312" w:hAnsi="仿宋_GB2312" w:eastAsia="仿宋_GB2312" w:cs="仿宋_GB2312"/>
          <w:sz w:val="36"/>
          <w:szCs w:val="36"/>
        </w:rPr>
      </w:pPr>
    </w:p>
    <w:bookmarkEnd w:id="0"/>
    <w:p>
      <w:pPr>
        <w:adjustRightInd w:val="0"/>
        <w:snapToGrid w:val="0"/>
        <w:jc w:val="center"/>
        <w:outlineLvl w:val="0"/>
        <w:rPr>
          <w:rFonts w:hint="eastAsia" w:ascii="方正小标宋_GBK" w:eastAsia="方正小标宋_GBK"/>
          <w:bCs/>
          <w:sz w:val="72"/>
          <w:szCs w:val="72"/>
        </w:rPr>
      </w:pPr>
      <w:r>
        <w:rPr>
          <w:rFonts w:hint="eastAsia" w:ascii="方正小标宋_GBK" w:eastAsia="方正小标宋_GBK"/>
          <w:bCs/>
          <w:sz w:val="72"/>
          <w:szCs w:val="72"/>
        </w:rPr>
        <w:t>建设项目环境影响报告表</w:t>
      </w:r>
    </w:p>
    <w:p>
      <w:pPr>
        <w:adjustRightInd w:val="0"/>
        <w:snapToGrid w:val="0"/>
        <w:spacing w:before="192" w:beforeLines="80"/>
        <w:ind w:firstLine="960"/>
        <w:jc w:val="center"/>
        <w:rPr>
          <w:rFonts w:ascii="楷体_GB2312" w:eastAsia="楷体_GB2312"/>
          <w:bCs/>
          <w:sz w:val="48"/>
          <w:szCs w:val="48"/>
        </w:rPr>
      </w:pPr>
      <w:r>
        <w:rPr>
          <w:rFonts w:hint="eastAsia" w:ascii="楷体_GB2312" w:eastAsia="楷体_GB2312"/>
          <w:bCs/>
          <w:sz w:val="48"/>
          <w:szCs w:val="48"/>
        </w:rPr>
        <w:t>（生态影响类）</w:t>
      </w:r>
    </w:p>
    <w:p>
      <w:pPr>
        <w:adjustRightInd w:val="0"/>
        <w:snapToGrid w:val="0"/>
        <w:spacing w:before="192" w:beforeLines="80"/>
        <w:ind w:firstLine="960"/>
        <w:jc w:val="center"/>
        <w:rPr>
          <w:rFonts w:hint="eastAsia" w:ascii="楷体_GB2312" w:eastAsia="楷体_GB2312"/>
          <w:bCs/>
          <w:sz w:val="48"/>
          <w:szCs w:val="48"/>
        </w:rPr>
      </w:pPr>
      <w:r>
        <w:rPr>
          <w:rFonts w:hint="eastAsia" w:ascii="楷体_GB2312" w:eastAsia="楷体_GB2312"/>
          <w:bCs/>
          <w:sz w:val="48"/>
          <w:szCs w:val="48"/>
        </w:rPr>
        <w:t>(送审版)</w:t>
      </w:r>
    </w:p>
    <w:p>
      <w:pPr>
        <w:ind w:firstLine="880"/>
        <w:rPr>
          <w:rFonts w:hint="eastAsia" w:ascii="华文仿宋" w:hAnsi="华文仿宋" w:eastAsia="华文仿宋" w:cs="华文仿宋"/>
          <w:color w:val="000000"/>
          <w:kern w:val="44"/>
          <w:sz w:val="44"/>
          <w:szCs w:val="44"/>
        </w:rPr>
      </w:pPr>
      <w:bookmarkStart w:id="1" w:name="_Hlk57883728"/>
    </w:p>
    <w:p>
      <w:pPr>
        <w:ind w:firstLine="1040"/>
        <w:jc w:val="center"/>
        <w:rPr>
          <w:rFonts w:hint="eastAsia" w:eastAsia="仿宋"/>
          <w:sz w:val="52"/>
          <w:szCs w:val="52"/>
        </w:rPr>
      </w:pPr>
    </w:p>
    <w:p>
      <w:pPr>
        <w:ind w:firstLine="880"/>
        <w:rPr>
          <w:rFonts w:hint="eastAsia" w:eastAsia="仿宋"/>
          <w:sz w:val="44"/>
          <w:szCs w:val="44"/>
        </w:rPr>
      </w:pPr>
    </w:p>
    <w:p>
      <w:pPr>
        <w:ind w:firstLine="880"/>
        <w:rPr>
          <w:rFonts w:hint="eastAsia" w:eastAsia="仿宋"/>
          <w:sz w:val="44"/>
          <w:szCs w:val="44"/>
        </w:rPr>
      </w:pPr>
    </w:p>
    <w:p>
      <w:pPr>
        <w:ind w:firstLine="880"/>
        <w:rPr>
          <w:rFonts w:hint="eastAsia" w:eastAsia="仿宋"/>
          <w:sz w:val="44"/>
          <w:szCs w:val="44"/>
        </w:rPr>
      </w:pPr>
    </w:p>
    <w:p>
      <w:pPr>
        <w:ind w:firstLine="880"/>
        <w:rPr>
          <w:rFonts w:hint="eastAsia" w:eastAsia="仿宋"/>
          <w:sz w:val="44"/>
          <w:szCs w:val="44"/>
        </w:rPr>
      </w:pPr>
    </w:p>
    <w:bookmarkEnd w:id="1"/>
    <w:p>
      <w:pPr>
        <w:adjustRightInd w:val="0"/>
        <w:snapToGrid w:val="0"/>
        <w:spacing w:line="288" w:lineRule="auto"/>
        <w:ind w:firstLine="640"/>
        <w:rPr>
          <w:rFonts w:hint="eastAsia" w:ascii="仿宋_GB2312" w:eastAsia="仿宋_GB2312"/>
          <w:sz w:val="32"/>
          <w:szCs w:val="32"/>
          <w:u w:val="single"/>
        </w:rPr>
      </w:pPr>
      <w:r>
        <w:rPr>
          <w:rFonts w:hint="eastAsia" w:ascii="仿宋_GB2312" w:eastAsia="仿宋_GB2312"/>
          <w:sz w:val="32"/>
          <w:szCs w:val="32"/>
        </w:rPr>
        <w:t xml:space="preserve">项目名称： </w:t>
      </w:r>
      <w:r>
        <w:rPr>
          <w:rFonts w:hint="eastAsia" w:ascii="仿宋_GB2312" w:eastAsia="仿宋_GB2312"/>
          <w:sz w:val="32"/>
          <w:szCs w:val="32"/>
          <w:u w:val="single"/>
        </w:rPr>
        <w:t xml:space="preserve">  蓬溪县墨砚湖片区排水防涝建设项目  </w:t>
      </w:r>
    </w:p>
    <w:p>
      <w:pPr>
        <w:adjustRightInd w:val="0"/>
        <w:snapToGrid w:val="0"/>
        <w:spacing w:line="288" w:lineRule="auto"/>
        <w:ind w:firstLine="640"/>
        <w:rPr>
          <w:rFonts w:hint="eastAsia" w:ascii="仿宋_GB2312" w:eastAsia="仿宋_GB2312"/>
          <w:sz w:val="32"/>
          <w:szCs w:val="32"/>
          <w:u w:val="single"/>
        </w:rPr>
      </w:pPr>
      <w:r>
        <w:rPr>
          <w:rFonts w:hint="eastAsia" w:ascii="仿宋_GB2312" w:eastAsia="仿宋_GB2312"/>
          <w:sz w:val="32"/>
          <w:szCs w:val="32"/>
        </w:rPr>
        <w:t>建设单位（盖章）：</w:t>
      </w:r>
      <w:r>
        <w:rPr>
          <w:rFonts w:hint="eastAsia" w:ascii="仿宋_GB2312" w:eastAsia="仿宋_GB2312"/>
          <w:sz w:val="32"/>
          <w:szCs w:val="32"/>
          <w:u w:val="single"/>
        </w:rPr>
        <w:t xml:space="preserve">蓬溪共创城市建设有限责任公司 </w:t>
      </w:r>
    </w:p>
    <w:p>
      <w:pPr>
        <w:adjustRightInd w:val="0"/>
        <w:snapToGrid w:val="0"/>
        <w:spacing w:line="288" w:lineRule="auto"/>
        <w:ind w:firstLine="640"/>
        <w:rPr>
          <w:rFonts w:hint="eastAsia" w:ascii="仿宋_GB2312" w:eastAsia="仿宋_GB2312"/>
          <w:sz w:val="32"/>
          <w:szCs w:val="32"/>
          <w:u w:val="single"/>
        </w:rPr>
      </w:pPr>
      <w:r>
        <w:rPr>
          <w:rFonts w:hint="eastAsia" w:ascii="仿宋_GB2312" w:eastAsia="仿宋_GB2312"/>
          <w:sz w:val="32"/>
          <w:szCs w:val="32"/>
        </w:rPr>
        <w:t>编制日期：</w:t>
      </w:r>
      <w:r>
        <w:rPr>
          <w:rFonts w:hint="eastAsia" w:ascii="仿宋_GB2312" w:eastAsia="仿宋_GB2312"/>
          <w:sz w:val="32"/>
          <w:szCs w:val="32"/>
          <w:u w:val="single"/>
        </w:rPr>
        <w:t xml:space="preserve"> </w:t>
      </w:r>
      <w:r>
        <w:rPr>
          <w:rFonts w:ascii="仿宋_GB2312" w:eastAsia="仿宋_GB2312"/>
          <w:sz w:val="32"/>
          <w:szCs w:val="32"/>
          <w:u w:val="single"/>
        </w:rPr>
        <w:t xml:space="preserve">         </w:t>
      </w:r>
      <w:r>
        <w:rPr>
          <w:rFonts w:hint="eastAsia" w:ascii="仿宋_GB2312" w:eastAsia="仿宋_GB2312"/>
          <w:sz w:val="32"/>
          <w:szCs w:val="32"/>
          <w:u w:val="single"/>
        </w:rPr>
        <w:t xml:space="preserve">    2025.3</w:t>
      </w:r>
      <w:r>
        <w:rPr>
          <w:rFonts w:ascii="仿宋_GB2312" w:eastAsia="仿宋_GB2312"/>
          <w:sz w:val="32"/>
          <w:szCs w:val="32"/>
          <w:u w:val="single"/>
        </w:rPr>
        <w:t xml:space="preserve">                </w:t>
      </w:r>
      <w:r>
        <w:rPr>
          <w:rFonts w:hint="eastAsia" w:ascii="仿宋_GB2312" w:eastAsia="仿宋_GB2312"/>
          <w:sz w:val="32"/>
          <w:szCs w:val="32"/>
          <w:u w:val="single"/>
        </w:rPr>
        <w:t xml:space="preserve"> </w:t>
      </w:r>
    </w:p>
    <w:p>
      <w:pPr>
        <w:adjustRightInd w:val="0"/>
        <w:snapToGrid w:val="0"/>
        <w:spacing w:line="288" w:lineRule="auto"/>
        <w:ind w:firstLine="720"/>
        <w:rPr>
          <w:rFonts w:hint="eastAsia" w:ascii="仿宋_GB2312" w:eastAsia="仿宋_GB2312"/>
          <w:sz w:val="36"/>
          <w:szCs w:val="36"/>
          <w:u w:val="single"/>
        </w:rPr>
      </w:pPr>
    </w:p>
    <w:p>
      <w:pPr>
        <w:adjustRightInd w:val="0"/>
        <w:snapToGrid w:val="0"/>
        <w:spacing w:line="288" w:lineRule="auto"/>
        <w:ind w:firstLine="720"/>
        <w:rPr>
          <w:rFonts w:hint="eastAsia" w:ascii="仿宋_GB2312" w:eastAsia="仿宋_GB2312"/>
          <w:sz w:val="36"/>
          <w:szCs w:val="36"/>
        </w:rPr>
      </w:pPr>
    </w:p>
    <w:p>
      <w:pPr>
        <w:adjustRightInd w:val="0"/>
        <w:snapToGrid w:val="0"/>
        <w:spacing w:line="288" w:lineRule="auto"/>
        <w:ind w:firstLine="720"/>
        <w:rPr>
          <w:rFonts w:hint="eastAsia" w:ascii="仿宋_GB2312" w:eastAsia="仿宋_GB2312"/>
          <w:sz w:val="36"/>
          <w:szCs w:val="36"/>
        </w:rPr>
      </w:pPr>
    </w:p>
    <w:p>
      <w:pPr>
        <w:adjustRightInd w:val="0"/>
        <w:snapToGrid w:val="0"/>
        <w:spacing w:line="288" w:lineRule="auto"/>
        <w:ind w:firstLine="720"/>
        <w:rPr>
          <w:rFonts w:hint="eastAsia" w:ascii="仿宋_GB2312" w:eastAsia="仿宋_GB2312"/>
          <w:sz w:val="36"/>
          <w:szCs w:val="36"/>
        </w:rPr>
      </w:pPr>
    </w:p>
    <w:p>
      <w:pPr>
        <w:adjustRightInd w:val="0"/>
        <w:snapToGrid w:val="0"/>
        <w:spacing w:line="288" w:lineRule="auto"/>
        <w:ind w:firstLine="720"/>
        <w:rPr>
          <w:rFonts w:hint="eastAsia" w:ascii="仿宋_GB2312" w:eastAsia="仿宋_GB2312"/>
          <w:sz w:val="36"/>
          <w:szCs w:val="36"/>
        </w:rPr>
      </w:pPr>
    </w:p>
    <w:p>
      <w:pPr>
        <w:adjustRightInd w:val="0"/>
        <w:snapToGrid w:val="0"/>
        <w:spacing w:line="288" w:lineRule="auto"/>
        <w:jc w:val="center"/>
        <w:rPr>
          <w:rFonts w:hint="eastAsia" w:ascii="楷体_GB2312" w:eastAsia="楷体_GB2312"/>
          <w:sz w:val="36"/>
          <w:szCs w:val="36"/>
        </w:rPr>
      </w:pPr>
      <w:r>
        <w:rPr>
          <w:rFonts w:hint="eastAsia" w:ascii="楷体_GB2312" w:eastAsia="楷体_GB2312"/>
          <w:sz w:val="36"/>
          <w:szCs w:val="36"/>
        </w:rPr>
        <w:t>中华人民共和国生态环境部制</w:t>
      </w:r>
    </w:p>
    <w:p>
      <w:pPr>
        <w:adjustRightInd w:val="0"/>
        <w:snapToGrid w:val="0"/>
        <w:spacing w:line="288" w:lineRule="auto"/>
        <w:ind w:firstLine="720"/>
        <w:rPr>
          <w:rFonts w:hint="eastAsia" w:ascii="仿宋_GB2312" w:eastAsia="仿宋_GB2312"/>
          <w:sz w:val="36"/>
          <w:szCs w:val="36"/>
        </w:rPr>
        <w:sectPr>
          <w:footerReference r:id="rId3" w:type="default"/>
          <w:footerReference r:id="rId4" w:type="even"/>
          <w:pgSz w:w="11906" w:h="16838"/>
          <w:pgMar w:top="1701" w:right="1531" w:bottom="1701" w:left="1531" w:header="851" w:footer="1077" w:gutter="0"/>
          <w:pgNumType w:start="21"/>
          <w:cols w:space="720" w:num="1"/>
          <w:docGrid w:linePitch="312" w:charSpace="0"/>
        </w:sectPr>
      </w:pPr>
    </w:p>
    <w:p>
      <w:pPr>
        <w:pStyle w:val="13"/>
        <w:ind w:firstLine="600"/>
        <w:jc w:val="center"/>
        <w:outlineLvl w:val="0"/>
        <w:rPr>
          <w:rFonts w:hint="eastAsia" w:ascii="黑体" w:hAnsi="黑体" w:eastAsia="黑体"/>
          <w:snapToGrid w:val="0"/>
          <w:sz w:val="30"/>
          <w:szCs w:val="30"/>
        </w:rPr>
      </w:pPr>
      <w:r>
        <w:rPr>
          <w:rFonts w:hint="eastAsia" w:ascii="黑体" w:hAnsi="黑体" w:eastAsia="黑体"/>
          <w:snapToGrid w:val="0"/>
          <w:sz w:val="30"/>
          <w:szCs w:val="30"/>
        </w:rPr>
        <w:t>一、建设项目基本情况</w:t>
      </w:r>
    </w:p>
    <w:tbl>
      <w:tblPr>
        <w:tblStyle w:val="15"/>
        <w:tblW w:w="9039" w:type="dxa"/>
        <w:tblInd w:w="16"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226"/>
        <w:gridCol w:w="2043"/>
        <w:gridCol w:w="2218"/>
        <w:gridCol w:w="10"/>
        <w:gridCol w:w="25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62" w:hRule="atLeast"/>
        </w:trPr>
        <w:tc>
          <w:tcPr>
            <w:tcW w:w="2226" w:type="dxa"/>
            <w:tcMar>
              <w:top w:w="16" w:type="dxa"/>
              <w:left w:w="16" w:type="dxa"/>
              <w:right w:w="16" w:type="dxa"/>
            </w:tcMar>
            <w:vAlign w:val="center"/>
          </w:tcPr>
          <w:p>
            <w:pPr>
              <w:adjustRightInd w:val="0"/>
              <w:snapToGrid w:val="0"/>
              <w:jc w:val="center"/>
              <w:rPr>
                <w:rFonts w:hint="eastAsia"/>
              </w:rPr>
            </w:pPr>
            <w:r>
              <w:rPr>
                <w:rFonts w:hint="eastAsia"/>
              </w:rPr>
              <w:t>建设项目名称</w:t>
            </w:r>
          </w:p>
        </w:tc>
        <w:tc>
          <w:tcPr>
            <w:tcW w:w="6813" w:type="dxa"/>
            <w:gridSpan w:val="4"/>
            <w:vAlign w:val="center"/>
          </w:tcPr>
          <w:p>
            <w:pPr>
              <w:pStyle w:val="36"/>
              <w:rPr>
                <w:sz w:val="24"/>
              </w:rPr>
            </w:pPr>
            <w:r>
              <w:rPr>
                <w:rFonts w:hint="eastAsia"/>
                <w:sz w:val="24"/>
              </w:rPr>
              <w:t>蓬溪县墨砚湖片区排水防涝建设项目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55" w:hRule="atLeast"/>
        </w:trPr>
        <w:tc>
          <w:tcPr>
            <w:tcW w:w="2226" w:type="dxa"/>
            <w:tcMar>
              <w:top w:w="16" w:type="dxa"/>
              <w:left w:w="16" w:type="dxa"/>
              <w:right w:w="16" w:type="dxa"/>
            </w:tcMar>
            <w:vAlign w:val="center"/>
          </w:tcPr>
          <w:p>
            <w:pPr>
              <w:adjustRightInd w:val="0"/>
              <w:snapToGrid w:val="0"/>
              <w:jc w:val="center"/>
              <w:rPr>
                <w:rFonts w:hint="eastAsia"/>
              </w:rPr>
            </w:pPr>
            <w:r>
              <w:rPr>
                <w:rFonts w:hint="eastAsia"/>
              </w:rPr>
              <w:t>项目代码</w:t>
            </w:r>
          </w:p>
        </w:tc>
        <w:tc>
          <w:tcPr>
            <w:tcW w:w="6813" w:type="dxa"/>
            <w:gridSpan w:val="4"/>
            <w:vAlign w:val="center"/>
          </w:tcPr>
          <w:p>
            <w:pPr>
              <w:pStyle w:val="36"/>
              <w:rPr>
                <w:sz w:val="24"/>
              </w:rPr>
            </w:pPr>
            <w:r>
              <w:rPr>
                <w:sz w:val="24"/>
              </w:rPr>
              <w:t>2310-510921-04-01-168749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62" w:hRule="atLeast"/>
        </w:trPr>
        <w:tc>
          <w:tcPr>
            <w:tcW w:w="2226" w:type="dxa"/>
            <w:tcMar>
              <w:top w:w="16" w:type="dxa"/>
              <w:left w:w="16" w:type="dxa"/>
              <w:right w:w="16" w:type="dxa"/>
            </w:tcMar>
            <w:vAlign w:val="center"/>
          </w:tcPr>
          <w:p>
            <w:pPr>
              <w:adjustRightInd w:val="0"/>
              <w:snapToGrid w:val="0"/>
              <w:jc w:val="center"/>
              <w:rPr>
                <w:rFonts w:hint="eastAsia"/>
              </w:rPr>
            </w:pPr>
            <w:r>
              <w:rPr>
                <w:rFonts w:hint="eastAsia"/>
              </w:rPr>
              <w:t>建设单位联系人</w:t>
            </w:r>
          </w:p>
        </w:tc>
        <w:tc>
          <w:tcPr>
            <w:tcW w:w="2043" w:type="dxa"/>
            <w:vAlign w:val="center"/>
          </w:tcPr>
          <w:p>
            <w:pPr>
              <w:pStyle w:val="36"/>
              <w:rPr>
                <w:sz w:val="24"/>
              </w:rPr>
            </w:pPr>
            <w:r>
              <w:rPr>
                <w:rFonts w:hint="eastAsia"/>
                <w:sz w:val="24"/>
              </w:rPr>
              <w:t>周工</w:t>
            </w:r>
          </w:p>
        </w:tc>
        <w:tc>
          <w:tcPr>
            <w:tcW w:w="2228" w:type="dxa"/>
            <w:gridSpan w:val="2"/>
            <w:vAlign w:val="center"/>
          </w:tcPr>
          <w:p>
            <w:pPr>
              <w:pStyle w:val="36"/>
              <w:rPr>
                <w:sz w:val="24"/>
              </w:rPr>
            </w:pPr>
            <w:r>
              <w:rPr>
                <w:rFonts w:hint="eastAsia"/>
                <w:sz w:val="24"/>
              </w:rPr>
              <w:t>联系方式</w:t>
            </w:r>
          </w:p>
        </w:tc>
        <w:tc>
          <w:tcPr>
            <w:tcW w:w="2542" w:type="dxa"/>
            <w:vAlign w:val="center"/>
          </w:tcPr>
          <w:p>
            <w:pPr>
              <w:pStyle w:val="36"/>
              <w:rPr>
                <w:sz w:val="24"/>
              </w:rPr>
            </w:pPr>
            <w:r>
              <w:rPr>
                <w:sz w:val="24"/>
              </w:rPr>
              <w:t>18682505989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62" w:hRule="atLeast"/>
        </w:trPr>
        <w:tc>
          <w:tcPr>
            <w:tcW w:w="2226" w:type="dxa"/>
            <w:tcMar>
              <w:top w:w="16" w:type="dxa"/>
              <w:left w:w="16" w:type="dxa"/>
              <w:right w:w="16" w:type="dxa"/>
            </w:tcMar>
            <w:vAlign w:val="center"/>
          </w:tcPr>
          <w:p>
            <w:pPr>
              <w:adjustRightInd w:val="0"/>
              <w:snapToGrid w:val="0"/>
              <w:jc w:val="center"/>
              <w:rPr>
                <w:rFonts w:hint="eastAsia"/>
              </w:rPr>
            </w:pPr>
            <w:r>
              <w:rPr>
                <w:rFonts w:hint="eastAsia"/>
              </w:rPr>
              <w:t>建设地点</w:t>
            </w:r>
          </w:p>
        </w:tc>
        <w:tc>
          <w:tcPr>
            <w:tcW w:w="6813" w:type="dxa"/>
            <w:gridSpan w:val="4"/>
            <w:vAlign w:val="center"/>
          </w:tcPr>
          <w:p>
            <w:pPr>
              <w:pStyle w:val="36"/>
              <w:rPr>
                <w:sz w:val="24"/>
              </w:rPr>
            </w:pPr>
            <w:r>
              <w:rPr>
                <w:rFonts w:hint="eastAsia"/>
                <w:sz w:val="24"/>
              </w:rPr>
              <w:t>四川省遂宁市蓬溪县墨砚湖片区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55" w:hRule="atLeast"/>
        </w:trPr>
        <w:tc>
          <w:tcPr>
            <w:tcW w:w="2226" w:type="dxa"/>
            <w:tcMar>
              <w:top w:w="16" w:type="dxa"/>
              <w:left w:w="16" w:type="dxa"/>
              <w:right w:w="16" w:type="dxa"/>
            </w:tcMar>
            <w:vAlign w:val="center"/>
          </w:tcPr>
          <w:p>
            <w:pPr>
              <w:adjustRightInd w:val="0"/>
              <w:snapToGrid w:val="0"/>
              <w:jc w:val="center"/>
              <w:rPr>
                <w:rFonts w:hint="eastAsia"/>
              </w:rPr>
            </w:pPr>
            <w:r>
              <w:rPr>
                <w:rFonts w:hint="eastAsia"/>
              </w:rPr>
              <w:t>地理坐标</w:t>
            </w:r>
          </w:p>
        </w:tc>
        <w:tc>
          <w:tcPr>
            <w:tcW w:w="6813" w:type="dxa"/>
            <w:gridSpan w:val="4"/>
            <w:vAlign w:val="center"/>
          </w:tcPr>
          <w:p>
            <w:pPr>
              <w:pStyle w:val="36"/>
              <w:rPr>
                <w:sz w:val="24"/>
              </w:rPr>
            </w:pPr>
            <w:r>
              <w:rPr>
                <w:rFonts w:hint="eastAsia"/>
                <w:sz w:val="24"/>
              </w:rPr>
              <w:t>墨砚湖中心坐标：</w:t>
            </w:r>
            <w:r>
              <w:rPr>
                <w:sz w:val="24"/>
              </w:rPr>
              <w:t>东经105°42'30.355"，北纬30°45'22.064"</w:t>
            </w:r>
          </w:p>
          <w:p>
            <w:pPr>
              <w:pStyle w:val="36"/>
              <w:rPr>
                <w:sz w:val="24"/>
              </w:rPr>
            </w:pPr>
            <w:r>
              <w:rPr>
                <w:rFonts w:hint="eastAsia"/>
                <w:sz w:val="24"/>
              </w:rPr>
              <w:t>来龙山闸坝：</w:t>
            </w:r>
            <w:r>
              <w:rPr>
                <w:sz w:val="24"/>
              </w:rPr>
              <w:t>105°40'47.338"，30°45'45.292"</w:t>
            </w:r>
          </w:p>
          <w:p>
            <w:pPr>
              <w:pStyle w:val="36"/>
            </w:pPr>
            <w:r>
              <w:rPr>
                <w:rFonts w:hint="eastAsia"/>
                <w:sz w:val="24"/>
              </w:rPr>
              <w:t>碧山庙村拱堰改造：</w:t>
            </w:r>
            <w:r>
              <w:rPr>
                <w:sz w:val="24"/>
              </w:rPr>
              <w:t>105°38'38.573"，30°45'9.097"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715" w:hRule="atLeast"/>
        </w:trPr>
        <w:tc>
          <w:tcPr>
            <w:tcW w:w="2226" w:type="dxa"/>
            <w:tcMar>
              <w:top w:w="16" w:type="dxa"/>
              <w:left w:w="16" w:type="dxa"/>
              <w:right w:w="16" w:type="dxa"/>
            </w:tcMar>
            <w:vAlign w:val="center"/>
          </w:tcPr>
          <w:p>
            <w:pPr>
              <w:adjustRightInd w:val="0"/>
              <w:snapToGrid w:val="0"/>
              <w:jc w:val="center"/>
              <w:rPr>
                <w:rFonts w:hint="eastAsia"/>
              </w:rPr>
            </w:pPr>
            <w:r>
              <w:rPr>
                <w:rFonts w:hint="eastAsia"/>
              </w:rPr>
              <w:t>建设项目</w:t>
            </w:r>
          </w:p>
          <w:p>
            <w:pPr>
              <w:adjustRightInd w:val="0"/>
              <w:snapToGrid w:val="0"/>
              <w:jc w:val="center"/>
              <w:rPr>
                <w:rFonts w:hint="eastAsia"/>
              </w:rPr>
            </w:pPr>
            <w:r>
              <w:rPr>
                <w:rFonts w:hint="eastAsia"/>
              </w:rPr>
              <w:t>行业类别</w:t>
            </w:r>
          </w:p>
        </w:tc>
        <w:tc>
          <w:tcPr>
            <w:tcW w:w="2043" w:type="dxa"/>
            <w:vAlign w:val="center"/>
          </w:tcPr>
          <w:p>
            <w:pPr>
              <w:pStyle w:val="36"/>
              <w:rPr>
                <w:sz w:val="24"/>
              </w:rPr>
            </w:pPr>
            <w:r>
              <w:rPr>
                <w:rFonts w:hint="eastAsia"/>
                <w:sz w:val="24"/>
              </w:rPr>
              <w:t>五十一水利，127</w:t>
            </w:r>
          </w:p>
          <w:p>
            <w:pPr>
              <w:pStyle w:val="36"/>
              <w:rPr>
                <w:sz w:val="24"/>
              </w:rPr>
            </w:pPr>
            <w:r>
              <w:rPr>
                <w:rFonts w:hint="eastAsia"/>
                <w:sz w:val="24"/>
              </w:rPr>
              <w:t>防洪除涝工程；128河湖整治（不含农村塘堰、水渠）</w:t>
            </w:r>
          </w:p>
        </w:tc>
        <w:tc>
          <w:tcPr>
            <w:tcW w:w="2218" w:type="dxa"/>
            <w:vAlign w:val="center"/>
          </w:tcPr>
          <w:p>
            <w:pPr>
              <w:pStyle w:val="36"/>
              <w:rPr>
                <w:sz w:val="24"/>
              </w:rPr>
            </w:pPr>
            <w:r>
              <w:rPr>
                <w:rFonts w:hint="eastAsia"/>
                <w:sz w:val="24"/>
              </w:rPr>
              <w:t>用地（用海）面积（</w:t>
            </w:r>
            <w:r>
              <w:rPr>
                <w:sz w:val="24"/>
              </w:rPr>
              <w:t>m</w:t>
            </w:r>
            <w:r>
              <w:rPr>
                <w:sz w:val="24"/>
                <w:vertAlign w:val="superscript"/>
              </w:rPr>
              <w:t>2</w:t>
            </w:r>
            <w:r>
              <w:rPr>
                <w:rFonts w:hint="eastAsia"/>
                <w:sz w:val="24"/>
              </w:rPr>
              <w:t>）</w:t>
            </w:r>
            <w:r>
              <w:rPr>
                <w:sz w:val="24"/>
              </w:rPr>
              <w:t>/</w:t>
            </w:r>
            <w:r>
              <w:rPr>
                <w:rFonts w:hint="eastAsia"/>
                <w:sz w:val="24"/>
              </w:rPr>
              <w:t>长度（</w:t>
            </w:r>
            <w:r>
              <w:rPr>
                <w:sz w:val="24"/>
              </w:rPr>
              <w:t>km</w:t>
            </w:r>
            <w:r>
              <w:rPr>
                <w:rFonts w:hint="eastAsia"/>
                <w:sz w:val="24"/>
              </w:rPr>
              <w:t>）</w:t>
            </w:r>
          </w:p>
        </w:tc>
        <w:tc>
          <w:tcPr>
            <w:tcW w:w="2552" w:type="dxa"/>
            <w:gridSpan w:val="2"/>
            <w:vAlign w:val="center"/>
          </w:tcPr>
          <w:p>
            <w:pPr>
              <w:pStyle w:val="36"/>
              <w:jc w:val="left"/>
              <w:rPr>
                <w:sz w:val="24"/>
              </w:rPr>
            </w:pPr>
            <w:r>
              <w:rPr>
                <w:rFonts w:hint="eastAsia"/>
                <w:sz w:val="24"/>
              </w:rPr>
              <w:t>新建涵洞长涵洞</w:t>
            </w:r>
            <w:r>
              <w:rPr>
                <w:sz w:val="24"/>
              </w:rPr>
              <w:t>750.75</w:t>
            </w:r>
            <w:r>
              <w:rPr>
                <w:rFonts w:hint="eastAsia"/>
                <w:sz w:val="24"/>
              </w:rPr>
              <w:t>m</w:t>
            </w:r>
          </w:p>
          <w:p>
            <w:pPr>
              <w:pStyle w:val="36"/>
              <w:jc w:val="left"/>
              <w:rPr>
                <w:sz w:val="24"/>
              </w:rPr>
            </w:pPr>
            <w:r>
              <w:rPr>
                <w:rFonts w:hint="eastAsia"/>
                <w:sz w:val="24"/>
              </w:rPr>
              <w:t>改建容量约</w:t>
            </w:r>
            <w:r>
              <w:rPr>
                <w:sz w:val="24"/>
              </w:rPr>
              <w:t xml:space="preserve">30 </w:t>
            </w:r>
            <w:r>
              <w:rPr>
                <w:rFonts w:hint="eastAsia"/>
                <w:sz w:val="24"/>
              </w:rPr>
              <w:t>万立方米集水湖泊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04" w:hRule="atLeast"/>
        </w:trPr>
        <w:tc>
          <w:tcPr>
            <w:tcW w:w="2226" w:type="dxa"/>
            <w:tcMar>
              <w:top w:w="16" w:type="dxa"/>
              <w:left w:w="16" w:type="dxa"/>
              <w:right w:w="16" w:type="dxa"/>
            </w:tcMar>
            <w:vAlign w:val="center"/>
          </w:tcPr>
          <w:p>
            <w:pPr>
              <w:adjustRightInd w:val="0"/>
              <w:snapToGrid w:val="0"/>
              <w:jc w:val="center"/>
              <w:rPr>
                <w:rFonts w:hint="eastAsia"/>
              </w:rPr>
            </w:pPr>
            <w:r>
              <w:rPr>
                <w:rFonts w:hint="eastAsia"/>
              </w:rPr>
              <w:t>建设性质</w:t>
            </w:r>
          </w:p>
        </w:tc>
        <w:tc>
          <w:tcPr>
            <w:tcW w:w="2043" w:type="dxa"/>
            <w:vAlign w:val="center"/>
          </w:tcPr>
          <w:p>
            <w:pPr>
              <w:adjustRightInd w:val="0"/>
              <w:snapToGrid w:val="0"/>
              <w:rPr>
                <w:rFonts w:hint="eastAsia"/>
              </w:rPr>
            </w:pPr>
            <w:r>
              <w:t>☑</w:t>
            </w:r>
            <w:r>
              <w:rPr>
                <w:rFonts w:hint="eastAsia"/>
              </w:rPr>
              <w:t>新建（迁建）</w:t>
            </w:r>
          </w:p>
          <w:p>
            <w:pPr>
              <w:adjustRightInd w:val="0"/>
              <w:snapToGrid w:val="0"/>
              <w:rPr>
                <w:rFonts w:hint="eastAsia"/>
              </w:rPr>
            </w:pPr>
            <w:r>
              <w:t>☑</w:t>
            </w:r>
            <w:r>
              <w:rPr>
                <w:rFonts w:hint="eastAsia"/>
              </w:rPr>
              <w:t>改建</w:t>
            </w:r>
          </w:p>
          <w:p>
            <w:pPr>
              <w:adjustRightInd w:val="0"/>
              <w:snapToGrid w:val="0"/>
              <w:rPr>
                <w:rFonts w:hint="eastAsia"/>
              </w:rPr>
            </w:pPr>
            <w:r>
              <w:rPr>
                <w:rFonts w:hint="eastAsia"/>
              </w:rPr>
              <w:t>□扩建</w:t>
            </w:r>
          </w:p>
          <w:p>
            <w:pPr>
              <w:adjustRightInd w:val="0"/>
              <w:snapToGrid w:val="0"/>
              <w:rPr>
                <w:rFonts w:hint="eastAsia"/>
              </w:rPr>
            </w:pPr>
            <w:r>
              <w:rPr>
                <w:rFonts w:hint="eastAsia"/>
              </w:rPr>
              <w:t>□技术改造</w:t>
            </w:r>
          </w:p>
        </w:tc>
        <w:tc>
          <w:tcPr>
            <w:tcW w:w="2218" w:type="dxa"/>
            <w:vAlign w:val="center"/>
          </w:tcPr>
          <w:p>
            <w:pPr>
              <w:adjustRightInd w:val="0"/>
              <w:snapToGrid w:val="0"/>
              <w:jc w:val="center"/>
              <w:rPr>
                <w:rFonts w:hint="eastAsia"/>
              </w:rPr>
            </w:pPr>
            <w:r>
              <w:rPr>
                <w:rFonts w:hint="eastAsia"/>
              </w:rPr>
              <w:t>建设项目</w:t>
            </w:r>
          </w:p>
          <w:p>
            <w:pPr>
              <w:adjustRightInd w:val="0"/>
              <w:snapToGrid w:val="0"/>
              <w:jc w:val="center"/>
              <w:rPr>
                <w:rFonts w:hint="eastAsia"/>
              </w:rPr>
            </w:pPr>
            <w:r>
              <w:rPr>
                <w:rFonts w:hint="eastAsia"/>
              </w:rPr>
              <w:t>申报情形</w:t>
            </w:r>
          </w:p>
        </w:tc>
        <w:tc>
          <w:tcPr>
            <w:tcW w:w="2552" w:type="dxa"/>
            <w:gridSpan w:val="2"/>
            <w:vAlign w:val="center"/>
          </w:tcPr>
          <w:p>
            <w:pPr>
              <w:pStyle w:val="36"/>
              <w:jc w:val="left"/>
              <w:rPr>
                <w:sz w:val="24"/>
              </w:rPr>
            </w:pPr>
            <w:r>
              <w:rPr>
                <w:rFonts w:ascii="Segoe UI Symbol" w:hAnsi="Segoe UI Symbol" w:cs="Segoe UI Symbol"/>
                <w:sz w:val="24"/>
              </w:rPr>
              <w:t>☑</w:t>
            </w:r>
            <w:r>
              <w:rPr>
                <w:rFonts w:hint="eastAsia"/>
                <w:sz w:val="24"/>
              </w:rPr>
              <w:t>首次申报项目</w:t>
            </w:r>
          </w:p>
          <w:p>
            <w:pPr>
              <w:pStyle w:val="36"/>
              <w:jc w:val="left"/>
              <w:rPr>
                <w:sz w:val="24"/>
              </w:rPr>
            </w:pPr>
            <w:r>
              <w:rPr>
                <w:rFonts w:hint="eastAsia"/>
                <w:sz w:val="24"/>
              </w:rPr>
              <w:t>□不予批准后再次申报项目</w:t>
            </w:r>
          </w:p>
          <w:p>
            <w:pPr>
              <w:pStyle w:val="36"/>
              <w:jc w:val="left"/>
              <w:rPr>
                <w:sz w:val="24"/>
              </w:rPr>
            </w:pPr>
            <w:r>
              <w:rPr>
                <w:rFonts w:hint="eastAsia"/>
                <w:sz w:val="24"/>
              </w:rPr>
              <w:t>□超五年重新审核项目</w:t>
            </w:r>
          </w:p>
          <w:p>
            <w:pPr>
              <w:pStyle w:val="36"/>
              <w:jc w:val="left"/>
            </w:pPr>
            <w:r>
              <w:rPr>
                <w:rFonts w:hint="eastAsia"/>
                <w:sz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762" w:hRule="atLeast"/>
        </w:trPr>
        <w:tc>
          <w:tcPr>
            <w:tcW w:w="2226" w:type="dxa"/>
            <w:tcMar>
              <w:top w:w="16" w:type="dxa"/>
              <w:left w:w="16" w:type="dxa"/>
              <w:right w:w="16" w:type="dxa"/>
            </w:tcMar>
            <w:vAlign w:val="center"/>
          </w:tcPr>
          <w:p>
            <w:pPr>
              <w:adjustRightInd w:val="0"/>
              <w:snapToGrid w:val="0"/>
              <w:jc w:val="center"/>
              <w:rPr>
                <w:rFonts w:hint="eastAsia"/>
              </w:rPr>
            </w:pPr>
            <w:r>
              <w:rPr>
                <w:rFonts w:hint="eastAsia"/>
              </w:rPr>
              <w:t>项目审批（核准</w:t>
            </w:r>
            <w:r>
              <w:t>/</w:t>
            </w:r>
          </w:p>
          <w:p>
            <w:pPr>
              <w:adjustRightInd w:val="0"/>
              <w:snapToGrid w:val="0"/>
              <w:jc w:val="center"/>
              <w:rPr>
                <w:rFonts w:hint="eastAsia"/>
              </w:rPr>
            </w:pPr>
            <w:r>
              <w:rPr>
                <w:rFonts w:hint="eastAsia"/>
              </w:rPr>
              <w:t>备案）部门（选填）</w:t>
            </w:r>
          </w:p>
        </w:tc>
        <w:tc>
          <w:tcPr>
            <w:tcW w:w="2043" w:type="dxa"/>
            <w:vAlign w:val="center"/>
          </w:tcPr>
          <w:p>
            <w:pPr>
              <w:adjustRightInd w:val="0"/>
              <w:snapToGrid w:val="0"/>
              <w:jc w:val="center"/>
              <w:rPr>
                <w:rFonts w:hint="eastAsia"/>
              </w:rPr>
            </w:pPr>
            <w:r>
              <w:rPr>
                <w:rFonts w:hint="eastAsia"/>
              </w:rPr>
              <w:t>篷溪县发展和改革局</w:t>
            </w:r>
          </w:p>
        </w:tc>
        <w:tc>
          <w:tcPr>
            <w:tcW w:w="2218" w:type="dxa"/>
            <w:vAlign w:val="center"/>
          </w:tcPr>
          <w:p>
            <w:pPr>
              <w:adjustRightInd w:val="0"/>
              <w:snapToGrid w:val="0"/>
              <w:jc w:val="center"/>
              <w:rPr>
                <w:rFonts w:hint="eastAsia"/>
              </w:rPr>
            </w:pPr>
            <w:r>
              <w:rPr>
                <w:rFonts w:hint="eastAsia"/>
              </w:rPr>
              <w:t>项目审批（核准</w:t>
            </w:r>
            <w:r>
              <w:t>/</w:t>
            </w:r>
          </w:p>
          <w:p>
            <w:pPr>
              <w:adjustRightInd w:val="0"/>
              <w:snapToGrid w:val="0"/>
              <w:jc w:val="center"/>
              <w:rPr>
                <w:rFonts w:hint="eastAsia"/>
              </w:rPr>
            </w:pPr>
            <w:r>
              <w:rPr>
                <w:rFonts w:hint="eastAsia"/>
              </w:rPr>
              <w:t>备案）文号（选填）</w:t>
            </w:r>
          </w:p>
        </w:tc>
        <w:tc>
          <w:tcPr>
            <w:tcW w:w="2552" w:type="dxa"/>
            <w:gridSpan w:val="2"/>
            <w:vAlign w:val="center"/>
          </w:tcPr>
          <w:p>
            <w:pPr>
              <w:pStyle w:val="42"/>
              <w:ind w:firstLine="0" w:firstLineChars="0"/>
              <w:jc w:val="center"/>
            </w:pPr>
            <w:r>
              <w:rPr>
                <w:rFonts w:hint="eastAsia"/>
              </w:rPr>
              <w:t>2310-510921-04-01-168749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55" w:hRule="atLeast"/>
        </w:trPr>
        <w:tc>
          <w:tcPr>
            <w:tcW w:w="2226" w:type="dxa"/>
            <w:tcMar>
              <w:top w:w="16" w:type="dxa"/>
              <w:left w:w="16" w:type="dxa"/>
              <w:right w:w="16" w:type="dxa"/>
            </w:tcMar>
            <w:vAlign w:val="center"/>
          </w:tcPr>
          <w:p>
            <w:pPr>
              <w:adjustRightInd w:val="0"/>
              <w:snapToGrid w:val="0"/>
              <w:jc w:val="center"/>
              <w:rPr>
                <w:rFonts w:hint="eastAsia"/>
              </w:rPr>
            </w:pPr>
            <w:r>
              <w:rPr>
                <w:rFonts w:hint="eastAsia"/>
              </w:rPr>
              <w:t>总投资（万元）</w:t>
            </w:r>
          </w:p>
        </w:tc>
        <w:tc>
          <w:tcPr>
            <w:tcW w:w="2043" w:type="dxa"/>
            <w:vAlign w:val="center"/>
          </w:tcPr>
          <w:p>
            <w:pPr>
              <w:jc w:val="center"/>
              <w:rPr>
                <w:rFonts w:ascii="Times New Roman" w:hAnsi="Times New Roman" w:cs="Times New Roman"/>
              </w:rPr>
            </w:pPr>
            <w:r>
              <w:rPr>
                <w:rFonts w:ascii="Times New Roman" w:hAnsi="Times New Roman" w:cs="Times New Roman"/>
              </w:rPr>
              <w:t>26500</w:t>
            </w:r>
          </w:p>
        </w:tc>
        <w:tc>
          <w:tcPr>
            <w:tcW w:w="2218" w:type="dxa"/>
            <w:tcMar>
              <w:top w:w="16" w:type="dxa"/>
              <w:left w:w="16" w:type="dxa"/>
              <w:right w:w="16" w:type="dxa"/>
            </w:tcMar>
            <w:vAlign w:val="center"/>
          </w:tcPr>
          <w:p>
            <w:pPr>
              <w:adjustRightInd w:val="0"/>
              <w:snapToGrid w:val="0"/>
              <w:jc w:val="center"/>
              <w:rPr>
                <w:rFonts w:hint="eastAsia"/>
              </w:rPr>
            </w:pPr>
            <w:r>
              <w:rPr>
                <w:rFonts w:hint="eastAsia"/>
              </w:rPr>
              <w:t>环保投资（万元）</w:t>
            </w:r>
          </w:p>
        </w:tc>
        <w:tc>
          <w:tcPr>
            <w:tcW w:w="2552" w:type="dxa"/>
            <w:gridSpan w:val="2"/>
            <w:vAlign w:val="center"/>
          </w:tcPr>
          <w:p>
            <w:pPr>
              <w:adjustRightInd w:val="0"/>
              <w:snapToGrid w:val="0"/>
              <w:jc w:val="center"/>
              <w:rPr>
                <w:rFonts w:ascii="Times New Roman" w:hAnsi="Times New Roman" w:cs="Times New Roman"/>
              </w:rPr>
            </w:pPr>
            <w:r>
              <w:rPr>
                <w:rFonts w:ascii="Times New Roman" w:hAnsi="Times New Roman" w:cs="Times New Roman"/>
              </w:rPr>
              <w:t>53.5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64" w:hRule="atLeast"/>
        </w:trPr>
        <w:tc>
          <w:tcPr>
            <w:tcW w:w="2226" w:type="dxa"/>
            <w:tcMar>
              <w:top w:w="16" w:type="dxa"/>
              <w:left w:w="16" w:type="dxa"/>
              <w:right w:w="16" w:type="dxa"/>
            </w:tcMar>
            <w:vAlign w:val="center"/>
          </w:tcPr>
          <w:p>
            <w:pPr>
              <w:adjustRightInd w:val="0"/>
              <w:snapToGrid w:val="0"/>
              <w:jc w:val="center"/>
              <w:rPr>
                <w:rFonts w:hint="eastAsia"/>
              </w:rPr>
            </w:pPr>
            <w:r>
              <w:rPr>
                <w:rFonts w:hint="eastAsia"/>
              </w:rPr>
              <w:t>环保投资占比（</w:t>
            </w:r>
            <w:r>
              <w:t>%</w:t>
            </w:r>
            <w:r>
              <w:rPr>
                <w:rFonts w:hint="eastAsia"/>
              </w:rPr>
              <w:t>）</w:t>
            </w:r>
          </w:p>
        </w:tc>
        <w:tc>
          <w:tcPr>
            <w:tcW w:w="2043" w:type="dxa"/>
            <w:vAlign w:val="center"/>
          </w:tcPr>
          <w:p>
            <w:pPr>
              <w:adjustRightInd w:val="0"/>
              <w:snapToGrid w:val="0"/>
              <w:jc w:val="center"/>
              <w:rPr>
                <w:rFonts w:ascii="Times New Roman" w:hAnsi="Times New Roman" w:cs="Times New Roman"/>
              </w:rPr>
            </w:pPr>
            <w:r>
              <w:rPr>
                <w:rFonts w:ascii="Times New Roman" w:hAnsi="Times New Roman" w:cs="Times New Roman"/>
              </w:rPr>
              <w:t>0.2</w:t>
            </w:r>
          </w:p>
        </w:tc>
        <w:tc>
          <w:tcPr>
            <w:tcW w:w="2218" w:type="dxa"/>
            <w:tcMar>
              <w:top w:w="16" w:type="dxa"/>
              <w:left w:w="16" w:type="dxa"/>
              <w:right w:w="16" w:type="dxa"/>
            </w:tcMar>
            <w:vAlign w:val="center"/>
          </w:tcPr>
          <w:p>
            <w:pPr>
              <w:adjustRightInd w:val="0"/>
              <w:snapToGrid w:val="0"/>
              <w:jc w:val="center"/>
              <w:rPr>
                <w:rFonts w:hint="eastAsia"/>
              </w:rPr>
            </w:pPr>
            <w:r>
              <w:rPr>
                <w:rFonts w:hint="eastAsia"/>
              </w:rPr>
              <w:t>施工工期</w:t>
            </w:r>
          </w:p>
        </w:tc>
        <w:tc>
          <w:tcPr>
            <w:tcW w:w="2552" w:type="dxa"/>
            <w:gridSpan w:val="2"/>
            <w:vAlign w:val="center"/>
          </w:tcPr>
          <w:p>
            <w:pPr>
              <w:adjustRightInd w:val="0"/>
              <w:snapToGrid w:val="0"/>
              <w:jc w:val="center"/>
              <w:rPr>
                <w:rFonts w:hint="eastAsia"/>
              </w:rPr>
            </w:pPr>
            <w:r>
              <w:rPr>
                <w:rFonts w:ascii="Times New Roman" w:hAnsi="Times New Roman" w:cs="Times New Roman"/>
              </w:rPr>
              <w:t>18</w:t>
            </w:r>
            <w:r>
              <w:rPr>
                <w:rFonts w:hint="eastAsia"/>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911" w:hRule="atLeast"/>
        </w:trPr>
        <w:tc>
          <w:tcPr>
            <w:tcW w:w="2226" w:type="dxa"/>
            <w:tcMar>
              <w:top w:w="16" w:type="dxa"/>
              <w:left w:w="16" w:type="dxa"/>
              <w:right w:w="16" w:type="dxa"/>
            </w:tcMar>
            <w:vAlign w:val="center"/>
          </w:tcPr>
          <w:p>
            <w:pPr>
              <w:adjustRightInd w:val="0"/>
              <w:snapToGrid w:val="0"/>
              <w:jc w:val="center"/>
              <w:rPr>
                <w:rFonts w:hint="eastAsia"/>
              </w:rPr>
            </w:pPr>
            <w:r>
              <w:rPr>
                <w:rFonts w:hint="eastAsia"/>
              </w:rPr>
              <w:t>是否开工建设</w:t>
            </w:r>
          </w:p>
        </w:tc>
        <w:tc>
          <w:tcPr>
            <w:tcW w:w="6813" w:type="dxa"/>
            <w:gridSpan w:val="4"/>
            <w:vAlign w:val="center"/>
          </w:tcPr>
          <w:p>
            <w:pPr>
              <w:adjustRightInd w:val="0"/>
              <w:snapToGrid w:val="0"/>
              <w:rPr>
                <w:rFonts w:hint="eastAsia"/>
              </w:rPr>
            </w:pPr>
            <w:r>
              <w:t>☑</w:t>
            </w:r>
            <w:r>
              <w:rPr>
                <w:rFonts w:hint="eastAsia"/>
              </w:rPr>
              <w:t>否</w:t>
            </w:r>
          </w:p>
          <w:p>
            <w:pPr>
              <w:adjustRightInd w:val="0"/>
              <w:snapToGrid w:val="0"/>
              <w:rPr>
                <w:rFonts w:hint="eastAsia"/>
              </w:rPr>
            </w:pPr>
            <w:r>
              <w:rPr>
                <w:rFonts w:hint="eastAsia"/>
              </w:rPr>
              <w:t>□是：</w:t>
            </w:r>
            <w:r>
              <w:rPr>
                <w:u w:val="single"/>
              </w:rPr>
              <w:t xml:space="preserve"> </w:t>
            </w:r>
            <w:r>
              <w:rPr>
                <w:rFonts w:hint="eastAsia"/>
                <w:u w:val="single"/>
              </w:rPr>
              <w:t xml:space="preserve">                     </w:t>
            </w:r>
            <w:r>
              <w:rPr>
                <w:u w:val="single"/>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911" w:hRule="atLeast"/>
        </w:trPr>
        <w:tc>
          <w:tcPr>
            <w:tcW w:w="2226" w:type="dxa"/>
            <w:tcMar>
              <w:top w:w="16" w:type="dxa"/>
              <w:left w:w="16" w:type="dxa"/>
              <w:right w:w="16" w:type="dxa"/>
            </w:tcMar>
            <w:vAlign w:val="center"/>
          </w:tcPr>
          <w:p>
            <w:pPr>
              <w:autoSpaceDE w:val="0"/>
              <w:autoSpaceDN w:val="0"/>
              <w:adjustRightInd w:val="0"/>
              <w:snapToGrid w:val="0"/>
              <w:jc w:val="center"/>
              <w:rPr>
                <w:rFonts w:hint="eastAsia"/>
              </w:rPr>
            </w:pPr>
            <w:r>
              <w:rPr>
                <w:rFonts w:hint="eastAsia"/>
              </w:rPr>
              <w:t>专项评价设置情况</w:t>
            </w:r>
          </w:p>
        </w:tc>
        <w:tc>
          <w:tcPr>
            <w:tcW w:w="6813" w:type="dxa"/>
            <w:gridSpan w:val="4"/>
            <w:tcMar>
              <w:top w:w="16" w:type="dxa"/>
              <w:left w:w="16" w:type="dxa"/>
              <w:right w:w="16" w:type="dxa"/>
            </w:tcMar>
            <w:vAlign w:val="center"/>
          </w:tcPr>
          <w:p>
            <w:pPr>
              <w:spacing w:line="360" w:lineRule="auto"/>
              <w:ind w:firstLine="480" w:firstLineChars="200"/>
              <w:rPr>
                <w:rFonts w:hint="eastAsia"/>
              </w:rPr>
            </w:pPr>
            <w:r>
              <w:t>本项目专项评价设置判定情况见下表：</w:t>
            </w:r>
          </w:p>
          <w:p>
            <w:pPr>
              <w:numPr>
                <w:ilvl w:val="0"/>
                <w:numId w:val="2"/>
              </w:numPr>
              <w:spacing w:line="360" w:lineRule="auto"/>
              <w:ind w:firstLine="482" w:firstLineChars="200"/>
              <w:jc w:val="center"/>
              <w:rPr>
                <w:rFonts w:hint="eastAsia"/>
                <w:b/>
                <w:bCs/>
                <w:szCs w:val="21"/>
                <w:lang w:val="zh-CN" w:bidi="zh-CN"/>
              </w:rPr>
            </w:pPr>
            <w:r>
              <w:rPr>
                <w:b/>
                <w:bCs/>
                <w:szCs w:val="21"/>
                <w:lang w:val="zh-CN" w:bidi="zh-CN"/>
              </w:rPr>
              <w:t>项目专项评价设置判定情况</w:t>
            </w:r>
          </w:p>
          <w:tbl>
            <w:tblPr>
              <w:tblStyle w:val="15"/>
              <w:tblW w:w="6636" w:type="dxa"/>
              <w:jc w:val="center"/>
              <w:tblInd w:w="0" w:type="dxa"/>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Layout w:type="fixed"/>
              <w:tblCellMar>
                <w:top w:w="0" w:type="dxa"/>
                <w:left w:w="0" w:type="dxa"/>
                <w:bottom w:w="0" w:type="dxa"/>
                <w:right w:w="0" w:type="dxa"/>
              </w:tblCellMar>
            </w:tblPr>
            <w:tblGrid>
              <w:gridCol w:w="1064"/>
              <w:gridCol w:w="3653"/>
              <w:gridCol w:w="1919"/>
            </w:tblGrid>
            <w:tr>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Layout w:type="fixed"/>
                <w:tblCellMar>
                  <w:top w:w="0" w:type="dxa"/>
                  <w:left w:w="0" w:type="dxa"/>
                  <w:bottom w:w="0" w:type="dxa"/>
                  <w:right w:w="0" w:type="dxa"/>
                </w:tblCellMar>
              </w:tblPrEx>
              <w:trPr>
                <w:trHeight w:val="557" w:hRule="atLeast"/>
                <w:jc w:val="center"/>
              </w:trPr>
              <w:tc>
                <w:tcPr>
                  <w:tcW w:w="1064" w:type="dxa"/>
                  <w:tcBorders>
                    <w:top w:val="single" w:color="auto" w:sz="4" w:space="0"/>
                    <w:left w:val="nil"/>
                    <w:bottom w:val="single" w:color="000000" w:sz="4" w:space="0"/>
                    <w:right w:val="single" w:color="000000" w:sz="4" w:space="0"/>
                  </w:tcBorders>
                  <w:vAlign w:val="center"/>
                </w:tcPr>
                <w:p>
                  <w:pPr>
                    <w:pStyle w:val="36"/>
                    <w:rPr>
                      <w:lang w:val="zh-CN" w:bidi="zh-CN"/>
                    </w:rPr>
                  </w:pPr>
                  <w:r>
                    <w:rPr>
                      <w:lang w:val="zh-CN" w:bidi="zh-CN"/>
                    </w:rPr>
                    <w:t>专项评价类别</w:t>
                  </w:r>
                </w:p>
              </w:tc>
              <w:tc>
                <w:tcPr>
                  <w:tcW w:w="3653" w:type="dxa"/>
                  <w:tcBorders>
                    <w:top w:val="single" w:color="auto" w:sz="4" w:space="0"/>
                    <w:left w:val="single" w:color="000000" w:sz="4" w:space="0"/>
                    <w:bottom w:val="single" w:color="000000" w:sz="4" w:space="0"/>
                    <w:right w:val="single" w:color="000000" w:sz="4" w:space="0"/>
                  </w:tcBorders>
                  <w:vAlign w:val="center"/>
                </w:tcPr>
                <w:p>
                  <w:pPr>
                    <w:pStyle w:val="36"/>
                    <w:rPr>
                      <w:lang w:val="zh-CN" w:bidi="zh-CN"/>
                    </w:rPr>
                  </w:pPr>
                  <w:r>
                    <w:rPr>
                      <w:lang w:val="zh-CN" w:bidi="zh-CN"/>
                    </w:rPr>
                    <w:t>涉及项目类别</w:t>
                  </w:r>
                </w:p>
              </w:tc>
              <w:tc>
                <w:tcPr>
                  <w:tcW w:w="1919" w:type="dxa"/>
                  <w:tcBorders>
                    <w:top w:val="single" w:color="auto" w:sz="4" w:space="0"/>
                    <w:left w:val="single" w:color="000000" w:sz="4" w:space="0"/>
                    <w:bottom w:val="single" w:color="000000" w:sz="4" w:space="0"/>
                    <w:right w:val="nil"/>
                  </w:tcBorders>
                  <w:vAlign w:val="center"/>
                </w:tcPr>
                <w:p>
                  <w:pPr>
                    <w:pStyle w:val="36"/>
                    <w:rPr>
                      <w:lang w:val="zh-CN" w:bidi="zh-CN"/>
                    </w:rPr>
                  </w:pPr>
                  <w:r>
                    <w:rPr>
                      <w:lang w:val="zh-CN" w:bidi="zh-CN"/>
                    </w:rPr>
                    <w:t>本项目情况</w:t>
                  </w:r>
                </w:p>
              </w:tc>
            </w:tr>
            <w:tr>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Layout w:type="fixed"/>
                <w:tblCellMar>
                  <w:top w:w="0" w:type="dxa"/>
                  <w:left w:w="0" w:type="dxa"/>
                  <w:bottom w:w="0" w:type="dxa"/>
                  <w:right w:w="0" w:type="dxa"/>
                </w:tblCellMar>
              </w:tblPrEx>
              <w:trPr>
                <w:trHeight w:val="556" w:hRule="atLeast"/>
                <w:jc w:val="center"/>
              </w:trPr>
              <w:tc>
                <w:tcPr>
                  <w:tcW w:w="1064" w:type="dxa"/>
                  <w:vMerge w:val="restart"/>
                  <w:tcBorders>
                    <w:top w:val="single" w:color="000000" w:sz="4" w:space="0"/>
                    <w:left w:val="nil"/>
                    <w:bottom w:val="single" w:color="000000" w:sz="4" w:space="0"/>
                    <w:right w:val="single" w:color="000000" w:sz="4" w:space="0"/>
                  </w:tcBorders>
                  <w:vAlign w:val="center"/>
                </w:tcPr>
                <w:p>
                  <w:pPr>
                    <w:pStyle w:val="36"/>
                    <w:rPr>
                      <w:lang w:val="zh-CN" w:bidi="zh-CN"/>
                    </w:rPr>
                  </w:pPr>
                  <w:r>
                    <w:rPr>
                      <w:lang w:val="zh-CN" w:bidi="zh-CN"/>
                    </w:rPr>
                    <w:t>地表水</w:t>
                  </w:r>
                </w:p>
              </w:tc>
              <w:tc>
                <w:tcPr>
                  <w:tcW w:w="3653" w:type="dxa"/>
                  <w:tcBorders>
                    <w:top w:val="single" w:color="000000" w:sz="4" w:space="0"/>
                    <w:left w:val="single" w:color="000000" w:sz="4" w:space="0"/>
                    <w:bottom w:val="single" w:color="000000" w:sz="4" w:space="0"/>
                    <w:right w:val="single" w:color="000000" w:sz="4" w:space="0"/>
                  </w:tcBorders>
                  <w:vAlign w:val="center"/>
                </w:tcPr>
                <w:p>
                  <w:pPr>
                    <w:pStyle w:val="36"/>
                    <w:rPr>
                      <w:lang w:val="zh-CN" w:bidi="zh-CN"/>
                    </w:rPr>
                  </w:pPr>
                  <w:r>
                    <w:rPr>
                      <w:lang w:val="zh-CN" w:bidi="zh-CN"/>
                    </w:rPr>
                    <w:t>水力发电：引水式发电、涉及调峰发电的项目；人工湖、人工湿地：全部；</w:t>
                  </w:r>
                </w:p>
              </w:tc>
              <w:tc>
                <w:tcPr>
                  <w:tcW w:w="1919" w:type="dxa"/>
                  <w:tcBorders>
                    <w:top w:val="single" w:color="000000" w:sz="4" w:space="0"/>
                    <w:left w:val="single" w:color="000000" w:sz="4" w:space="0"/>
                    <w:bottom w:val="single" w:color="000000" w:sz="4" w:space="0"/>
                    <w:right w:val="nil"/>
                  </w:tcBorders>
                  <w:vAlign w:val="center"/>
                </w:tcPr>
                <w:p>
                  <w:pPr>
                    <w:pStyle w:val="36"/>
                    <w:rPr>
                      <w:lang w:val="zh-CN" w:bidi="zh-CN"/>
                    </w:rPr>
                  </w:pPr>
                  <w:r>
                    <w:rPr>
                      <w:lang w:val="zh-CN" w:bidi="zh-CN"/>
                    </w:rPr>
                    <w:t>本项目不涉及</w:t>
                  </w:r>
                </w:p>
              </w:tc>
            </w:tr>
            <w:tr>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Layout w:type="fixed"/>
                <w:tblCellMar>
                  <w:top w:w="0" w:type="dxa"/>
                  <w:left w:w="0" w:type="dxa"/>
                  <w:bottom w:w="0" w:type="dxa"/>
                  <w:right w:w="0" w:type="dxa"/>
                </w:tblCellMar>
              </w:tblPrEx>
              <w:trPr>
                <w:trHeight w:val="557" w:hRule="atLeast"/>
                <w:jc w:val="center"/>
              </w:trPr>
              <w:tc>
                <w:tcPr>
                  <w:tcW w:w="1064" w:type="dxa"/>
                  <w:vMerge w:val="continue"/>
                  <w:tcBorders>
                    <w:top w:val="nil"/>
                    <w:left w:val="nil"/>
                    <w:bottom w:val="single" w:color="000000" w:sz="4" w:space="0"/>
                    <w:right w:val="single" w:color="000000" w:sz="4" w:space="0"/>
                  </w:tcBorders>
                  <w:vAlign w:val="center"/>
                </w:tcPr>
                <w:p>
                  <w:pPr>
                    <w:pStyle w:val="36"/>
                    <w:rPr>
                      <w:lang w:val="zh-CN" w:bidi="zh-CN"/>
                    </w:rPr>
                  </w:pPr>
                </w:p>
              </w:tc>
              <w:tc>
                <w:tcPr>
                  <w:tcW w:w="3653" w:type="dxa"/>
                  <w:tcBorders>
                    <w:top w:val="single" w:color="000000" w:sz="4" w:space="0"/>
                    <w:left w:val="single" w:color="000000" w:sz="4" w:space="0"/>
                    <w:bottom w:val="single" w:color="000000" w:sz="4" w:space="0"/>
                    <w:right w:val="single" w:color="000000" w:sz="4" w:space="0"/>
                  </w:tcBorders>
                  <w:vAlign w:val="center"/>
                </w:tcPr>
                <w:p>
                  <w:pPr>
                    <w:pStyle w:val="36"/>
                    <w:rPr>
                      <w:lang w:val="zh-CN" w:bidi="zh-CN"/>
                    </w:rPr>
                  </w:pPr>
                  <w:r>
                    <w:rPr>
                      <w:lang w:val="zh-CN" w:bidi="zh-CN"/>
                    </w:rPr>
                    <w:t>引水工程：全部（配套的管线工程等除外）；防洪除涝工程：包含水库的项目；</w:t>
                  </w:r>
                </w:p>
              </w:tc>
              <w:tc>
                <w:tcPr>
                  <w:tcW w:w="1919" w:type="dxa"/>
                  <w:tcBorders>
                    <w:top w:val="single" w:color="000000" w:sz="4" w:space="0"/>
                    <w:left w:val="single" w:color="000000" w:sz="4" w:space="0"/>
                    <w:bottom w:val="single" w:color="000000" w:sz="4" w:space="0"/>
                    <w:right w:val="nil"/>
                  </w:tcBorders>
                  <w:vAlign w:val="center"/>
                </w:tcPr>
                <w:p>
                  <w:pPr>
                    <w:pStyle w:val="36"/>
                    <w:rPr>
                      <w:lang w:val="zh-CN" w:bidi="zh-CN"/>
                    </w:rPr>
                  </w:pPr>
                  <w:r>
                    <w:rPr>
                      <w:lang w:val="zh-CN" w:bidi="zh-CN"/>
                    </w:rPr>
                    <w:t>本项目为防洪除涝工程，不含水库</w:t>
                  </w:r>
                </w:p>
              </w:tc>
            </w:tr>
            <w:tr>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Layout w:type="fixed"/>
                <w:tblCellMar>
                  <w:top w:w="0" w:type="dxa"/>
                  <w:left w:w="0" w:type="dxa"/>
                  <w:bottom w:w="0" w:type="dxa"/>
                  <w:right w:w="0" w:type="dxa"/>
                </w:tblCellMar>
              </w:tblPrEx>
              <w:trPr>
                <w:trHeight w:val="826" w:hRule="atLeast"/>
                <w:jc w:val="center"/>
              </w:trPr>
              <w:tc>
                <w:tcPr>
                  <w:tcW w:w="1064" w:type="dxa"/>
                  <w:vMerge w:val="continue"/>
                  <w:tcBorders>
                    <w:top w:val="nil"/>
                    <w:left w:val="nil"/>
                    <w:bottom w:val="single" w:color="000000" w:sz="4" w:space="0"/>
                    <w:right w:val="single" w:color="000000" w:sz="4" w:space="0"/>
                  </w:tcBorders>
                  <w:vAlign w:val="center"/>
                </w:tcPr>
                <w:p>
                  <w:pPr>
                    <w:pStyle w:val="36"/>
                    <w:rPr>
                      <w:lang w:val="zh-CN" w:bidi="zh-CN"/>
                    </w:rPr>
                  </w:pPr>
                </w:p>
              </w:tc>
              <w:tc>
                <w:tcPr>
                  <w:tcW w:w="3653" w:type="dxa"/>
                  <w:tcBorders>
                    <w:top w:val="single" w:color="000000" w:sz="4" w:space="0"/>
                    <w:left w:val="single" w:color="000000" w:sz="4" w:space="0"/>
                    <w:bottom w:val="single" w:color="000000" w:sz="4" w:space="0"/>
                    <w:right w:val="single" w:color="000000" w:sz="4" w:space="0"/>
                  </w:tcBorders>
                  <w:vAlign w:val="center"/>
                </w:tcPr>
                <w:p>
                  <w:pPr>
                    <w:pStyle w:val="36"/>
                    <w:rPr>
                      <w:lang w:val="zh-CN" w:bidi="zh-CN"/>
                    </w:rPr>
                  </w:pPr>
                  <w:r>
                    <w:rPr>
                      <w:lang w:val="zh-CN" w:bidi="zh-CN"/>
                    </w:rPr>
                    <w:t>河湖整治：涉及清淤且底泥存在重金属污染的项目</w:t>
                  </w:r>
                </w:p>
              </w:tc>
              <w:tc>
                <w:tcPr>
                  <w:tcW w:w="1919" w:type="dxa"/>
                  <w:tcBorders>
                    <w:top w:val="single" w:color="000000" w:sz="4" w:space="0"/>
                    <w:left w:val="single" w:color="000000" w:sz="4" w:space="0"/>
                    <w:bottom w:val="single" w:color="000000" w:sz="4" w:space="0"/>
                    <w:right w:val="nil"/>
                  </w:tcBorders>
                  <w:vAlign w:val="center"/>
                </w:tcPr>
                <w:p>
                  <w:pPr>
                    <w:pStyle w:val="36"/>
                    <w:rPr>
                      <w:lang w:val="zh-CN" w:bidi="zh-CN"/>
                    </w:rPr>
                  </w:pPr>
                  <w:r>
                    <w:rPr>
                      <w:lang w:val="zh-CN" w:bidi="zh-CN"/>
                    </w:rPr>
                    <w:t>本项目</w:t>
                  </w:r>
                  <w:r>
                    <w:rPr>
                      <w:rFonts w:hint="eastAsia"/>
                      <w:lang w:val="zh-CN" w:bidi="zh-CN"/>
                    </w:rPr>
                    <w:t>不</w:t>
                  </w:r>
                  <w:r>
                    <w:rPr>
                      <w:lang w:val="zh-CN" w:bidi="zh-CN"/>
                    </w:rPr>
                    <w:t>涉及清淤</w:t>
                  </w:r>
                </w:p>
              </w:tc>
            </w:tr>
            <w:tr>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Layout w:type="fixed"/>
                <w:tblCellMar>
                  <w:top w:w="0" w:type="dxa"/>
                  <w:left w:w="0" w:type="dxa"/>
                  <w:bottom w:w="0" w:type="dxa"/>
                  <w:right w:w="0" w:type="dxa"/>
                </w:tblCellMar>
              </w:tblPrEx>
              <w:trPr>
                <w:trHeight w:val="289" w:hRule="atLeast"/>
                <w:jc w:val="center"/>
              </w:trPr>
              <w:tc>
                <w:tcPr>
                  <w:tcW w:w="1064" w:type="dxa"/>
                  <w:vMerge w:val="restart"/>
                  <w:tcBorders>
                    <w:top w:val="single" w:color="000000" w:sz="4" w:space="0"/>
                    <w:left w:val="nil"/>
                    <w:bottom w:val="single" w:color="000000" w:sz="4" w:space="0"/>
                    <w:right w:val="single" w:color="000000" w:sz="4" w:space="0"/>
                  </w:tcBorders>
                  <w:vAlign w:val="center"/>
                </w:tcPr>
                <w:p>
                  <w:pPr>
                    <w:pStyle w:val="36"/>
                    <w:rPr>
                      <w:lang w:val="zh-CN" w:bidi="zh-CN"/>
                    </w:rPr>
                  </w:pPr>
                  <w:r>
                    <w:rPr>
                      <w:lang w:val="zh-CN" w:bidi="zh-CN"/>
                    </w:rPr>
                    <w:t>地下水</w:t>
                  </w:r>
                </w:p>
              </w:tc>
              <w:tc>
                <w:tcPr>
                  <w:tcW w:w="3653" w:type="dxa"/>
                  <w:tcBorders>
                    <w:top w:val="single" w:color="000000" w:sz="4" w:space="0"/>
                    <w:left w:val="single" w:color="000000" w:sz="4" w:space="0"/>
                    <w:bottom w:val="single" w:color="000000" w:sz="4" w:space="0"/>
                    <w:right w:val="single" w:color="000000" w:sz="4" w:space="0"/>
                  </w:tcBorders>
                  <w:vAlign w:val="center"/>
                </w:tcPr>
                <w:p>
                  <w:pPr>
                    <w:pStyle w:val="36"/>
                    <w:rPr>
                      <w:lang w:val="zh-CN" w:bidi="zh-CN"/>
                    </w:rPr>
                  </w:pPr>
                  <w:r>
                    <w:rPr>
                      <w:lang w:val="zh-CN" w:bidi="zh-CN"/>
                    </w:rPr>
                    <w:t>陆地石油和天然气开采：全部；</w:t>
                  </w:r>
                </w:p>
              </w:tc>
              <w:tc>
                <w:tcPr>
                  <w:tcW w:w="1919" w:type="dxa"/>
                  <w:tcBorders>
                    <w:top w:val="single" w:color="000000" w:sz="4" w:space="0"/>
                    <w:left w:val="single" w:color="000000" w:sz="4" w:space="0"/>
                    <w:bottom w:val="single" w:color="000000" w:sz="4" w:space="0"/>
                    <w:right w:val="nil"/>
                  </w:tcBorders>
                  <w:vAlign w:val="center"/>
                </w:tcPr>
                <w:p>
                  <w:pPr>
                    <w:pStyle w:val="36"/>
                    <w:rPr>
                      <w:lang w:val="zh-CN" w:bidi="zh-CN"/>
                    </w:rPr>
                  </w:pPr>
                  <w:r>
                    <w:rPr>
                      <w:lang w:val="zh-CN" w:bidi="zh-CN"/>
                    </w:rPr>
                    <w:t>本项目不涉及</w:t>
                  </w:r>
                </w:p>
              </w:tc>
            </w:tr>
            <w:tr>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Layout w:type="fixed"/>
                <w:tblCellMar>
                  <w:top w:w="0" w:type="dxa"/>
                  <w:left w:w="0" w:type="dxa"/>
                  <w:bottom w:w="0" w:type="dxa"/>
                  <w:right w:w="0" w:type="dxa"/>
                </w:tblCellMar>
              </w:tblPrEx>
              <w:trPr>
                <w:trHeight w:val="289" w:hRule="atLeast"/>
                <w:jc w:val="center"/>
              </w:trPr>
              <w:tc>
                <w:tcPr>
                  <w:tcW w:w="1064" w:type="dxa"/>
                  <w:vMerge w:val="continue"/>
                  <w:tcBorders>
                    <w:top w:val="nil"/>
                    <w:left w:val="nil"/>
                    <w:bottom w:val="single" w:color="000000" w:sz="4" w:space="0"/>
                    <w:right w:val="single" w:color="000000" w:sz="4" w:space="0"/>
                  </w:tcBorders>
                  <w:vAlign w:val="center"/>
                </w:tcPr>
                <w:p>
                  <w:pPr>
                    <w:pStyle w:val="36"/>
                    <w:rPr>
                      <w:lang w:val="zh-CN" w:bidi="zh-CN"/>
                    </w:rPr>
                  </w:pPr>
                </w:p>
              </w:tc>
              <w:tc>
                <w:tcPr>
                  <w:tcW w:w="3653" w:type="dxa"/>
                  <w:tcBorders>
                    <w:top w:val="single" w:color="000000" w:sz="4" w:space="0"/>
                    <w:left w:val="single" w:color="000000" w:sz="4" w:space="0"/>
                    <w:bottom w:val="single" w:color="000000" w:sz="4" w:space="0"/>
                    <w:right w:val="single" w:color="000000" w:sz="4" w:space="0"/>
                  </w:tcBorders>
                  <w:vAlign w:val="center"/>
                </w:tcPr>
                <w:p>
                  <w:pPr>
                    <w:pStyle w:val="36"/>
                    <w:rPr>
                      <w:lang w:val="zh-CN" w:bidi="zh-CN"/>
                    </w:rPr>
                  </w:pPr>
                  <w:r>
                    <w:rPr>
                      <w:lang w:val="zh-CN" w:bidi="zh-CN"/>
                    </w:rPr>
                    <w:t>地下水（含矿泉水）开采：全部；</w:t>
                  </w:r>
                </w:p>
              </w:tc>
              <w:tc>
                <w:tcPr>
                  <w:tcW w:w="1919" w:type="dxa"/>
                  <w:tcBorders>
                    <w:top w:val="single" w:color="000000" w:sz="4" w:space="0"/>
                    <w:left w:val="single" w:color="000000" w:sz="4" w:space="0"/>
                    <w:bottom w:val="single" w:color="000000" w:sz="4" w:space="0"/>
                    <w:right w:val="nil"/>
                  </w:tcBorders>
                  <w:vAlign w:val="center"/>
                </w:tcPr>
                <w:p>
                  <w:pPr>
                    <w:pStyle w:val="36"/>
                    <w:rPr>
                      <w:lang w:val="zh-CN" w:bidi="zh-CN"/>
                    </w:rPr>
                  </w:pPr>
                  <w:r>
                    <w:rPr>
                      <w:lang w:val="zh-CN" w:bidi="zh-CN"/>
                    </w:rPr>
                    <w:t>本项目不涉及</w:t>
                  </w:r>
                </w:p>
              </w:tc>
            </w:tr>
            <w:tr>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Layout w:type="fixed"/>
                <w:tblCellMar>
                  <w:top w:w="0" w:type="dxa"/>
                  <w:left w:w="0" w:type="dxa"/>
                  <w:bottom w:w="0" w:type="dxa"/>
                  <w:right w:w="0" w:type="dxa"/>
                </w:tblCellMar>
              </w:tblPrEx>
              <w:trPr>
                <w:trHeight w:val="557" w:hRule="atLeast"/>
                <w:jc w:val="center"/>
              </w:trPr>
              <w:tc>
                <w:tcPr>
                  <w:tcW w:w="1064" w:type="dxa"/>
                  <w:vMerge w:val="continue"/>
                  <w:tcBorders>
                    <w:top w:val="nil"/>
                    <w:left w:val="nil"/>
                    <w:bottom w:val="single" w:color="000000" w:sz="4" w:space="0"/>
                    <w:right w:val="single" w:color="000000" w:sz="4" w:space="0"/>
                  </w:tcBorders>
                  <w:vAlign w:val="center"/>
                </w:tcPr>
                <w:p>
                  <w:pPr>
                    <w:pStyle w:val="36"/>
                    <w:rPr>
                      <w:lang w:val="zh-CN" w:bidi="zh-CN"/>
                    </w:rPr>
                  </w:pPr>
                </w:p>
              </w:tc>
              <w:tc>
                <w:tcPr>
                  <w:tcW w:w="3653" w:type="dxa"/>
                  <w:tcBorders>
                    <w:top w:val="single" w:color="000000" w:sz="4" w:space="0"/>
                    <w:left w:val="single" w:color="000000" w:sz="4" w:space="0"/>
                    <w:bottom w:val="single" w:color="000000" w:sz="4" w:space="0"/>
                    <w:right w:val="single" w:color="000000" w:sz="4" w:space="0"/>
                  </w:tcBorders>
                  <w:vAlign w:val="center"/>
                </w:tcPr>
                <w:p>
                  <w:pPr>
                    <w:pStyle w:val="36"/>
                    <w:rPr>
                      <w:lang w:val="zh-CN" w:bidi="zh-CN"/>
                    </w:rPr>
                  </w:pPr>
                  <w:r>
                    <w:rPr>
                      <w:lang w:val="zh-CN" w:bidi="zh-CN"/>
                    </w:rPr>
                    <w:t>水利、水电、交通等：含穿越可溶岩地层隧道的项目</w:t>
                  </w:r>
                </w:p>
              </w:tc>
              <w:tc>
                <w:tcPr>
                  <w:tcW w:w="1919" w:type="dxa"/>
                  <w:tcBorders>
                    <w:top w:val="single" w:color="000000" w:sz="4" w:space="0"/>
                    <w:left w:val="single" w:color="000000" w:sz="4" w:space="0"/>
                    <w:bottom w:val="single" w:color="000000" w:sz="4" w:space="0"/>
                    <w:right w:val="nil"/>
                  </w:tcBorders>
                  <w:vAlign w:val="center"/>
                </w:tcPr>
                <w:p>
                  <w:pPr>
                    <w:pStyle w:val="36"/>
                    <w:rPr>
                      <w:lang w:val="zh-CN" w:bidi="zh-CN"/>
                    </w:rPr>
                  </w:pPr>
                  <w:r>
                    <w:rPr>
                      <w:lang w:val="zh-CN" w:bidi="zh-CN"/>
                    </w:rPr>
                    <w:t>本项目不涉及</w:t>
                  </w:r>
                </w:p>
              </w:tc>
            </w:tr>
            <w:tr>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Layout w:type="fixed"/>
                <w:tblCellMar>
                  <w:top w:w="0" w:type="dxa"/>
                  <w:left w:w="0" w:type="dxa"/>
                  <w:bottom w:w="0" w:type="dxa"/>
                  <w:right w:w="0" w:type="dxa"/>
                </w:tblCellMar>
              </w:tblPrEx>
              <w:trPr>
                <w:trHeight w:val="1094" w:hRule="atLeast"/>
                <w:jc w:val="center"/>
              </w:trPr>
              <w:tc>
                <w:tcPr>
                  <w:tcW w:w="1064" w:type="dxa"/>
                  <w:tcBorders>
                    <w:top w:val="single" w:color="000000" w:sz="4" w:space="0"/>
                    <w:left w:val="nil"/>
                    <w:right w:val="single" w:color="000000" w:sz="4" w:space="0"/>
                  </w:tcBorders>
                  <w:vAlign w:val="center"/>
                </w:tcPr>
                <w:p>
                  <w:pPr>
                    <w:pStyle w:val="36"/>
                    <w:rPr>
                      <w:lang w:val="zh-CN" w:bidi="zh-CN"/>
                    </w:rPr>
                  </w:pPr>
                  <w:r>
                    <w:rPr>
                      <w:lang w:val="zh-CN" w:bidi="zh-CN"/>
                    </w:rPr>
                    <w:t>生态</w:t>
                  </w:r>
                </w:p>
              </w:tc>
              <w:tc>
                <w:tcPr>
                  <w:tcW w:w="3653" w:type="dxa"/>
                  <w:tcBorders>
                    <w:top w:val="single" w:color="000000" w:sz="4" w:space="0"/>
                    <w:left w:val="single" w:color="000000" w:sz="4" w:space="0"/>
                    <w:right w:val="single" w:color="000000" w:sz="4" w:space="0"/>
                  </w:tcBorders>
                  <w:vAlign w:val="center"/>
                </w:tcPr>
                <w:p>
                  <w:pPr>
                    <w:pStyle w:val="36"/>
                    <w:rPr>
                      <w:lang w:val="zh-CN" w:bidi="zh-CN"/>
                    </w:rPr>
                  </w:pPr>
                  <w:r>
                    <w:rPr>
                      <w:lang w:val="zh-CN" w:bidi="zh-CN"/>
                    </w:rPr>
                    <w:t>涉及环境敏感区（不包括饮用水水源</w:t>
                  </w:r>
                </w:p>
                <w:p>
                  <w:pPr>
                    <w:pStyle w:val="36"/>
                    <w:rPr>
                      <w:lang w:val="zh-CN" w:bidi="zh-CN"/>
                    </w:rPr>
                  </w:pPr>
                  <w:r>
                    <w:rPr>
                      <w:lang w:val="zh-CN" w:bidi="zh-CN"/>
                    </w:rPr>
                    <w:t>保护区，以居住、医疗卫生、文化教育、科研、行政办公为主要功能的区域，以及文物保护单位）的项目</w:t>
                  </w:r>
                </w:p>
              </w:tc>
              <w:tc>
                <w:tcPr>
                  <w:tcW w:w="1919" w:type="dxa"/>
                  <w:tcBorders>
                    <w:top w:val="single" w:color="000000" w:sz="4" w:space="0"/>
                    <w:left w:val="single" w:color="000000" w:sz="4" w:space="0"/>
                    <w:right w:val="nil"/>
                  </w:tcBorders>
                  <w:vAlign w:val="center"/>
                </w:tcPr>
                <w:p>
                  <w:pPr>
                    <w:pStyle w:val="36"/>
                    <w:rPr>
                      <w:lang w:val="zh-CN" w:bidi="zh-CN"/>
                    </w:rPr>
                  </w:pPr>
                  <w:r>
                    <w:rPr>
                      <w:lang w:val="zh-CN" w:bidi="zh-CN"/>
                    </w:rPr>
                    <w:t>本项目不涉及</w:t>
                  </w:r>
                </w:p>
              </w:tc>
            </w:tr>
            <w:tr>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Layout w:type="fixed"/>
                <w:tblCellMar>
                  <w:top w:w="0" w:type="dxa"/>
                  <w:left w:w="0" w:type="dxa"/>
                  <w:bottom w:w="0" w:type="dxa"/>
                  <w:right w:w="0" w:type="dxa"/>
                </w:tblCellMar>
              </w:tblPrEx>
              <w:trPr>
                <w:trHeight w:val="457" w:hRule="atLeast"/>
                <w:jc w:val="center"/>
              </w:trPr>
              <w:tc>
                <w:tcPr>
                  <w:tcW w:w="1064" w:type="dxa"/>
                  <w:vMerge w:val="restart"/>
                  <w:tcBorders>
                    <w:top w:val="single" w:color="000000" w:sz="4" w:space="0"/>
                    <w:left w:val="nil"/>
                    <w:right w:val="single" w:color="000000" w:sz="4" w:space="0"/>
                  </w:tcBorders>
                  <w:vAlign w:val="center"/>
                </w:tcPr>
                <w:p>
                  <w:pPr>
                    <w:pStyle w:val="36"/>
                    <w:rPr>
                      <w:lang w:val="zh-CN" w:bidi="zh-CN"/>
                    </w:rPr>
                  </w:pPr>
                  <w:r>
                    <w:rPr>
                      <w:lang w:val="zh-CN" w:bidi="zh-CN"/>
                    </w:rPr>
                    <w:t>大气</w:t>
                  </w:r>
                </w:p>
              </w:tc>
              <w:tc>
                <w:tcPr>
                  <w:tcW w:w="3653" w:type="dxa"/>
                  <w:tcBorders>
                    <w:top w:val="single" w:color="000000" w:sz="4" w:space="0"/>
                    <w:left w:val="single" w:color="000000" w:sz="4" w:space="0"/>
                    <w:bottom w:val="single" w:color="000000" w:sz="4" w:space="0"/>
                    <w:right w:val="single" w:color="000000" w:sz="4" w:space="0"/>
                  </w:tcBorders>
                  <w:vAlign w:val="center"/>
                </w:tcPr>
                <w:p>
                  <w:pPr>
                    <w:pStyle w:val="36"/>
                    <w:rPr>
                      <w:lang w:val="zh-CN" w:bidi="zh-CN"/>
                    </w:rPr>
                  </w:pPr>
                  <w:r>
                    <w:rPr>
                      <w:lang w:val="zh-CN" w:bidi="zh-CN"/>
                    </w:rPr>
                    <w:t>油气、液体化工码头：全部；</w:t>
                  </w:r>
                </w:p>
              </w:tc>
              <w:tc>
                <w:tcPr>
                  <w:tcW w:w="1919" w:type="dxa"/>
                  <w:tcBorders>
                    <w:top w:val="single" w:color="000000" w:sz="4" w:space="0"/>
                    <w:left w:val="single" w:color="000000" w:sz="4" w:space="0"/>
                    <w:bottom w:val="single" w:color="000000" w:sz="4" w:space="0"/>
                    <w:right w:val="nil"/>
                  </w:tcBorders>
                  <w:vAlign w:val="center"/>
                </w:tcPr>
                <w:p>
                  <w:pPr>
                    <w:pStyle w:val="36"/>
                    <w:rPr>
                      <w:lang w:val="zh-CN" w:bidi="zh-CN"/>
                    </w:rPr>
                  </w:pPr>
                  <w:r>
                    <w:rPr>
                      <w:lang w:val="zh-CN" w:bidi="zh-CN"/>
                    </w:rPr>
                    <w:t>本项目不涉及</w:t>
                  </w:r>
                </w:p>
              </w:tc>
            </w:tr>
            <w:tr>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Layout w:type="fixed"/>
                <w:tblCellMar>
                  <w:top w:w="0" w:type="dxa"/>
                  <w:left w:w="0" w:type="dxa"/>
                  <w:bottom w:w="0" w:type="dxa"/>
                  <w:right w:w="0" w:type="dxa"/>
                </w:tblCellMar>
              </w:tblPrEx>
              <w:trPr>
                <w:trHeight w:val="845" w:hRule="atLeast"/>
                <w:jc w:val="center"/>
              </w:trPr>
              <w:tc>
                <w:tcPr>
                  <w:tcW w:w="1064" w:type="dxa"/>
                  <w:vMerge w:val="continue"/>
                  <w:tcBorders>
                    <w:left w:val="nil"/>
                    <w:right w:val="single" w:color="000000" w:sz="4" w:space="0"/>
                  </w:tcBorders>
                  <w:vAlign w:val="center"/>
                </w:tcPr>
                <w:p>
                  <w:pPr>
                    <w:pStyle w:val="36"/>
                    <w:rPr>
                      <w:lang w:val="zh-CN" w:bidi="zh-CN"/>
                    </w:rPr>
                  </w:pPr>
                </w:p>
              </w:tc>
              <w:tc>
                <w:tcPr>
                  <w:tcW w:w="3653" w:type="dxa"/>
                  <w:tcBorders>
                    <w:top w:val="single" w:color="000000" w:sz="4" w:space="0"/>
                    <w:left w:val="single" w:color="000000" w:sz="4" w:space="0"/>
                    <w:right w:val="single" w:color="000000" w:sz="4" w:space="0"/>
                  </w:tcBorders>
                  <w:vAlign w:val="center"/>
                </w:tcPr>
                <w:p>
                  <w:pPr>
                    <w:pStyle w:val="36"/>
                    <w:rPr>
                      <w:lang w:val="zh-CN" w:bidi="zh-CN"/>
                    </w:rPr>
                  </w:pPr>
                  <w:r>
                    <w:rPr>
                      <w:lang w:val="zh-CN" w:bidi="zh-CN"/>
                    </w:rPr>
                    <w:t>干散货（含煤炭、矿石)、件杂、多用途、通用码头：涉及粉尘、挥发性有机物排放的项目</w:t>
                  </w:r>
                </w:p>
              </w:tc>
              <w:tc>
                <w:tcPr>
                  <w:tcW w:w="1919" w:type="dxa"/>
                  <w:tcBorders>
                    <w:top w:val="single" w:color="000000" w:sz="4" w:space="0"/>
                    <w:left w:val="single" w:color="000000" w:sz="4" w:space="0"/>
                    <w:right w:val="nil"/>
                  </w:tcBorders>
                  <w:vAlign w:val="center"/>
                </w:tcPr>
                <w:p>
                  <w:pPr>
                    <w:pStyle w:val="36"/>
                    <w:rPr>
                      <w:lang w:val="zh-CN" w:bidi="zh-CN"/>
                    </w:rPr>
                  </w:pPr>
                  <w:r>
                    <w:rPr>
                      <w:lang w:val="zh-CN" w:bidi="zh-CN"/>
                    </w:rPr>
                    <w:t>本项目不涉及</w:t>
                  </w:r>
                </w:p>
              </w:tc>
            </w:tr>
            <w:tr>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Layout w:type="fixed"/>
                <w:tblCellMar>
                  <w:top w:w="0" w:type="dxa"/>
                  <w:left w:w="0" w:type="dxa"/>
                  <w:bottom w:w="0" w:type="dxa"/>
                  <w:right w:w="0" w:type="dxa"/>
                </w:tblCellMar>
              </w:tblPrEx>
              <w:trPr>
                <w:trHeight w:val="1133" w:hRule="atLeast"/>
                <w:jc w:val="center"/>
              </w:trPr>
              <w:tc>
                <w:tcPr>
                  <w:tcW w:w="1064" w:type="dxa"/>
                  <w:vMerge w:val="restart"/>
                  <w:tcBorders>
                    <w:top w:val="single" w:color="000000" w:sz="4" w:space="0"/>
                    <w:left w:val="nil"/>
                    <w:right w:val="single" w:color="000000" w:sz="4" w:space="0"/>
                  </w:tcBorders>
                  <w:vAlign w:val="center"/>
                </w:tcPr>
                <w:p>
                  <w:pPr>
                    <w:pStyle w:val="36"/>
                    <w:rPr>
                      <w:lang w:val="zh-CN" w:bidi="zh-CN"/>
                    </w:rPr>
                  </w:pPr>
                  <w:r>
                    <w:rPr>
                      <w:lang w:val="zh-CN" w:bidi="zh-CN"/>
                    </w:rPr>
                    <w:t>噪声</w:t>
                  </w:r>
                </w:p>
              </w:tc>
              <w:tc>
                <w:tcPr>
                  <w:tcW w:w="3653" w:type="dxa"/>
                  <w:tcBorders>
                    <w:top w:val="single" w:color="000000" w:sz="4" w:space="0"/>
                    <w:left w:val="single" w:color="000000" w:sz="4" w:space="0"/>
                    <w:bottom w:val="single" w:color="000000" w:sz="4" w:space="0"/>
                    <w:right w:val="single" w:color="000000" w:sz="4" w:space="0"/>
                  </w:tcBorders>
                  <w:vAlign w:val="center"/>
                </w:tcPr>
                <w:p>
                  <w:pPr>
                    <w:pStyle w:val="36"/>
                    <w:rPr>
                      <w:lang w:val="zh-CN" w:bidi="zh-CN"/>
                    </w:rPr>
                  </w:pPr>
                  <w:r>
                    <w:rPr>
                      <w:lang w:val="zh-CN" w:bidi="zh-CN"/>
                    </w:rPr>
                    <w:t>公路、铁路、机场等交通运输业涉及环境敏感区（以居住、医疗卫生、文化教育、科研、行政办公为主要功能的区域）的项目；</w:t>
                  </w:r>
                </w:p>
              </w:tc>
              <w:tc>
                <w:tcPr>
                  <w:tcW w:w="1919" w:type="dxa"/>
                  <w:tcBorders>
                    <w:top w:val="single" w:color="000000" w:sz="4" w:space="0"/>
                    <w:left w:val="single" w:color="000000" w:sz="4" w:space="0"/>
                    <w:right w:val="nil"/>
                  </w:tcBorders>
                  <w:vAlign w:val="center"/>
                </w:tcPr>
                <w:p>
                  <w:pPr>
                    <w:pStyle w:val="36"/>
                    <w:rPr>
                      <w:lang w:val="zh-CN" w:bidi="zh-CN"/>
                    </w:rPr>
                  </w:pPr>
                  <w:r>
                    <w:rPr>
                      <w:lang w:val="zh-CN" w:bidi="zh-CN"/>
                    </w:rPr>
                    <w:t>本项目不涉及</w:t>
                  </w:r>
                </w:p>
              </w:tc>
            </w:tr>
            <w:tr>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Layout w:type="fixed"/>
                <w:tblCellMar>
                  <w:top w:w="0" w:type="dxa"/>
                  <w:left w:w="0" w:type="dxa"/>
                  <w:bottom w:w="0" w:type="dxa"/>
                  <w:right w:w="0" w:type="dxa"/>
                </w:tblCellMar>
              </w:tblPrEx>
              <w:trPr>
                <w:trHeight w:val="587" w:hRule="atLeast"/>
                <w:jc w:val="center"/>
              </w:trPr>
              <w:tc>
                <w:tcPr>
                  <w:tcW w:w="1064" w:type="dxa"/>
                  <w:vMerge w:val="continue"/>
                  <w:tcBorders>
                    <w:left w:val="nil"/>
                    <w:right w:val="single" w:color="000000" w:sz="4" w:space="0"/>
                  </w:tcBorders>
                  <w:vAlign w:val="center"/>
                </w:tcPr>
                <w:p>
                  <w:pPr>
                    <w:pStyle w:val="36"/>
                    <w:rPr>
                      <w:lang w:val="zh-CN" w:bidi="zh-CN"/>
                    </w:rPr>
                  </w:pPr>
                </w:p>
              </w:tc>
              <w:tc>
                <w:tcPr>
                  <w:tcW w:w="3653" w:type="dxa"/>
                  <w:tcBorders>
                    <w:top w:val="single" w:color="000000" w:sz="4" w:space="0"/>
                    <w:left w:val="single" w:color="000000" w:sz="4" w:space="0"/>
                    <w:right w:val="single" w:color="000000" w:sz="4" w:space="0"/>
                  </w:tcBorders>
                  <w:vAlign w:val="center"/>
                </w:tcPr>
                <w:p>
                  <w:pPr>
                    <w:pStyle w:val="36"/>
                    <w:rPr>
                      <w:lang w:val="zh-CN" w:bidi="zh-CN"/>
                    </w:rPr>
                  </w:pPr>
                  <w:r>
                    <w:rPr>
                      <w:lang w:val="zh-CN" w:bidi="zh-CN"/>
                    </w:rPr>
                    <w:t>城市道路（不含维护，不含支路、人行天桥、人行地道)：全部</w:t>
                  </w:r>
                </w:p>
              </w:tc>
              <w:tc>
                <w:tcPr>
                  <w:tcW w:w="1919" w:type="dxa"/>
                  <w:tcBorders>
                    <w:top w:val="single" w:color="000000" w:sz="4" w:space="0"/>
                    <w:left w:val="single" w:color="000000" w:sz="4" w:space="0"/>
                    <w:bottom w:val="single" w:color="000000" w:sz="4" w:space="0"/>
                    <w:right w:val="nil"/>
                  </w:tcBorders>
                  <w:vAlign w:val="center"/>
                </w:tcPr>
                <w:p>
                  <w:pPr>
                    <w:pStyle w:val="36"/>
                    <w:rPr>
                      <w:lang w:val="zh-CN" w:bidi="zh-CN"/>
                    </w:rPr>
                  </w:pPr>
                  <w:r>
                    <w:rPr>
                      <w:lang w:val="zh-CN" w:bidi="zh-CN"/>
                    </w:rPr>
                    <w:t>本项目不涉及</w:t>
                  </w:r>
                </w:p>
              </w:tc>
            </w:tr>
            <w:tr>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Layout w:type="fixed"/>
                <w:tblCellMar>
                  <w:top w:w="0" w:type="dxa"/>
                  <w:left w:w="0" w:type="dxa"/>
                  <w:bottom w:w="0" w:type="dxa"/>
                  <w:right w:w="0" w:type="dxa"/>
                </w:tblCellMar>
              </w:tblPrEx>
              <w:trPr>
                <w:trHeight w:val="309" w:hRule="atLeast"/>
                <w:jc w:val="center"/>
              </w:trPr>
              <w:tc>
                <w:tcPr>
                  <w:tcW w:w="1064" w:type="dxa"/>
                  <w:vMerge w:val="restart"/>
                  <w:tcBorders>
                    <w:top w:val="single" w:color="000000" w:sz="4" w:space="0"/>
                    <w:left w:val="nil"/>
                    <w:right w:val="single" w:color="000000" w:sz="4" w:space="0"/>
                  </w:tcBorders>
                  <w:vAlign w:val="center"/>
                </w:tcPr>
                <w:p>
                  <w:pPr>
                    <w:pStyle w:val="36"/>
                    <w:rPr>
                      <w:lang w:val="zh-CN" w:bidi="zh-CN"/>
                    </w:rPr>
                  </w:pPr>
                  <w:r>
                    <w:rPr>
                      <w:lang w:val="zh-CN" w:bidi="zh-CN"/>
                    </w:rPr>
                    <w:t>环境风险</w:t>
                  </w:r>
                </w:p>
              </w:tc>
              <w:tc>
                <w:tcPr>
                  <w:tcW w:w="3653" w:type="dxa"/>
                  <w:tcBorders>
                    <w:top w:val="single" w:color="000000" w:sz="4" w:space="0"/>
                    <w:left w:val="single" w:color="000000" w:sz="4" w:space="0"/>
                    <w:bottom w:val="single" w:color="000000" w:sz="4" w:space="0"/>
                    <w:right w:val="single" w:color="000000" w:sz="4" w:space="0"/>
                  </w:tcBorders>
                  <w:vAlign w:val="center"/>
                </w:tcPr>
                <w:p>
                  <w:pPr>
                    <w:pStyle w:val="36"/>
                    <w:rPr>
                      <w:lang w:val="zh-CN" w:bidi="zh-CN"/>
                    </w:rPr>
                  </w:pPr>
                  <w:r>
                    <w:rPr>
                      <w:lang w:val="zh-CN" w:bidi="zh-CN"/>
                    </w:rPr>
                    <w:t>石油和天然气开采：全部；</w:t>
                  </w:r>
                </w:p>
              </w:tc>
              <w:tc>
                <w:tcPr>
                  <w:tcW w:w="1919" w:type="dxa"/>
                  <w:tcBorders>
                    <w:top w:val="single" w:color="000000" w:sz="4" w:space="0"/>
                    <w:left w:val="single" w:color="000000" w:sz="4" w:space="0"/>
                    <w:bottom w:val="single" w:color="000000" w:sz="4" w:space="0"/>
                    <w:right w:val="nil"/>
                  </w:tcBorders>
                  <w:vAlign w:val="center"/>
                </w:tcPr>
                <w:p>
                  <w:pPr>
                    <w:pStyle w:val="36"/>
                    <w:rPr>
                      <w:lang w:val="zh-CN" w:bidi="zh-CN"/>
                    </w:rPr>
                  </w:pPr>
                  <w:r>
                    <w:rPr>
                      <w:lang w:val="zh-CN" w:bidi="zh-CN"/>
                    </w:rPr>
                    <w:t>本项目不涉及</w:t>
                  </w:r>
                </w:p>
              </w:tc>
            </w:tr>
            <w:tr>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Layout w:type="fixed"/>
                <w:tblCellMar>
                  <w:top w:w="0" w:type="dxa"/>
                  <w:left w:w="0" w:type="dxa"/>
                  <w:bottom w:w="0" w:type="dxa"/>
                  <w:right w:w="0" w:type="dxa"/>
                </w:tblCellMar>
              </w:tblPrEx>
              <w:trPr>
                <w:trHeight w:val="309" w:hRule="atLeast"/>
                <w:jc w:val="center"/>
              </w:trPr>
              <w:tc>
                <w:tcPr>
                  <w:tcW w:w="1064" w:type="dxa"/>
                  <w:vMerge w:val="continue"/>
                  <w:tcBorders>
                    <w:left w:val="nil"/>
                    <w:right w:val="single" w:color="000000" w:sz="4" w:space="0"/>
                  </w:tcBorders>
                  <w:vAlign w:val="center"/>
                </w:tcPr>
                <w:p>
                  <w:pPr>
                    <w:pStyle w:val="36"/>
                    <w:rPr>
                      <w:lang w:val="zh-CN" w:bidi="zh-CN"/>
                    </w:rPr>
                  </w:pPr>
                </w:p>
              </w:tc>
              <w:tc>
                <w:tcPr>
                  <w:tcW w:w="3653" w:type="dxa"/>
                  <w:tcBorders>
                    <w:top w:val="single" w:color="000000" w:sz="4" w:space="0"/>
                    <w:left w:val="single" w:color="000000" w:sz="4" w:space="0"/>
                    <w:bottom w:val="single" w:color="000000" w:sz="4" w:space="0"/>
                    <w:right w:val="single" w:color="000000" w:sz="4" w:space="0"/>
                  </w:tcBorders>
                  <w:vAlign w:val="center"/>
                </w:tcPr>
                <w:p>
                  <w:pPr>
                    <w:pStyle w:val="36"/>
                    <w:rPr>
                      <w:lang w:val="zh-CN" w:bidi="zh-CN"/>
                    </w:rPr>
                  </w:pPr>
                  <w:r>
                    <w:rPr>
                      <w:lang w:val="zh-CN" w:bidi="zh-CN"/>
                    </w:rPr>
                    <w:t>油气、液体化工码头：全部；</w:t>
                  </w:r>
                </w:p>
              </w:tc>
              <w:tc>
                <w:tcPr>
                  <w:tcW w:w="1919" w:type="dxa"/>
                  <w:tcBorders>
                    <w:top w:val="single" w:color="000000" w:sz="4" w:space="0"/>
                    <w:left w:val="single" w:color="000000" w:sz="4" w:space="0"/>
                    <w:bottom w:val="single" w:color="000000" w:sz="4" w:space="0"/>
                    <w:right w:val="nil"/>
                  </w:tcBorders>
                  <w:vAlign w:val="center"/>
                </w:tcPr>
                <w:p>
                  <w:pPr>
                    <w:pStyle w:val="36"/>
                    <w:rPr>
                      <w:lang w:val="zh-CN" w:bidi="zh-CN"/>
                    </w:rPr>
                  </w:pPr>
                  <w:r>
                    <w:rPr>
                      <w:lang w:val="zh-CN" w:bidi="zh-CN"/>
                    </w:rPr>
                    <w:t>本项目不涉及</w:t>
                  </w:r>
                </w:p>
              </w:tc>
            </w:tr>
            <w:tr>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Layout w:type="fixed"/>
                <w:tblCellMar>
                  <w:top w:w="0" w:type="dxa"/>
                  <w:left w:w="0" w:type="dxa"/>
                  <w:bottom w:w="0" w:type="dxa"/>
                  <w:right w:w="0" w:type="dxa"/>
                </w:tblCellMar>
              </w:tblPrEx>
              <w:trPr>
                <w:trHeight w:val="875" w:hRule="atLeast"/>
                <w:jc w:val="center"/>
              </w:trPr>
              <w:tc>
                <w:tcPr>
                  <w:tcW w:w="1064" w:type="dxa"/>
                  <w:vMerge w:val="continue"/>
                  <w:tcBorders>
                    <w:left w:val="nil"/>
                    <w:bottom w:val="single" w:color="auto" w:sz="4" w:space="0"/>
                    <w:right w:val="single" w:color="000000" w:sz="4" w:space="0"/>
                  </w:tcBorders>
                  <w:vAlign w:val="center"/>
                </w:tcPr>
                <w:p>
                  <w:pPr>
                    <w:pStyle w:val="36"/>
                    <w:rPr>
                      <w:lang w:val="zh-CN" w:bidi="zh-CN"/>
                    </w:rPr>
                  </w:pPr>
                </w:p>
              </w:tc>
              <w:tc>
                <w:tcPr>
                  <w:tcW w:w="3653" w:type="dxa"/>
                  <w:tcBorders>
                    <w:top w:val="single" w:color="000000" w:sz="4" w:space="0"/>
                    <w:left w:val="single" w:color="000000" w:sz="4" w:space="0"/>
                    <w:bottom w:val="single" w:color="auto" w:sz="4" w:space="0"/>
                    <w:right w:val="single" w:color="000000" w:sz="4" w:space="0"/>
                  </w:tcBorders>
                  <w:vAlign w:val="center"/>
                </w:tcPr>
                <w:p>
                  <w:pPr>
                    <w:pStyle w:val="36"/>
                    <w:rPr>
                      <w:lang w:val="zh-CN" w:bidi="zh-CN"/>
                    </w:rPr>
                  </w:pPr>
                  <w:r>
                    <w:rPr>
                      <w:lang w:val="zh-CN" w:bidi="zh-CN"/>
                    </w:rPr>
                    <w:t>原油、成品油、天然气管线（不含城镇天然气管线、企业厂区内管线），危险化学品输送管线(不含企业厂区内管线)：全部</w:t>
                  </w:r>
                </w:p>
              </w:tc>
              <w:tc>
                <w:tcPr>
                  <w:tcW w:w="1919" w:type="dxa"/>
                  <w:tcBorders>
                    <w:top w:val="single" w:color="000000" w:sz="4" w:space="0"/>
                    <w:left w:val="single" w:color="000000" w:sz="4" w:space="0"/>
                    <w:bottom w:val="single" w:color="auto" w:sz="4" w:space="0"/>
                    <w:right w:val="nil"/>
                  </w:tcBorders>
                  <w:vAlign w:val="center"/>
                </w:tcPr>
                <w:p>
                  <w:pPr>
                    <w:pStyle w:val="36"/>
                    <w:rPr>
                      <w:lang w:val="zh-CN" w:bidi="zh-CN"/>
                    </w:rPr>
                  </w:pPr>
                  <w:r>
                    <w:rPr>
                      <w:lang w:val="zh-CN" w:bidi="zh-CN"/>
                    </w:rPr>
                    <w:t>本项目不涉及</w:t>
                  </w:r>
                </w:p>
              </w:tc>
            </w:tr>
          </w:tbl>
          <w:p>
            <w:pPr>
              <w:spacing w:line="360" w:lineRule="auto"/>
              <w:rPr>
                <w:rFonts w:hint="eastAsia"/>
                <w:b/>
                <w:bCs/>
                <w:sz w:val="18"/>
                <w:szCs w:val="18"/>
              </w:rPr>
            </w:pPr>
            <w:r>
              <w:rPr>
                <w:b/>
                <w:bCs/>
                <w:sz w:val="18"/>
                <w:szCs w:val="18"/>
              </w:rPr>
              <w:t>注：“涉及环境敏感区”是指建设项目位于、穿（跨）越（无害化通过的除外）环境敏感区，或环境影响范围涵盖环境敏感区。环境敏感区是指《建设项目环境影响评价分类管理名录》中针对该类项目所列的敏感区。</w:t>
            </w:r>
          </w:p>
          <w:p>
            <w:pPr>
              <w:autoSpaceDE w:val="0"/>
              <w:autoSpaceDN w:val="0"/>
              <w:adjustRightInd w:val="0"/>
              <w:snapToGrid w:val="0"/>
              <w:rPr>
                <w:rFonts w:hint="eastAsi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911" w:hRule="atLeast"/>
        </w:trPr>
        <w:tc>
          <w:tcPr>
            <w:tcW w:w="2226" w:type="dxa"/>
            <w:tcMar>
              <w:top w:w="16" w:type="dxa"/>
              <w:left w:w="16" w:type="dxa"/>
              <w:right w:w="16" w:type="dxa"/>
            </w:tcMar>
            <w:vAlign w:val="center"/>
          </w:tcPr>
          <w:p>
            <w:pPr>
              <w:autoSpaceDE w:val="0"/>
              <w:autoSpaceDN w:val="0"/>
              <w:adjustRightInd w:val="0"/>
              <w:snapToGrid w:val="0"/>
              <w:jc w:val="center"/>
              <w:rPr>
                <w:rFonts w:hint="eastAsia"/>
              </w:rPr>
            </w:pPr>
            <w:r>
              <w:rPr>
                <w:rFonts w:hint="eastAsia"/>
              </w:rPr>
              <w:t>规划情况</w:t>
            </w:r>
          </w:p>
        </w:tc>
        <w:tc>
          <w:tcPr>
            <w:tcW w:w="6813" w:type="dxa"/>
            <w:gridSpan w:val="4"/>
            <w:tcMar>
              <w:top w:w="16" w:type="dxa"/>
              <w:left w:w="16" w:type="dxa"/>
              <w:right w:w="16" w:type="dxa"/>
            </w:tcMar>
            <w:vAlign w:val="center"/>
          </w:tcPr>
          <w:p>
            <w:pPr>
              <w:pStyle w:val="42"/>
              <w:ind w:firstLine="480"/>
            </w:pPr>
            <w:r>
              <w:rPr>
                <w:rFonts w:hint="eastAsia"/>
              </w:rPr>
              <w:t>规划名称:《四川省涪江流域综合规划》审批机关:四川省人民政府</w:t>
            </w:r>
          </w:p>
          <w:p>
            <w:pPr>
              <w:pStyle w:val="42"/>
              <w:ind w:firstLine="480"/>
            </w:pPr>
            <w:r>
              <w:rPr>
                <w:rFonts w:hint="eastAsia"/>
              </w:rPr>
              <w:t>审批文件名称及文号:《四川省人民政府关于涪江流域综合规划的批复》(川府函(2013)204号)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911" w:hRule="atLeast"/>
        </w:trPr>
        <w:tc>
          <w:tcPr>
            <w:tcW w:w="2226" w:type="dxa"/>
            <w:tcMar>
              <w:top w:w="16" w:type="dxa"/>
              <w:left w:w="16" w:type="dxa"/>
              <w:right w:w="16" w:type="dxa"/>
            </w:tcMar>
            <w:vAlign w:val="center"/>
          </w:tcPr>
          <w:p>
            <w:pPr>
              <w:autoSpaceDE w:val="0"/>
              <w:autoSpaceDN w:val="0"/>
              <w:adjustRightInd w:val="0"/>
              <w:snapToGrid w:val="0"/>
              <w:jc w:val="center"/>
              <w:rPr>
                <w:rFonts w:hint="eastAsia"/>
              </w:rPr>
            </w:pPr>
            <w:r>
              <w:rPr>
                <w:rFonts w:hint="eastAsia"/>
              </w:rPr>
              <w:t>规划环境影响</w:t>
            </w:r>
          </w:p>
          <w:p>
            <w:pPr>
              <w:autoSpaceDE w:val="0"/>
              <w:autoSpaceDN w:val="0"/>
              <w:adjustRightInd w:val="0"/>
              <w:snapToGrid w:val="0"/>
              <w:jc w:val="center"/>
              <w:rPr>
                <w:rFonts w:hint="eastAsia"/>
              </w:rPr>
            </w:pPr>
            <w:r>
              <w:rPr>
                <w:rFonts w:hint="eastAsia"/>
              </w:rPr>
              <w:t>评价情况</w:t>
            </w:r>
          </w:p>
        </w:tc>
        <w:tc>
          <w:tcPr>
            <w:tcW w:w="6813" w:type="dxa"/>
            <w:gridSpan w:val="4"/>
            <w:tcMar>
              <w:top w:w="16" w:type="dxa"/>
              <w:left w:w="16" w:type="dxa"/>
              <w:right w:w="16" w:type="dxa"/>
            </w:tcMar>
            <w:vAlign w:val="center"/>
          </w:tcPr>
          <w:p>
            <w:pPr>
              <w:pStyle w:val="42"/>
              <w:ind w:firstLine="480"/>
            </w:pPr>
            <w:r>
              <w:rPr>
                <w:rFonts w:hint="eastAsia"/>
              </w:rPr>
              <w:t>规划环境影响评价文件名称:《四川省涪江流域综合规划环境影响报告书》</w:t>
            </w:r>
          </w:p>
          <w:p>
            <w:pPr>
              <w:pStyle w:val="42"/>
              <w:ind w:firstLine="480"/>
            </w:pPr>
            <w:r>
              <w:rPr>
                <w:rFonts w:hint="eastAsia"/>
              </w:rPr>
              <w:t>召集审查机关:四川省生态环境厅</w:t>
            </w:r>
          </w:p>
          <w:p>
            <w:pPr>
              <w:pStyle w:val="42"/>
              <w:ind w:firstLine="480"/>
            </w:pPr>
            <w:r>
              <w:rPr>
                <w:rFonts w:hint="eastAsia"/>
              </w:rPr>
              <w:t>审查文件名称及文号:《四川省涪江流域综合规划环境影响报告书》审查意见的函(川环建函(2020)56号)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557" w:hRule="atLeast"/>
        </w:trPr>
        <w:tc>
          <w:tcPr>
            <w:tcW w:w="2226" w:type="dxa"/>
            <w:tcMar>
              <w:top w:w="16" w:type="dxa"/>
              <w:left w:w="16" w:type="dxa"/>
              <w:right w:w="16" w:type="dxa"/>
            </w:tcMar>
            <w:vAlign w:val="center"/>
          </w:tcPr>
          <w:p>
            <w:pPr>
              <w:autoSpaceDE w:val="0"/>
              <w:autoSpaceDN w:val="0"/>
              <w:adjustRightInd w:val="0"/>
              <w:snapToGrid w:val="0"/>
              <w:jc w:val="center"/>
              <w:rPr>
                <w:rFonts w:hint="eastAsia"/>
              </w:rPr>
            </w:pPr>
            <w:r>
              <w:rPr>
                <w:rFonts w:hint="eastAsia"/>
              </w:rPr>
              <w:t>规划及规划环境影响评价符合性分析</w:t>
            </w:r>
          </w:p>
        </w:tc>
        <w:tc>
          <w:tcPr>
            <w:tcW w:w="6813" w:type="dxa"/>
            <w:gridSpan w:val="4"/>
            <w:tcMar>
              <w:top w:w="16" w:type="dxa"/>
              <w:left w:w="16" w:type="dxa"/>
              <w:right w:w="16" w:type="dxa"/>
            </w:tcMar>
            <w:vAlign w:val="center"/>
          </w:tcPr>
          <w:p>
            <w:pPr>
              <w:pStyle w:val="40"/>
              <w:ind w:firstLine="482"/>
            </w:pPr>
            <w:r>
              <w:rPr>
                <w:rFonts w:hint="eastAsia"/>
              </w:rPr>
              <w:t>1.与《四川省涪江流域综合规划》符合性分析</w:t>
            </w:r>
          </w:p>
          <w:p>
            <w:pPr>
              <w:pStyle w:val="42"/>
              <w:ind w:firstLine="480"/>
            </w:pPr>
            <w:r>
              <w:rPr>
                <w:rFonts w:hint="eastAsia"/>
              </w:rPr>
              <w:t>流域概况:涪江是嘉陵江右岸一级支流，发源于四川省松潘县黄龙乡岷山雪宝顶峰西北之雪山梁子，自西北流向东南，经平武县、绵阳、三台、射洪至遂宁市三新乡出川，入重庆市漳南区，至合川区汇入嘉陵江。全流域面积3.6万 km</w:t>
            </w:r>
            <w:r>
              <w:rPr>
                <w:rFonts w:hint="eastAsia"/>
                <w:vertAlign w:val="superscript"/>
              </w:rPr>
              <w:t>2</w:t>
            </w:r>
            <w:r>
              <w:rPr>
                <w:rFonts w:hint="eastAsia"/>
              </w:rPr>
              <w:t>，干流全长 697km，多年平均水资源量为 185.6 亿 m</w:t>
            </w:r>
            <w:r>
              <w:rPr>
                <w:rFonts w:hint="eastAsia"/>
                <w:vertAlign w:val="superscript"/>
              </w:rPr>
              <w:t>3</w:t>
            </w:r>
          </w:p>
          <w:p>
            <w:pPr>
              <w:pStyle w:val="42"/>
              <w:ind w:firstLine="480"/>
            </w:pPr>
            <w:r>
              <w:rPr>
                <w:rFonts w:hint="eastAsia"/>
              </w:rPr>
              <w:t>其中四川省境内流域面积 3.16 万 km</w:t>
            </w:r>
            <w:r>
              <w:rPr>
                <w:rFonts w:hint="eastAsia"/>
                <w:vertAlign w:val="superscript"/>
              </w:rPr>
              <w:t>2</w:t>
            </w:r>
            <w:r>
              <w:rPr>
                <w:rFonts w:hint="eastAsia"/>
              </w:rPr>
              <w:t>，河长 660km，涉及阿坝、绵阳、广元、遂宁、德阳、资阳、南充7市(州)25 个县(市、区)规划范围:为涪江流域四川省区域，在流域水资源供需平衡分析的基础上对防洪、灌溉与供水、发电、航运、水土保持等主要治理开发任务进行综合研究。</w:t>
            </w:r>
          </w:p>
          <w:p>
            <w:pPr>
              <w:pStyle w:val="42"/>
              <w:ind w:firstLine="480"/>
            </w:pPr>
            <w:r>
              <w:rPr>
                <w:rFonts w:hint="eastAsia"/>
              </w:rPr>
              <w:t>规划的主要内容:</w:t>
            </w:r>
          </w:p>
          <w:p>
            <w:pPr>
              <w:pStyle w:val="42"/>
              <w:ind w:firstLine="480"/>
            </w:pPr>
            <w:r>
              <w:rPr>
                <w:rFonts w:hint="eastAsia"/>
              </w:rPr>
              <w:t>1)防洪减灾</w:t>
            </w:r>
          </w:p>
          <w:p>
            <w:pPr>
              <w:pStyle w:val="42"/>
              <w:ind w:firstLine="480"/>
            </w:pPr>
            <w:r>
              <w:rPr>
                <w:rFonts w:hint="eastAsia"/>
              </w:rPr>
              <w:t>按“以泄为主，蓄泄兼筹”的方针，沿岸重要防护对象修建堤防、河道整治护岸工程，提高安全泄量;兴建具有防洪作用的水库，当遭遇大洪水时配合运用，削峰蓄量，提高涪江中下游防洪能力;加大水土流失治理力度，防治山洪灾害;加强非工程措施建设，最大限度减少洪灾损失。</w:t>
            </w:r>
          </w:p>
          <w:p>
            <w:pPr>
              <w:pStyle w:val="42"/>
              <w:ind w:firstLine="480"/>
            </w:pPr>
            <w:r>
              <w:rPr>
                <w:rFonts w:hint="eastAsia"/>
              </w:rPr>
              <w:t>2)灌溉和供水</w:t>
            </w:r>
          </w:p>
          <w:p>
            <w:pPr>
              <w:pStyle w:val="42"/>
              <w:ind w:firstLine="480"/>
            </w:pPr>
            <w:r>
              <w:rPr>
                <w:rFonts w:hint="eastAsia"/>
              </w:rPr>
              <w:t>以保障城乡生活生产用水为目标，加快建设一批水源工程，完善小微型水利设施，对已成灌区进行续建配套与节水改造，建设武都引水二期灌区、蓬溪船山灌区和一批中小型灌区，共同解决流域灌溉和供水问题。</w:t>
            </w:r>
          </w:p>
          <w:p>
            <w:pPr>
              <w:pStyle w:val="42"/>
              <w:ind w:firstLine="480"/>
            </w:pPr>
            <w:r>
              <w:rPr>
                <w:rFonts w:hint="eastAsia"/>
              </w:rPr>
              <w:t>3)水力发电</w:t>
            </w:r>
          </w:p>
          <w:p>
            <w:pPr>
              <w:pStyle w:val="42"/>
              <w:ind w:firstLine="480"/>
            </w:pPr>
            <w:r>
              <w:rPr>
                <w:rFonts w:hint="eastAsia"/>
              </w:rPr>
              <w:t>水能是清洁能源，在满足防洪、灌溉与供水及航运的要求下，在干、支流布置梯级电站，合理开发涪江水能资源。</w:t>
            </w:r>
          </w:p>
          <w:p>
            <w:pPr>
              <w:pStyle w:val="42"/>
              <w:ind w:firstLine="480"/>
            </w:pPr>
            <w:r>
              <w:rPr>
                <w:rFonts w:hint="eastAsia"/>
              </w:rPr>
              <w:t>4)航运</w:t>
            </w:r>
          </w:p>
          <w:p>
            <w:pPr>
              <w:pStyle w:val="42"/>
              <w:ind w:firstLine="480"/>
            </w:pPr>
            <w:r>
              <w:rPr>
                <w:rFonts w:hint="eastAsia"/>
              </w:rPr>
              <w:t>加快主要通航河段梯级建设和改善港口条件，改善、提高涪江水运能力。涪江绵阳至石榴嘴段 75.7km 规划为V级航道，石榴嘴至桐麻浩段 160km 规划为Ⅳ级航道。支流郪江的郪口~蓬莱 35km 河道现状为Ⅶ级航道，规划仍然按此航道标准进行整治。</w:t>
            </w:r>
          </w:p>
          <w:p>
            <w:pPr>
              <w:pStyle w:val="42"/>
              <w:ind w:firstLine="480"/>
            </w:pPr>
            <w:r>
              <w:rPr>
                <w:rFonts w:hint="eastAsia"/>
              </w:rPr>
              <w:t>5)水资源及水生态保护规划</w:t>
            </w:r>
          </w:p>
          <w:p>
            <w:pPr>
              <w:pStyle w:val="42"/>
              <w:ind w:firstLine="480"/>
            </w:pPr>
            <w:r>
              <w:rPr>
                <w:rFonts w:hint="eastAsia"/>
              </w:rPr>
              <w:t>通过加快经济结构调整、优化产业布局、加大城乡水环境综合治理等措施严格控制污染物入河量，保护饮用水水源地，建立健全水环境风险防范体系强化流域水资源管理，加强河道整治，规范采砂行为，强化水质监测和监督管理，维护河流健康生命。通过水生生物资源保护、</w:t>
            </w:r>
            <w:r>
              <w:rPr>
                <w:rFonts w:hint="eastAsia"/>
                <w:lang w:val="en-US" w:eastAsia="zh-CN"/>
              </w:rPr>
              <w:t>湿</w:t>
            </w:r>
            <w:r>
              <w:rPr>
                <w:rFonts w:hint="eastAsia"/>
              </w:rPr>
              <w:t>地保护与修复、水土流失综合治理、加强自然保护区建设等措施，实现水生态系统功能正常发挥。</w:t>
            </w:r>
          </w:p>
          <w:p>
            <w:pPr>
              <w:pStyle w:val="42"/>
              <w:ind w:firstLine="480"/>
            </w:pPr>
            <w:r>
              <w:rPr>
                <w:rFonts w:hint="eastAsia"/>
              </w:rPr>
              <w:t>本工程位于四川省遂宁市蓬溪县墨砚湖片区，芝溪河是长江二级支流涪江的右岸一级支流。本项目属于河湖整治和防洪除涝工程，故与《四川省涪江流域综合规划》要求相符。</w:t>
            </w:r>
          </w:p>
          <w:p>
            <w:pPr>
              <w:pStyle w:val="40"/>
              <w:ind w:firstLine="482"/>
            </w:pPr>
            <w:r>
              <w:rPr>
                <w:rFonts w:hint="eastAsia"/>
              </w:rPr>
              <w:t>2、与《四川省涪江流域综合规划环境影响报告书》及其审查意见符合性分析</w:t>
            </w:r>
          </w:p>
          <w:p>
            <w:pPr>
              <w:pStyle w:val="42"/>
              <w:ind w:firstLine="480"/>
            </w:pPr>
            <w:r>
              <w:rPr>
                <w:rFonts w:hint="eastAsia"/>
              </w:rPr>
              <w:t>根据《四川省涪江流域综合规划环境影响报告书》及《四川省生态环境厅关于〈四川省涪江流域综合规划环境影响报告书)审查意见的函》(川环建函(2020)56号)，本项目建设与《四川省涪江流域综合规划环境影响报告书》及其审查意见符合性分析如下。</w:t>
            </w:r>
          </w:p>
          <w:p>
            <w:pPr>
              <w:pStyle w:val="38"/>
            </w:pPr>
            <w:r>
              <w:rPr>
                <w:rFonts w:hint="eastAsia"/>
              </w:rPr>
              <w:t>表1-2与《四川省涪江流域综合规划环境影响报告书》及其审查意见符合性</w:t>
            </w:r>
          </w:p>
          <w:tbl>
            <w:tblPr>
              <w:tblStyle w:val="15"/>
              <w:tblW w:w="6781"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434"/>
              <w:gridCol w:w="2495"/>
              <w:gridCol w:w="85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jc w:val="center"/>
              </w:trPr>
              <w:tc>
                <w:tcPr>
                  <w:tcW w:w="3434" w:type="dxa"/>
                  <w:shd w:val="clear" w:color="auto" w:fill="auto"/>
                  <w:vAlign w:val="center"/>
                </w:tcPr>
                <w:p>
                  <w:pPr>
                    <w:pStyle w:val="36"/>
                  </w:pPr>
                  <w:r>
                    <w:rPr>
                      <w:rFonts w:hint="eastAsia"/>
                    </w:rPr>
                    <w:t>报告书及其审查意见相关要求</w:t>
                  </w:r>
                </w:p>
              </w:tc>
              <w:tc>
                <w:tcPr>
                  <w:tcW w:w="2495" w:type="dxa"/>
                  <w:shd w:val="clear" w:color="auto" w:fill="auto"/>
                  <w:vAlign w:val="center"/>
                </w:tcPr>
                <w:p>
                  <w:pPr>
                    <w:pStyle w:val="36"/>
                  </w:pPr>
                  <w:r>
                    <w:rPr>
                      <w:rFonts w:hint="eastAsia"/>
                    </w:rPr>
                    <w:t>本项目情况</w:t>
                  </w:r>
                </w:p>
              </w:tc>
              <w:tc>
                <w:tcPr>
                  <w:tcW w:w="852" w:type="dxa"/>
                  <w:shd w:val="clear" w:color="auto" w:fill="auto"/>
                  <w:vAlign w:val="center"/>
                </w:tcPr>
                <w:p>
                  <w:pPr>
                    <w:pStyle w:val="36"/>
                  </w:pPr>
                  <w:r>
                    <w:rPr>
                      <w:rFonts w:hint="eastAsia"/>
                    </w:rPr>
                    <w:t>符合性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179" w:hRule="atLeast"/>
                <w:jc w:val="center"/>
              </w:trPr>
              <w:tc>
                <w:tcPr>
                  <w:tcW w:w="3434" w:type="dxa"/>
                  <w:shd w:val="clear" w:color="auto" w:fill="auto"/>
                  <w:vAlign w:val="center"/>
                </w:tcPr>
                <w:p>
                  <w:pPr>
                    <w:pStyle w:val="36"/>
                  </w:pPr>
                  <w:r>
                    <w:rPr>
                      <w:rFonts w:hint="eastAsia"/>
                    </w:rPr>
                    <w:t>水资源及水生态保护规划实施的调整建议。规划实施过程中，严格按照川办发〔2014〕27号文和《四川省涪江“一河一策”管理保护方案》中关于“水资源及水生态保护”的相关要求，加强水资源与水域岸线的保护和开发管理，强化水污染防治、水环境治理及水生态修复</w:t>
                  </w:r>
                </w:p>
              </w:tc>
              <w:tc>
                <w:tcPr>
                  <w:tcW w:w="2495" w:type="dxa"/>
                  <w:shd w:val="clear" w:color="auto" w:fill="auto"/>
                  <w:vAlign w:val="center"/>
                </w:tcPr>
                <w:p>
                  <w:pPr>
                    <w:pStyle w:val="36"/>
                  </w:pPr>
                  <w:r>
                    <w:rPr>
                      <w:rFonts w:hint="eastAsia"/>
                    </w:rPr>
                    <w:t>本项目为河湖整治和防洪除涝工程，增强蓬溪县墨砚湖片区城市防洪排涝调蓄能力，工程完成可改善蓬溪县墨砚湖片区段生态环境，保护流域水质</w:t>
                  </w:r>
                </w:p>
              </w:tc>
              <w:tc>
                <w:tcPr>
                  <w:tcW w:w="852" w:type="dxa"/>
                  <w:shd w:val="clear" w:color="auto" w:fill="auto"/>
                  <w:vAlign w:val="center"/>
                </w:tcPr>
                <w:p>
                  <w:pPr>
                    <w:pStyle w:val="36"/>
                  </w:pPr>
                  <w:r>
                    <w:rPr>
                      <w:rFonts w:hint="eastAsia"/>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02" w:hRule="atLeast"/>
                <w:jc w:val="center"/>
              </w:trPr>
              <w:tc>
                <w:tcPr>
                  <w:tcW w:w="3434" w:type="dxa"/>
                  <w:shd w:val="clear" w:color="auto" w:fill="auto"/>
                  <w:vAlign w:val="center"/>
                </w:tcPr>
                <w:p>
                  <w:pPr>
                    <w:pStyle w:val="36"/>
                  </w:pPr>
                  <w:r>
                    <w:rPr>
                      <w:rFonts w:hint="eastAsia"/>
                    </w:rPr>
                    <w:t>落实陆生生态保护措施。规划项目实施阶段进一步优化工程建设方案，尽量避免占用林地、耕地；尽量避让珍稀濒危野生植物和古树名木，对无法避让的采取迁地或就地保护措施。加强规划项目施工期间的环境管理工作，及时对施工临时占地区进行生态修复或复垦。</w:t>
                  </w:r>
                </w:p>
              </w:tc>
              <w:tc>
                <w:tcPr>
                  <w:tcW w:w="2495" w:type="dxa"/>
                  <w:shd w:val="clear" w:color="auto" w:fill="auto"/>
                  <w:vAlign w:val="center"/>
                </w:tcPr>
                <w:p>
                  <w:pPr>
                    <w:pStyle w:val="36"/>
                  </w:pPr>
                  <w:r>
                    <w:rPr>
                      <w:rFonts w:hint="eastAsia"/>
                    </w:rPr>
                    <w:t>本项目不新增占地，临时用地类型主要为公园绿地及居住用地，占地范围内不涉及珍稀濒危野生植物和古树名木，施工期结束对施工临时占地区进行生态修复</w:t>
                  </w:r>
                </w:p>
              </w:tc>
              <w:tc>
                <w:tcPr>
                  <w:tcW w:w="852" w:type="dxa"/>
                  <w:shd w:val="clear" w:color="auto" w:fill="auto"/>
                  <w:vAlign w:val="center"/>
                </w:tcPr>
                <w:p>
                  <w:pPr>
                    <w:pStyle w:val="36"/>
                  </w:pPr>
                  <w:r>
                    <w:rPr>
                      <w:rFonts w:hint="eastAsia"/>
                    </w:rPr>
                    <w:t>符合</w:t>
                  </w:r>
                </w:p>
              </w:tc>
            </w:tr>
          </w:tbl>
          <w:p>
            <w:pPr>
              <w:pStyle w:val="42"/>
              <w:ind w:firstLine="480"/>
            </w:pPr>
            <w:r>
              <w:rPr>
                <w:rFonts w:hint="eastAsia"/>
              </w:rPr>
              <w:t>综上，本项目建设符合《四川省涪江流域综合规划环境影响报告书》及其审查意见相关要求。</w:t>
            </w:r>
          </w:p>
          <w:p>
            <w:pPr>
              <w:pStyle w:val="40"/>
              <w:ind w:firstLine="482"/>
            </w:pPr>
            <w:r>
              <w:rPr>
                <w:rFonts w:hint="eastAsia"/>
              </w:rPr>
              <w:t>3、与《四川省“十四五”生态环境保护规划》符合性分析</w:t>
            </w:r>
          </w:p>
          <w:p>
            <w:pPr>
              <w:pStyle w:val="42"/>
              <w:ind w:firstLine="480"/>
            </w:pPr>
            <w:r>
              <w:rPr>
                <w:rFonts w:hint="eastAsia"/>
              </w:rPr>
              <w:t>根据《四川省“十四五”生态环境保护规划》:六、系统推进“三水”共治巩固提升水环境质量:(六)推进美丽河湖保护与建设中专栏“专栏5清水绿岸工程”中(六)推进美丽河湖工程提升雅砻江、金沙江、大渡河、青衣江等良好水体水源涵养能力，实施补齐基础设施短板工程。对汉源湖、泸沽湖、邛海白鹤滩等重要湖泊开展天然湿地保护与修复、环湖库防护林带、生态隔离带生态景观林带等工程。对鲁班湖、三岔湖、苌弘湖、雁南湖、凤凰湖、升钟湖等实施环境整治工程。对川渝跨界流域，以及岷江、沱江、嘉陵江、赤水河等重点流域开展综合治理工程。对金沙江、安宁河实施水土流失整治、植被恢复、生物多样性保护等工程。对长江干流、渠江、天全河、周公河等实施河湖水域生态修复工程。实施锦江、府河、绛溪河、金马河、金鱼溪、渔子溪等小流域水综合治理工程。</w:t>
            </w:r>
          </w:p>
          <w:p>
            <w:pPr>
              <w:pStyle w:val="42"/>
              <w:ind w:firstLine="480"/>
            </w:pPr>
            <w:r>
              <w:rPr>
                <w:rFonts w:hint="eastAsia"/>
              </w:rPr>
              <w:t>本项目工程竣工后可以增强蓬溪县墨砚湖片区城市防洪排涝调蓄能力，提升防洪减灾能力，故与《四川省“十四五”生态环境保护规划》相关要求相符。</w:t>
            </w:r>
          </w:p>
          <w:p>
            <w:pPr>
              <w:pStyle w:val="40"/>
              <w:ind w:firstLine="482"/>
            </w:pPr>
            <w:r>
              <w:rPr>
                <w:rFonts w:hint="eastAsia"/>
              </w:rPr>
              <w:t>4、与《遂宁市排水防涝专项规划(2016-2030年)》的符合性分析</w:t>
            </w:r>
          </w:p>
          <w:p>
            <w:pPr>
              <w:pStyle w:val="42"/>
              <w:ind w:firstLine="480"/>
            </w:pPr>
            <w:r>
              <w:rPr>
                <w:rFonts w:hint="eastAsia"/>
              </w:rPr>
              <w:t>根据《遂宁市排水防涝专项规划(2016-2030年)》，构建“外江内河耦合大小系统衔接，蓄截疏排联动，海绵示范引领”的排水防涝系统。衔接城市防洪要求，以堤防建设、内河整治、山洪截流为抓手，构建“一江七河”的防洪体系根据遂宁本底条件，结合用地布局，兼顾“灰色+绿色”排水设施，构建“蓄截疏排联动，海绵示范引领”的排水防涝体系，</w:t>
            </w:r>
          </w:p>
          <w:p>
            <w:pPr>
              <w:pStyle w:val="42"/>
              <w:ind w:firstLine="480"/>
            </w:pPr>
            <w:r>
              <w:rPr>
                <w:rFonts w:hint="eastAsia"/>
              </w:rPr>
              <w:t>本项目位于遂宁市蓬溪县墨砚湖片区，项目的建设可改善蓬溪县墨砚湖城区段生态环境，保护流域水质;一定程度上提高流域防洪能力，减少自然灾害造成的影响促进遂宁市城市排水防涝的建设，更有效地降低自然灾害的危害。因此，本项目与《遂宁市排水防涝专项规划(2016-2030年)》的要求相符。</w:t>
            </w:r>
          </w:p>
          <w:p>
            <w:pPr>
              <w:pStyle w:val="40"/>
              <w:ind w:firstLine="482"/>
            </w:pPr>
            <w:r>
              <w:rPr>
                <w:rFonts w:hint="eastAsia"/>
              </w:rPr>
              <w:t>5、与《四川省“十四五”水安全保障规划》符合性分析</w:t>
            </w:r>
          </w:p>
          <w:p>
            <w:pPr>
              <w:pStyle w:val="42"/>
              <w:ind w:firstLine="480"/>
            </w:pPr>
            <w:r>
              <w:rPr>
                <w:rFonts w:hint="eastAsia"/>
              </w:rPr>
              <w:t>提升水旱灾害防御能力:统筹发展</w:t>
            </w:r>
            <w:r>
              <w:rPr>
                <w:rFonts w:hint="eastAsia"/>
                <w:lang w:val="en-US" w:eastAsia="zh-CN"/>
              </w:rPr>
              <w:t>和</w:t>
            </w:r>
            <w:r>
              <w:rPr>
                <w:rFonts w:hint="eastAsia"/>
              </w:rPr>
              <w:t>安全，坚持人民至上、生命至上，切实践行“两个坚持、三个转变”防灾减灾救灾理念，实施防洪提升工程，解决防汛薄弱环节，强化流域防洪调度，加强洪水风险管理，构建工程措施和非工程措施相结合的现代水旱灾害防治体系，实现“更高标准、更严要求、更快反应、更好效果”，保障人民生命财产安全和经济社会和谐稳定。加强主要江河和中小….….”.加强中小河流治理，优先解决城镇河段防洪不达标、近年河流防洪治理:洪涝灾害频发、河堤损毁严重等问题。</w:t>
            </w:r>
          </w:p>
          <w:p>
            <w:pPr>
              <w:pStyle w:val="42"/>
              <w:ind w:firstLine="480"/>
            </w:pPr>
            <w:r>
              <w:rPr>
                <w:rFonts w:hint="eastAsia"/>
              </w:rPr>
              <w:t>芝溪河为涪江右岸一级支流，芝溪河洪水安全关系到蓬溪县墨砚湖片区的发展和城区两岸人民群众的生命财产安全，防洪地位极高。本次项目整治后有增加行洪断面的效果，能够适当降低洪水灾害的发生。故项目建设符合《四川省“十四五”水安全保障规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431" w:hRule="atLeast"/>
        </w:trPr>
        <w:tc>
          <w:tcPr>
            <w:tcW w:w="2226" w:type="dxa"/>
            <w:tcMar>
              <w:top w:w="16" w:type="dxa"/>
              <w:left w:w="16" w:type="dxa"/>
              <w:right w:w="16" w:type="dxa"/>
            </w:tcMar>
            <w:vAlign w:val="center"/>
          </w:tcPr>
          <w:p>
            <w:pPr>
              <w:autoSpaceDE w:val="0"/>
              <w:autoSpaceDN w:val="0"/>
              <w:adjustRightInd w:val="0"/>
              <w:snapToGrid w:val="0"/>
              <w:jc w:val="center"/>
              <w:rPr>
                <w:rFonts w:hint="eastAsia"/>
              </w:rPr>
            </w:pPr>
            <w:bookmarkStart w:id="2" w:name="_Hlk56690880"/>
            <w:r>
              <w:rPr>
                <w:rFonts w:hint="eastAsia"/>
              </w:rPr>
              <w:t>其他符合性分析</w:t>
            </w:r>
            <w:bookmarkEnd w:id="2"/>
          </w:p>
        </w:tc>
        <w:tc>
          <w:tcPr>
            <w:tcW w:w="6813" w:type="dxa"/>
            <w:gridSpan w:val="4"/>
            <w:tcMar>
              <w:top w:w="16" w:type="dxa"/>
              <w:left w:w="16" w:type="dxa"/>
              <w:right w:w="16" w:type="dxa"/>
            </w:tcMar>
            <w:vAlign w:val="center"/>
          </w:tcPr>
          <w:p>
            <w:pPr>
              <w:pStyle w:val="40"/>
              <w:ind w:firstLine="482"/>
            </w:pPr>
            <w:r>
              <w:rPr>
                <w:rFonts w:hint="eastAsia"/>
              </w:rPr>
              <w:t>1、产业符合性</w:t>
            </w:r>
          </w:p>
          <w:p>
            <w:pPr>
              <w:pStyle w:val="42"/>
              <w:ind w:firstLine="480"/>
            </w:pPr>
            <w:r>
              <w:rPr>
                <w:rFonts w:hint="eastAsia"/>
              </w:rPr>
              <w:t>根据国民经济行业分类(GB/T4754-2017)，本项目属于河湖治理及防洪设施工程建筑(E4822)，对比《产业结构调整指导目录(2024年本)》(中华人民共和国国家发展和改革委员</w:t>
            </w:r>
            <w:r>
              <w:rPr>
                <w:rFonts w:hint="eastAsia"/>
                <w:lang w:val="en-US" w:eastAsia="zh-CN"/>
              </w:rPr>
              <w:t>会</w:t>
            </w:r>
            <w:r>
              <w:rPr>
                <w:rFonts w:hint="eastAsia"/>
              </w:rPr>
              <w:t>令第7号，2023年12月27日)，属于第一大类鼓励类:“二、水利:第3条，防洪提升工程:江河湖海地方建设及河道治理工程.”因此本项目符合国家现行产业政策要求。遂宁蓬溪县发展和改革局于2023年10月27日以蓬发改审(2023)433号对《蓬溪县墨砚湖片区排水防涝建设项目可行性研究报告(代项目建议书)》进行批复，同意蓬溪县墨砚湖片区排水防涝建设项目建设。</w:t>
            </w:r>
          </w:p>
          <w:p>
            <w:pPr>
              <w:pStyle w:val="42"/>
              <w:ind w:firstLine="480"/>
            </w:pPr>
            <w:r>
              <w:rPr>
                <w:rFonts w:hint="eastAsia"/>
              </w:rPr>
              <w:t>因此，本项目符合国家现行产业政策。</w:t>
            </w:r>
          </w:p>
          <w:p>
            <w:pPr>
              <w:pStyle w:val="40"/>
              <w:ind w:firstLine="482"/>
            </w:pPr>
            <w:r>
              <w:rPr>
                <w:rFonts w:hint="eastAsia"/>
              </w:rPr>
              <w:t>2、与《中华人民共和国河道管理条例》(国务院令第698号修订)符合性分析</w:t>
            </w:r>
          </w:p>
          <w:p>
            <w:pPr>
              <w:pStyle w:val="38"/>
            </w:pPr>
            <w:r>
              <w:rPr>
                <w:rFonts w:hint="eastAsia"/>
              </w:rPr>
              <w:t>表1-3项目与中华人民共和国河道管理条例符合性分析</w:t>
            </w:r>
          </w:p>
          <w:tbl>
            <w:tblPr>
              <w:tblStyle w:val="15"/>
              <w:tblW w:w="6781"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98"/>
              <w:gridCol w:w="1605"/>
              <w:gridCol w:w="97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jc w:val="center"/>
              </w:trPr>
              <w:tc>
                <w:tcPr>
                  <w:tcW w:w="4198" w:type="dxa"/>
                  <w:shd w:val="clear" w:color="auto" w:fill="auto"/>
                  <w:vAlign w:val="center"/>
                </w:tcPr>
                <w:p>
                  <w:pPr>
                    <w:pStyle w:val="36"/>
                  </w:pPr>
                  <w:r>
                    <w:rPr>
                      <w:rFonts w:hint="eastAsia"/>
                    </w:rPr>
                    <w:t>相关内容</w:t>
                  </w:r>
                </w:p>
              </w:tc>
              <w:tc>
                <w:tcPr>
                  <w:tcW w:w="1605" w:type="dxa"/>
                  <w:shd w:val="clear" w:color="auto" w:fill="auto"/>
                  <w:vAlign w:val="center"/>
                </w:tcPr>
                <w:p>
                  <w:pPr>
                    <w:pStyle w:val="36"/>
                  </w:pPr>
                  <w:r>
                    <w:rPr>
                      <w:rFonts w:hint="eastAsia"/>
                    </w:rPr>
                    <w:t>本项目</w:t>
                  </w:r>
                </w:p>
              </w:tc>
              <w:tc>
                <w:tcPr>
                  <w:tcW w:w="978" w:type="dxa"/>
                  <w:shd w:val="clear" w:color="auto" w:fill="auto"/>
                  <w:vAlign w:val="center"/>
                </w:tcPr>
                <w:p>
                  <w:pPr>
                    <w:pStyle w:val="36"/>
                  </w:pPr>
                  <w:r>
                    <w:rPr>
                      <w:rFonts w:hint="eastAsia"/>
                    </w:rPr>
                    <w:t>符合性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242" w:hRule="atLeast"/>
                <w:jc w:val="center"/>
              </w:trPr>
              <w:tc>
                <w:tcPr>
                  <w:tcW w:w="4198" w:type="dxa"/>
                  <w:shd w:val="clear" w:color="auto" w:fill="auto"/>
                  <w:vAlign w:val="center"/>
                </w:tcPr>
                <w:p>
                  <w:pPr>
                    <w:pStyle w:val="36"/>
                  </w:pPr>
                  <w:r>
                    <w:rPr>
                      <w:rFonts w:hint="eastAsia"/>
                    </w:rPr>
                    <w:t>第二章河道整治与建设第十条河道的整治与建设，应当服从流域综合规划，符合国家规定的防洪标准、通航标准和其他有关技术要求，维护堤防安全，保持河势稳定和行洪、航运通畅。</w:t>
                  </w:r>
                </w:p>
              </w:tc>
              <w:tc>
                <w:tcPr>
                  <w:tcW w:w="1605" w:type="dxa"/>
                  <w:shd w:val="clear" w:color="auto" w:fill="auto"/>
                  <w:vAlign w:val="center"/>
                </w:tcPr>
                <w:p>
                  <w:pPr>
                    <w:pStyle w:val="36"/>
                  </w:pPr>
                  <w:r>
                    <w:rPr>
                      <w:rFonts w:hint="eastAsia"/>
                    </w:rPr>
                    <w:t>本项目服从流域综合规划，符合国家规定的防洪标准。</w:t>
                  </w:r>
                </w:p>
              </w:tc>
              <w:tc>
                <w:tcPr>
                  <w:tcW w:w="978" w:type="dxa"/>
                  <w:shd w:val="clear" w:color="auto" w:fill="auto"/>
                  <w:vAlign w:val="center"/>
                </w:tcPr>
                <w:p>
                  <w:pPr>
                    <w:pStyle w:val="36"/>
                  </w:pPr>
                  <w:r>
                    <w:rPr>
                      <w:rFonts w:hint="eastAsia"/>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179" w:hRule="atLeast"/>
                <w:jc w:val="center"/>
              </w:trPr>
              <w:tc>
                <w:tcPr>
                  <w:tcW w:w="4198" w:type="dxa"/>
                  <w:shd w:val="clear" w:color="auto" w:fill="auto"/>
                  <w:vAlign w:val="center"/>
                </w:tcPr>
                <w:p>
                  <w:pPr>
                    <w:pStyle w:val="36"/>
                  </w:pPr>
                  <w:r>
                    <w:rPr>
                      <w:rFonts w:hint="eastAsia"/>
                    </w:rPr>
                    <w:t>第十一条修建开发水利、防治水害、整治河道的各类工程和跨河、穿河、穿堤、临河的桥梁、码头、道路、渡口、管道、缆线等建筑物及设施，建设单位必须按照河道管理权限，将工程建设方案报送河道主管机关审查同意。未经河道主管机关审查同意的，建设单位不得开工建设。建设项目经批准后，建设单位应当将施工安排告知河道主管机关。</w:t>
                  </w:r>
                </w:p>
              </w:tc>
              <w:tc>
                <w:tcPr>
                  <w:tcW w:w="1605" w:type="dxa"/>
                  <w:shd w:val="clear" w:color="auto" w:fill="auto"/>
                  <w:vAlign w:val="center"/>
                </w:tcPr>
                <w:p>
                  <w:pPr>
                    <w:pStyle w:val="36"/>
                  </w:pPr>
                  <w:r>
                    <w:rPr>
                      <w:rFonts w:hint="eastAsia"/>
                    </w:rPr>
                    <w:t>本项目为河湖整治项目，可行性研究报告已经遂宁蓬溪县发展和改革局审查并出具批复</w:t>
                  </w:r>
                </w:p>
              </w:tc>
              <w:tc>
                <w:tcPr>
                  <w:tcW w:w="978" w:type="dxa"/>
                  <w:shd w:val="clear" w:color="auto" w:fill="auto"/>
                  <w:vAlign w:val="center"/>
                </w:tcPr>
                <w:p>
                  <w:pPr>
                    <w:pStyle w:val="36"/>
                  </w:pPr>
                  <w:r>
                    <w:rPr>
                      <w:rFonts w:hint="eastAsia"/>
                    </w:rPr>
                    <w:t>符合</w:t>
                  </w:r>
                </w:p>
              </w:tc>
            </w:tr>
          </w:tbl>
          <w:p>
            <w:pPr>
              <w:pStyle w:val="40"/>
              <w:ind w:firstLine="482"/>
            </w:pPr>
            <w:r>
              <w:rPr>
                <w:rFonts w:hint="eastAsia"/>
              </w:rPr>
              <w:t>3、与《水利建设项目(河湖整治与防洪除涝工程)环境影响评价文件审批原则(试行)》符合性分析</w:t>
            </w:r>
          </w:p>
          <w:p>
            <w:pPr>
              <w:pStyle w:val="42"/>
              <w:ind w:firstLine="480"/>
            </w:pPr>
            <w:r>
              <w:rPr>
                <w:rFonts w:hint="eastAsia"/>
              </w:rPr>
              <w:t>本项目属于河湖整治和防洪除涝工程，根据生态环境部办公厅关于印发机场、港口、水利(河湖整治与防洪除涝工程)三个行业建设项目环境影响评价文件审批原则的通知(环办环评〔2018〕2号)，本项目与《水利建设项目(河湖整治与防洪除涝工程)环境影响评价文件审批原则(试行)》(以下简称“审批原则”)符合性分析见下表：</w:t>
            </w:r>
          </w:p>
          <w:p>
            <w:pPr>
              <w:pStyle w:val="38"/>
            </w:pPr>
            <w:r>
              <w:rPr>
                <w:rFonts w:hint="eastAsia"/>
              </w:rPr>
              <w:t>表</w:t>
            </w:r>
            <w:r>
              <w:t xml:space="preserve">1-4 </w:t>
            </w:r>
            <w:r>
              <w:rPr>
                <w:rFonts w:hint="eastAsia"/>
              </w:rPr>
              <w:t>与《水利建设项目（河湖整治与防洪除涝工程）环境影响评价文件审批原则（试行）》符合性分析表</w:t>
            </w:r>
          </w:p>
          <w:tbl>
            <w:tblPr>
              <w:tblStyle w:val="15"/>
              <w:tblW w:w="6781"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742"/>
              <w:gridCol w:w="2126"/>
              <w:gridCol w:w="91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3742" w:type="dxa"/>
                  <w:shd w:val="clear" w:color="auto" w:fill="auto"/>
                  <w:vAlign w:val="center"/>
                </w:tcPr>
                <w:p>
                  <w:pPr>
                    <w:pStyle w:val="36"/>
                  </w:pPr>
                  <w:r>
                    <w:rPr>
                      <w:rFonts w:hint="eastAsia"/>
                    </w:rPr>
                    <w:t>审批原则相关内容</w:t>
                  </w:r>
                </w:p>
              </w:tc>
              <w:tc>
                <w:tcPr>
                  <w:tcW w:w="2126" w:type="dxa"/>
                  <w:shd w:val="clear" w:color="auto" w:fill="auto"/>
                  <w:vAlign w:val="center"/>
                </w:tcPr>
                <w:p>
                  <w:pPr>
                    <w:pStyle w:val="36"/>
                  </w:pPr>
                  <w:r>
                    <w:rPr>
                      <w:rFonts w:hint="eastAsia"/>
                    </w:rPr>
                    <w:t>本项目情况</w:t>
                  </w:r>
                </w:p>
              </w:tc>
              <w:tc>
                <w:tcPr>
                  <w:tcW w:w="913" w:type="dxa"/>
                  <w:shd w:val="clear" w:color="auto" w:fill="auto"/>
                  <w:vAlign w:val="center"/>
                </w:tcPr>
                <w:p>
                  <w:pPr>
                    <w:pStyle w:val="36"/>
                  </w:pPr>
                  <w:r>
                    <w:rPr>
                      <w:rFonts w:hint="eastAsia"/>
                    </w:rPr>
                    <w:t>符合性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860" w:hRule="atLeast"/>
              </w:trPr>
              <w:tc>
                <w:tcPr>
                  <w:tcW w:w="3742" w:type="dxa"/>
                  <w:shd w:val="clear" w:color="auto" w:fill="auto"/>
                  <w:vAlign w:val="center"/>
                </w:tcPr>
                <w:p>
                  <w:pPr>
                    <w:pStyle w:val="36"/>
                  </w:pPr>
                  <w:r>
                    <w:rPr>
                      <w:rFonts w:hint="eastAsia"/>
                    </w:rPr>
                    <w:t>第一条本原则适用于河湖整治与防洪除涝工程环境影响评价文件的审批，工程建设内容包括疏浚、堤防建设、闸坝闸站建设、岸线治理、水系连通、蓄(滞)洪区建设、排涝治理等(引调水、防洪水库等水利枢纽工程除外)。其他类似工程可参照执行。</w:t>
                  </w:r>
                </w:p>
              </w:tc>
              <w:tc>
                <w:tcPr>
                  <w:tcW w:w="2126" w:type="dxa"/>
                  <w:shd w:val="clear" w:color="auto" w:fill="auto"/>
                  <w:vAlign w:val="center"/>
                </w:tcPr>
                <w:p>
                  <w:pPr>
                    <w:pStyle w:val="36"/>
                  </w:pPr>
                  <w:r>
                    <w:rPr>
                      <w:rFonts w:hint="eastAsia"/>
                    </w:rPr>
                    <w:t>本项目属于河湖整治与防洪除涝工程，项目包括堤防建设、闸坝闸站建设、排涝治理</w:t>
                  </w:r>
                </w:p>
              </w:tc>
              <w:tc>
                <w:tcPr>
                  <w:tcW w:w="913" w:type="dxa"/>
                  <w:shd w:val="clear" w:color="auto" w:fill="auto"/>
                  <w:vAlign w:val="center"/>
                </w:tcPr>
                <w:p>
                  <w:pPr>
                    <w:pStyle w:val="36"/>
                  </w:pPr>
                  <w:r>
                    <w:rPr>
                      <w:rFonts w:hint="eastAsia"/>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02" w:hRule="atLeast"/>
              </w:trPr>
              <w:tc>
                <w:tcPr>
                  <w:tcW w:w="3742" w:type="dxa"/>
                  <w:shd w:val="clear" w:color="auto" w:fill="auto"/>
                  <w:vAlign w:val="center"/>
                </w:tcPr>
                <w:p>
                  <w:pPr>
                    <w:pStyle w:val="36"/>
                  </w:pPr>
                  <w:r>
                    <w:rPr>
                      <w:rFonts w:hint="eastAsia"/>
                    </w:rPr>
                    <w:t>第二条项目符合环境保护相关法律法规和政策要求，与主体功能区规划、生态功能区划、水环境功能区划、水功能区划、生态环境保护规划、流域综合规划、防洪规划等相协调，满足相关规划环评要求。工程涉及岸线调整(治导线变化)、截弯取直、围垦水面和占用河湖滩地等建设内容的，充分论证了方案环境可行性，最大程度保持了河湖自然形态，最大限度维护了河湖健康、生态系统功能和生物多样性。</w:t>
                  </w:r>
                </w:p>
              </w:tc>
              <w:tc>
                <w:tcPr>
                  <w:tcW w:w="2126" w:type="dxa"/>
                  <w:shd w:val="clear" w:color="auto" w:fill="auto"/>
                  <w:vAlign w:val="center"/>
                </w:tcPr>
                <w:p>
                  <w:pPr>
                    <w:pStyle w:val="36"/>
                  </w:pPr>
                  <w:r>
                    <w:rPr>
                      <w:rFonts w:hint="eastAsia"/>
                    </w:rPr>
                    <w:t>本项目符合环境保护相关法律法规和政策要求，与主体功能区规划、生态功能区划、水环境功能区划。水功能区划、生态环境保护规划、流域综合规划。防洪规划等相协调，满足相关规划环评要求。</w:t>
                  </w:r>
                </w:p>
              </w:tc>
              <w:tc>
                <w:tcPr>
                  <w:tcW w:w="913" w:type="dxa"/>
                  <w:shd w:val="clear" w:color="auto" w:fill="auto"/>
                  <w:vAlign w:val="center"/>
                </w:tcPr>
                <w:p>
                  <w:pPr>
                    <w:pStyle w:val="36"/>
                  </w:pPr>
                  <w:r>
                    <w:rPr>
                      <w:rFonts w:hint="eastAsia"/>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842" w:hRule="atLeast"/>
              </w:trPr>
              <w:tc>
                <w:tcPr>
                  <w:tcW w:w="3742" w:type="dxa"/>
                  <w:shd w:val="clear" w:color="auto" w:fill="auto"/>
                  <w:vAlign w:val="center"/>
                </w:tcPr>
                <w:p>
                  <w:pPr>
                    <w:pStyle w:val="36"/>
                  </w:pPr>
                  <w:r>
                    <w:rPr>
                      <w:rFonts w:hint="eastAsia"/>
                    </w:rPr>
                    <w:t>第三条工程选址选线、施工布置原则上不占用自然保护区、风景名胜区、世界文化和自然遗产地以及其他生态保护红线等环境敏感区中法律法规禁止占用的区域，并与饮用水水源保护区的保护要求相协调。</w:t>
                  </w:r>
                </w:p>
              </w:tc>
              <w:tc>
                <w:tcPr>
                  <w:tcW w:w="2126" w:type="dxa"/>
                  <w:shd w:val="clear" w:color="auto" w:fill="auto"/>
                  <w:vAlign w:val="center"/>
                </w:tcPr>
                <w:p>
                  <w:pPr>
                    <w:pStyle w:val="36"/>
                  </w:pPr>
                  <w:r>
                    <w:rPr>
                      <w:rFonts w:hint="eastAsia"/>
                    </w:rPr>
                    <w:t>工程选址选线、施工布置上不占用自然保护区、风景名胜区、世界文化和自然遗产地以及其他生态保护红线等区域，不涉及饮用水水源保护区。</w:t>
                  </w:r>
                </w:p>
              </w:tc>
              <w:tc>
                <w:tcPr>
                  <w:tcW w:w="913" w:type="dxa"/>
                  <w:shd w:val="clear" w:color="auto" w:fill="auto"/>
                  <w:vAlign w:val="center"/>
                </w:tcPr>
                <w:p>
                  <w:pPr>
                    <w:pStyle w:val="36"/>
                  </w:pPr>
                  <w:r>
                    <w:rPr>
                      <w:rFonts w:hint="eastAsia"/>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242" w:hRule="atLeast"/>
              </w:trPr>
              <w:tc>
                <w:tcPr>
                  <w:tcW w:w="3742" w:type="dxa"/>
                  <w:shd w:val="clear" w:color="auto" w:fill="auto"/>
                  <w:vAlign w:val="center"/>
                </w:tcPr>
                <w:p>
                  <w:pPr>
                    <w:pStyle w:val="36"/>
                  </w:pPr>
                  <w:r>
                    <w:rPr>
                      <w:rFonts w:hint="eastAsia"/>
                    </w:rPr>
                    <w:t>第四条项目实施改变水动力条件或水文过程且对水质产生不利影响的，提出了工程优化调整、科学调度、实施区域流域水污染防治等措施。</w:t>
                  </w:r>
                </w:p>
              </w:tc>
              <w:tc>
                <w:tcPr>
                  <w:tcW w:w="2126" w:type="dxa"/>
                  <w:shd w:val="clear" w:color="auto" w:fill="auto"/>
                  <w:vAlign w:val="center"/>
                </w:tcPr>
                <w:p>
                  <w:pPr>
                    <w:pStyle w:val="36"/>
                  </w:pPr>
                  <w:r>
                    <w:rPr>
                      <w:rFonts w:hint="eastAsia"/>
                    </w:rPr>
                    <w:t>项目实施不改变水动力条件或水文过程，施工期通过采取环保措施减轻对水质产生的不利影响。</w:t>
                  </w:r>
                </w:p>
              </w:tc>
              <w:tc>
                <w:tcPr>
                  <w:tcW w:w="913" w:type="dxa"/>
                  <w:shd w:val="clear" w:color="auto" w:fill="auto"/>
                  <w:vAlign w:val="center"/>
                </w:tcPr>
                <w:p>
                  <w:pPr>
                    <w:pStyle w:val="36"/>
                  </w:pPr>
                  <w:r>
                    <w:rPr>
                      <w:rFonts w:hint="eastAsia"/>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542" w:hRule="atLeast"/>
              </w:trPr>
              <w:tc>
                <w:tcPr>
                  <w:tcW w:w="3742" w:type="dxa"/>
                  <w:shd w:val="clear" w:color="auto" w:fill="auto"/>
                  <w:vAlign w:val="center"/>
                </w:tcPr>
                <w:p>
                  <w:pPr>
                    <w:pStyle w:val="36"/>
                  </w:pPr>
                  <w:r>
                    <w:rPr>
                      <w:rFonts w:hint="eastAsia"/>
                    </w:rPr>
                    <w:t>第五条项目对鱼类等水生生物的洄游通道及“三场”等重要生境。物种多样性及资源量等产生不利影响的，提出了下泄生态流量、恢复鱼类洄游通道、采用生态友好型护岸(坡、底)、生态修复、增殖放流等措施。</w:t>
                  </w:r>
                </w:p>
              </w:tc>
              <w:tc>
                <w:tcPr>
                  <w:tcW w:w="2126" w:type="dxa"/>
                  <w:shd w:val="clear" w:color="auto" w:fill="auto"/>
                  <w:vAlign w:val="center"/>
                </w:tcPr>
                <w:p>
                  <w:pPr>
                    <w:pStyle w:val="36"/>
                  </w:pPr>
                  <w:r>
                    <w:rPr>
                      <w:rFonts w:hint="eastAsia"/>
                    </w:rPr>
                    <w:t>项目不涉及鱼类等水生生物的洄游通道及“三场”等重要生境，不会对物种多样性及资源量等产生不利影响。</w:t>
                  </w:r>
                </w:p>
              </w:tc>
              <w:tc>
                <w:tcPr>
                  <w:tcW w:w="913" w:type="dxa"/>
                  <w:shd w:val="clear" w:color="auto" w:fill="auto"/>
                  <w:vAlign w:val="center"/>
                </w:tcPr>
                <w:p>
                  <w:pPr>
                    <w:pStyle w:val="36"/>
                  </w:pPr>
                  <w:r>
                    <w:rPr>
                      <w:rFonts w:hint="eastAsia"/>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20" w:hRule="atLeast"/>
              </w:trPr>
              <w:tc>
                <w:tcPr>
                  <w:tcW w:w="3742" w:type="dxa"/>
                  <w:shd w:val="clear" w:color="auto" w:fill="auto"/>
                  <w:vAlign w:val="center"/>
                </w:tcPr>
                <w:p>
                  <w:pPr>
                    <w:pStyle w:val="36"/>
                  </w:pPr>
                  <w:r>
                    <w:rPr>
                      <w:rFonts w:hint="eastAsia"/>
                    </w:rPr>
                    <w:t>第七条项目施工组织方案具有环境合理性，对料场、弃土(渣)场等施工场地提出了水土流失防治和生态修复等措施。根据环境保护相关标准和要求，对施工期各类废(污)水。扬尘。废气、噪声。固体废物等提出了防治或处置措施。其中，涉水施工涉及饮用水水源保护区或取水口并可能对水质造成不利影响的，提出了避让、施工方案优化。污染物控制等措施；涉水施工对鱼类等水生生物及其重要生境造成不利影响的，提出了避让、施工方案优化。控制施工噪声等措施；针对清淤、疏浚等产生的污泥，提出了符合相关规定的处置或综合利用方案。</w:t>
                  </w:r>
                </w:p>
              </w:tc>
              <w:tc>
                <w:tcPr>
                  <w:tcW w:w="2126" w:type="dxa"/>
                  <w:shd w:val="clear" w:color="auto" w:fill="auto"/>
                  <w:vAlign w:val="center"/>
                </w:tcPr>
                <w:p>
                  <w:pPr>
                    <w:pStyle w:val="36"/>
                  </w:pPr>
                  <w:r>
                    <w:rPr>
                      <w:rFonts w:hint="eastAsia"/>
                    </w:rPr>
                    <w:t>项目施工组织方案合理，采取了生态恢复、水土流失防治措施；对施工期各类废 (污)水、扬尘、废气、噪声、固体废物等提出了防治或处置措施，项目不涉及饮用水源保护区和取水口。</w:t>
                  </w:r>
                </w:p>
              </w:tc>
              <w:tc>
                <w:tcPr>
                  <w:tcW w:w="913" w:type="dxa"/>
                  <w:shd w:val="clear" w:color="auto" w:fill="auto"/>
                  <w:vAlign w:val="center"/>
                </w:tcPr>
                <w:p>
                  <w:pPr>
                    <w:pStyle w:val="36"/>
                  </w:pPr>
                  <w:r>
                    <w:rPr>
                      <w:rFonts w:hint="eastAsia"/>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19" w:hRule="atLeast"/>
              </w:trPr>
              <w:tc>
                <w:tcPr>
                  <w:tcW w:w="3742" w:type="dxa"/>
                  <w:shd w:val="clear" w:color="auto" w:fill="auto"/>
                  <w:vAlign w:val="center"/>
                </w:tcPr>
                <w:p>
                  <w:pPr>
                    <w:pStyle w:val="36"/>
                  </w:pPr>
                  <w:r>
                    <w:rPr>
                      <w:rFonts w:hint="eastAsia"/>
                    </w:rPr>
                    <w:t>第八条项目移民安置的选址和建设方式具有环境合理性，提出了生态保护、污水处理、固体废物处置等措施。</w:t>
                  </w:r>
                </w:p>
              </w:tc>
              <w:tc>
                <w:tcPr>
                  <w:tcW w:w="2126" w:type="dxa"/>
                  <w:shd w:val="clear" w:color="auto" w:fill="auto"/>
                  <w:vAlign w:val="center"/>
                </w:tcPr>
                <w:p>
                  <w:pPr>
                    <w:pStyle w:val="36"/>
                  </w:pPr>
                  <w:r>
                    <w:rPr>
                      <w:rFonts w:hint="eastAsia"/>
                    </w:rPr>
                    <w:t>项目不涉及移民安置。</w:t>
                  </w:r>
                </w:p>
              </w:tc>
              <w:tc>
                <w:tcPr>
                  <w:tcW w:w="913" w:type="dxa"/>
                  <w:shd w:val="clear" w:color="auto" w:fill="auto"/>
                  <w:vAlign w:val="center"/>
                </w:tcPr>
                <w:p>
                  <w:pPr>
                    <w:pStyle w:val="36"/>
                  </w:pPr>
                  <w:r>
                    <w:rPr>
                      <w:rFonts w:hint="eastAsia"/>
                    </w:rPr>
                    <w:t>符合</w:t>
                  </w:r>
                </w:p>
              </w:tc>
            </w:tr>
          </w:tbl>
          <w:p>
            <w:pPr>
              <w:pStyle w:val="42"/>
              <w:ind w:firstLine="480"/>
            </w:pPr>
            <w:r>
              <w:rPr>
                <w:rFonts w:hint="eastAsia"/>
              </w:rPr>
              <w:t>综上，本项目符合《水利建设项目（河湖整治与防洪除涝工程）环境影响评价文件审批原则（试行）》中相关要求。</w:t>
            </w:r>
          </w:p>
          <w:p>
            <w:pPr>
              <w:spacing w:line="360" w:lineRule="auto"/>
              <w:ind w:firstLine="482" w:firstLineChars="200"/>
              <w:rPr>
                <w:rFonts w:hint="eastAsia"/>
                <w:b/>
                <w:szCs w:val="22"/>
                <w:lang w:val="zh-CN" w:bidi="zh-CN"/>
              </w:rPr>
            </w:pPr>
            <w:r>
              <w:rPr>
                <w:rFonts w:hint="eastAsia"/>
                <w:b/>
                <w:bCs/>
                <w:szCs w:val="22"/>
                <w:lang w:val="zh-CN" w:bidi="zh-CN"/>
              </w:rPr>
              <w:t>4、</w:t>
            </w:r>
            <w:r>
              <w:rPr>
                <w:rFonts w:hint="eastAsia"/>
                <w:b/>
                <w:szCs w:val="22"/>
                <w:lang w:val="zh-CN" w:bidi="zh-CN"/>
              </w:rPr>
              <w:t>与《中华人民共和国长江保护法》符合性分析</w:t>
            </w:r>
          </w:p>
          <w:p>
            <w:pPr>
              <w:pStyle w:val="38"/>
              <w:rPr>
                <w:rFonts w:hint="eastAsia"/>
                <w:lang w:val="zh-CN" w:bidi="zh-CN"/>
              </w:rPr>
            </w:pPr>
            <w:r>
              <w:rPr>
                <w:rFonts w:hint="eastAsia"/>
                <w:lang w:val="zh-CN" w:bidi="zh-CN"/>
              </w:rPr>
              <w:t xml:space="preserve">表1-5 </w:t>
            </w:r>
            <w:r>
              <w:rPr>
                <w:lang w:val="zh-CN" w:bidi="zh-CN"/>
              </w:rPr>
              <w:t>项目与《中华人民共和国长江保护法》符合性分析</w:t>
            </w:r>
          </w:p>
          <w:tbl>
            <w:tblPr>
              <w:tblStyle w:val="15"/>
              <w:tblW w:w="6781"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64"/>
              <w:gridCol w:w="4028"/>
              <w:gridCol w:w="1737"/>
              <w:gridCol w:w="45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92" w:type="dxa"/>
                  <w:gridSpan w:val="2"/>
                  <w:shd w:val="clear" w:color="auto" w:fill="auto"/>
                  <w:vAlign w:val="center"/>
                </w:tcPr>
                <w:p>
                  <w:pPr>
                    <w:jc w:val="center"/>
                    <w:rPr>
                      <w:rFonts w:hint="eastAsia"/>
                      <w:bCs/>
                      <w:szCs w:val="21"/>
                      <w:lang w:val="zh-CN" w:bidi="zh-CN"/>
                    </w:rPr>
                  </w:pPr>
                  <w:r>
                    <w:rPr>
                      <w:bCs/>
                      <w:szCs w:val="21"/>
                      <w:lang w:val="zh-CN" w:bidi="zh-CN"/>
                    </w:rPr>
                    <w:t>保护法要求</w:t>
                  </w:r>
                </w:p>
              </w:tc>
              <w:tc>
                <w:tcPr>
                  <w:tcW w:w="1737" w:type="dxa"/>
                  <w:shd w:val="clear" w:color="auto" w:fill="auto"/>
                  <w:vAlign w:val="center"/>
                </w:tcPr>
                <w:p>
                  <w:pPr>
                    <w:jc w:val="center"/>
                    <w:rPr>
                      <w:rFonts w:hint="eastAsia"/>
                      <w:bCs/>
                      <w:szCs w:val="21"/>
                      <w:lang w:val="zh-CN" w:bidi="zh-CN"/>
                    </w:rPr>
                  </w:pPr>
                  <w:r>
                    <w:rPr>
                      <w:bCs/>
                      <w:szCs w:val="21"/>
                      <w:lang w:val="zh-CN" w:bidi="zh-CN"/>
                    </w:rPr>
                    <w:t>项目情况</w:t>
                  </w:r>
                </w:p>
              </w:tc>
              <w:tc>
                <w:tcPr>
                  <w:tcW w:w="452" w:type="dxa"/>
                  <w:shd w:val="clear" w:color="auto" w:fill="auto"/>
                  <w:vAlign w:val="center"/>
                </w:tcPr>
                <w:p>
                  <w:pPr>
                    <w:jc w:val="center"/>
                    <w:rPr>
                      <w:rFonts w:hint="eastAsia"/>
                      <w:bCs/>
                      <w:szCs w:val="21"/>
                      <w:lang w:val="zh-CN" w:bidi="zh-CN"/>
                    </w:rPr>
                  </w:pPr>
                  <w:r>
                    <w:rPr>
                      <w:bCs/>
                      <w:szCs w:val="21"/>
                      <w:lang w:val="zh-CN" w:bidi="zh-CN"/>
                    </w:rPr>
                    <w:t>符合性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4" w:type="dxa"/>
                  <w:shd w:val="clear" w:color="auto" w:fill="auto"/>
                  <w:vAlign w:val="center"/>
                </w:tcPr>
                <w:p>
                  <w:pPr>
                    <w:jc w:val="center"/>
                    <w:rPr>
                      <w:rFonts w:hint="eastAsia"/>
                      <w:bCs/>
                      <w:szCs w:val="21"/>
                      <w:lang w:val="zh-CN" w:bidi="zh-CN"/>
                    </w:rPr>
                  </w:pPr>
                  <w:r>
                    <w:rPr>
                      <w:bCs/>
                      <w:szCs w:val="21"/>
                      <w:lang w:val="zh-CN" w:bidi="zh-CN"/>
                    </w:rPr>
                    <w:t>第二十二条</w:t>
                  </w:r>
                </w:p>
              </w:tc>
              <w:tc>
                <w:tcPr>
                  <w:tcW w:w="4028" w:type="dxa"/>
                  <w:shd w:val="clear" w:color="auto" w:fill="auto"/>
                  <w:vAlign w:val="center"/>
                </w:tcPr>
                <w:p>
                  <w:pPr>
                    <w:jc w:val="center"/>
                    <w:rPr>
                      <w:rFonts w:hint="eastAsia"/>
                      <w:bCs/>
                      <w:szCs w:val="21"/>
                      <w:lang w:val="zh-CN" w:bidi="zh-CN"/>
                    </w:rPr>
                  </w:pPr>
                  <w:r>
                    <w:rPr>
                      <w:bCs/>
                      <w:szCs w:val="21"/>
                      <w:lang w:val="zh-CN" w:bidi="zh-CN"/>
                    </w:rPr>
                    <w:t>禁止在长江流域重点生态功能区布局对生态系统有严重影响的产业</w:t>
                  </w:r>
                </w:p>
              </w:tc>
              <w:tc>
                <w:tcPr>
                  <w:tcW w:w="1737" w:type="dxa"/>
                  <w:shd w:val="clear" w:color="auto" w:fill="auto"/>
                  <w:vAlign w:val="center"/>
                </w:tcPr>
                <w:p>
                  <w:pPr>
                    <w:jc w:val="center"/>
                    <w:rPr>
                      <w:rFonts w:hint="eastAsia"/>
                      <w:bCs/>
                      <w:szCs w:val="21"/>
                      <w:lang w:val="zh-CN" w:bidi="zh-CN"/>
                    </w:rPr>
                  </w:pPr>
                  <w:r>
                    <w:rPr>
                      <w:rFonts w:hint="eastAsia"/>
                      <w:bCs/>
                      <w:szCs w:val="21"/>
                      <w:lang w:val="zh-CN" w:bidi="zh-CN"/>
                    </w:rPr>
                    <w:t>本项目施工期污染物均能达标排放，对周边生态系统影响较小</w:t>
                  </w:r>
                </w:p>
              </w:tc>
              <w:tc>
                <w:tcPr>
                  <w:tcW w:w="452" w:type="dxa"/>
                  <w:shd w:val="clear" w:color="auto" w:fill="auto"/>
                  <w:vAlign w:val="center"/>
                </w:tcPr>
                <w:p>
                  <w:pPr>
                    <w:jc w:val="center"/>
                    <w:rPr>
                      <w:rFonts w:hint="eastAsia"/>
                      <w:bCs/>
                      <w:szCs w:val="21"/>
                      <w:lang w:val="zh-CN" w:bidi="zh-CN"/>
                    </w:rPr>
                  </w:pPr>
                  <w:r>
                    <w:rPr>
                      <w:rFonts w:hint="eastAsia"/>
                      <w:bCs/>
                      <w:szCs w:val="21"/>
                      <w:lang w:val="zh-CN" w:bidi="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4" w:type="dxa"/>
                  <w:vMerge w:val="restart"/>
                  <w:shd w:val="clear" w:color="auto" w:fill="auto"/>
                  <w:vAlign w:val="center"/>
                </w:tcPr>
                <w:p>
                  <w:pPr>
                    <w:jc w:val="center"/>
                    <w:rPr>
                      <w:rFonts w:hint="eastAsia"/>
                      <w:bCs/>
                      <w:szCs w:val="21"/>
                      <w:lang w:val="zh-CN" w:bidi="zh-CN"/>
                    </w:rPr>
                  </w:pPr>
                  <w:r>
                    <w:rPr>
                      <w:bCs/>
                      <w:szCs w:val="21"/>
                      <w:lang w:val="zh-CN" w:bidi="zh-CN"/>
                    </w:rPr>
                    <w:t>第二十六条</w:t>
                  </w:r>
                </w:p>
              </w:tc>
              <w:tc>
                <w:tcPr>
                  <w:tcW w:w="4028" w:type="dxa"/>
                  <w:shd w:val="clear" w:color="auto" w:fill="auto"/>
                  <w:vAlign w:val="center"/>
                </w:tcPr>
                <w:p>
                  <w:pPr>
                    <w:jc w:val="center"/>
                    <w:rPr>
                      <w:rFonts w:hint="eastAsia"/>
                      <w:bCs/>
                      <w:szCs w:val="21"/>
                      <w:lang w:val="zh-CN" w:bidi="zh-CN"/>
                    </w:rPr>
                  </w:pPr>
                  <w:r>
                    <w:rPr>
                      <w:bCs/>
                      <w:szCs w:val="21"/>
                      <w:lang w:val="zh-CN" w:bidi="zh-CN"/>
                    </w:rPr>
                    <w:t>禁止在长江干支流岸线一公里范围内新建、扩建化工园区和化工项目</w:t>
                  </w:r>
                </w:p>
              </w:tc>
              <w:tc>
                <w:tcPr>
                  <w:tcW w:w="1737" w:type="dxa"/>
                  <w:shd w:val="clear" w:color="auto" w:fill="auto"/>
                  <w:vAlign w:val="center"/>
                </w:tcPr>
                <w:p>
                  <w:pPr>
                    <w:jc w:val="center"/>
                    <w:rPr>
                      <w:rFonts w:hint="eastAsia"/>
                      <w:bCs/>
                      <w:szCs w:val="21"/>
                      <w:lang w:val="zh-CN" w:bidi="zh-CN"/>
                    </w:rPr>
                  </w:pPr>
                  <w:r>
                    <w:rPr>
                      <w:rFonts w:hint="eastAsia"/>
                      <w:bCs/>
                      <w:szCs w:val="21"/>
                      <w:lang w:val="zh-CN" w:bidi="zh-CN"/>
                    </w:rPr>
                    <w:t>本项目不属于化工项目</w:t>
                  </w:r>
                </w:p>
              </w:tc>
              <w:tc>
                <w:tcPr>
                  <w:tcW w:w="452" w:type="dxa"/>
                  <w:shd w:val="clear" w:color="auto" w:fill="auto"/>
                  <w:vAlign w:val="center"/>
                </w:tcPr>
                <w:p>
                  <w:pPr>
                    <w:jc w:val="center"/>
                    <w:rPr>
                      <w:rFonts w:hint="eastAsia"/>
                      <w:bCs/>
                      <w:szCs w:val="21"/>
                      <w:lang w:val="zh-CN" w:bidi="zh-CN"/>
                    </w:rPr>
                  </w:pPr>
                  <w:r>
                    <w:rPr>
                      <w:rFonts w:hint="eastAsia"/>
                      <w:bCs/>
                      <w:szCs w:val="21"/>
                      <w:lang w:val="zh-CN" w:bidi="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4" w:type="dxa"/>
                  <w:vMerge w:val="continue"/>
                  <w:shd w:val="clear" w:color="auto" w:fill="auto"/>
                  <w:vAlign w:val="center"/>
                </w:tcPr>
                <w:p>
                  <w:pPr>
                    <w:jc w:val="center"/>
                    <w:rPr>
                      <w:rFonts w:hint="eastAsia"/>
                      <w:bCs/>
                      <w:szCs w:val="21"/>
                      <w:lang w:val="zh-CN" w:bidi="zh-CN"/>
                    </w:rPr>
                  </w:pPr>
                </w:p>
              </w:tc>
              <w:tc>
                <w:tcPr>
                  <w:tcW w:w="4028" w:type="dxa"/>
                  <w:shd w:val="clear" w:color="auto" w:fill="auto"/>
                  <w:vAlign w:val="center"/>
                </w:tcPr>
                <w:p>
                  <w:pPr>
                    <w:jc w:val="center"/>
                    <w:rPr>
                      <w:rFonts w:hint="eastAsia"/>
                      <w:bCs/>
                      <w:szCs w:val="21"/>
                      <w:lang w:val="zh-CN" w:bidi="zh-CN"/>
                    </w:rPr>
                  </w:pPr>
                  <w:r>
                    <w:rPr>
                      <w:bCs/>
                      <w:szCs w:val="21"/>
                      <w:lang w:val="zh-CN" w:bidi="zh-CN"/>
                    </w:rPr>
                    <w:t>禁止在长江干流岸线三公里范围内和重要支流岸线一公里范围内新建、改建、扩建尾矿库；但是以提升安全、生态环境保护水平为目的的改建除外。</w:t>
                  </w:r>
                </w:p>
              </w:tc>
              <w:tc>
                <w:tcPr>
                  <w:tcW w:w="1737" w:type="dxa"/>
                  <w:shd w:val="clear" w:color="auto" w:fill="auto"/>
                  <w:vAlign w:val="center"/>
                </w:tcPr>
                <w:p>
                  <w:pPr>
                    <w:jc w:val="center"/>
                    <w:rPr>
                      <w:rFonts w:hint="eastAsia"/>
                      <w:bCs/>
                      <w:szCs w:val="21"/>
                      <w:lang w:val="zh-CN" w:bidi="zh-CN"/>
                    </w:rPr>
                  </w:pPr>
                  <w:r>
                    <w:rPr>
                      <w:rFonts w:hint="eastAsia"/>
                      <w:bCs/>
                      <w:szCs w:val="21"/>
                      <w:lang w:val="zh-CN" w:bidi="zh-CN"/>
                    </w:rPr>
                    <w:t>本项目不属于尾矿库项目</w:t>
                  </w:r>
                </w:p>
              </w:tc>
              <w:tc>
                <w:tcPr>
                  <w:tcW w:w="452" w:type="dxa"/>
                  <w:shd w:val="clear" w:color="auto" w:fill="auto"/>
                  <w:vAlign w:val="center"/>
                </w:tcPr>
                <w:p>
                  <w:pPr>
                    <w:jc w:val="center"/>
                    <w:rPr>
                      <w:rFonts w:hint="eastAsia"/>
                      <w:bCs/>
                      <w:szCs w:val="21"/>
                      <w:lang w:val="zh-CN" w:bidi="zh-CN"/>
                    </w:rPr>
                  </w:pPr>
                  <w:r>
                    <w:rPr>
                      <w:rFonts w:hint="eastAsia"/>
                      <w:bCs/>
                      <w:szCs w:val="21"/>
                      <w:lang w:val="zh-CN" w:bidi="zh-CN"/>
                    </w:rPr>
                    <w:t>符合</w:t>
                  </w:r>
                </w:p>
              </w:tc>
            </w:tr>
          </w:tbl>
          <w:p>
            <w:pPr>
              <w:spacing w:line="360" w:lineRule="auto"/>
              <w:ind w:firstLine="482" w:firstLineChars="200"/>
              <w:rPr>
                <w:rFonts w:hint="eastAsia"/>
                <w:b/>
                <w:szCs w:val="22"/>
                <w:lang w:val="zh-CN" w:bidi="zh-CN"/>
              </w:rPr>
            </w:pPr>
            <w:r>
              <w:rPr>
                <w:rFonts w:hint="eastAsia"/>
                <w:b/>
                <w:szCs w:val="22"/>
                <w:lang w:val="zh-CN" w:bidi="zh-CN"/>
              </w:rPr>
              <w:t>5、项目与《长江经济带发展负面清单指南（试行）》（2022年版）的符合性分析</w:t>
            </w:r>
          </w:p>
          <w:p>
            <w:pPr>
              <w:spacing w:line="360" w:lineRule="auto"/>
              <w:ind w:firstLine="480" w:firstLineChars="200"/>
              <w:rPr>
                <w:rFonts w:hint="eastAsia"/>
              </w:rPr>
            </w:pPr>
            <w:r>
              <w:rPr>
                <w:rFonts w:hint="eastAsia"/>
              </w:rPr>
              <w:t>根据《长江经济带发展负面清单指南（试行）》（2022年版）：5.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p>
            <w:pPr>
              <w:spacing w:line="360" w:lineRule="auto"/>
              <w:ind w:firstLine="480" w:firstLineChars="200"/>
              <w:rPr>
                <w:rFonts w:hint="eastAsia"/>
              </w:rPr>
            </w:pPr>
            <w:r>
              <w:rPr>
                <w:rFonts w:hint="eastAsia"/>
              </w:rPr>
              <w:t>本项目为属于河湖整治与防洪除涝工程，因此符合《长江经济带发展负面清单指南（试行）》（2022年版）要求。</w:t>
            </w:r>
          </w:p>
          <w:p>
            <w:pPr>
              <w:spacing w:line="360" w:lineRule="auto"/>
              <w:ind w:firstLine="482" w:firstLineChars="200"/>
              <w:rPr>
                <w:rFonts w:hint="eastAsia"/>
                <w:b/>
                <w:szCs w:val="22"/>
                <w:lang w:val="zh-CN" w:bidi="zh-CN"/>
              </w:rPr>
            </w:pPr>
            <w:r>
              <w:rPr>
                <w:rFonts w:hint="eastAsia"/>
                <w:b/>
                <w:szCs w:val="22"/>
                <w:lang w:val="zh-CN" w:bidi="zh-CN"/>
              </w:rPr>
              <w:t>6、与《四川省、重庆市长江经济带发展负面清单实施细则》（试行，2022年版）符合性分析</w:t>
            </w:r>
          </w:p>
          <w:p>
            <w:pPr>
              <w:spacing w:line="360" w:lineRule="auto"/>
              <w:ind w:firstLine="480" w:firstLineChars="200"/>
              <w:rPr>
                <w:rFonts w:hint="eastAsia"/>
              </w:rPr>
            </w:pPr>
            <w:r>
              <w:rPr>
                <w:rFonts w:hint="eastAsia"/>
              </w:rPr>
              <w:t>根据《四川省、重庆市长江经济带发展负面清单实施细则》（试行，2022年版）：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p>
            <w:pPr>
              <w:spacing w:line="360" w:lineRule="auto"/>
              <w:ind w:firstLine="480" w:firstLineChars="200"/>
              <w:rPr>
                <w:rFonts w:hint="eastAsia"/>
              </w:rPr>
            </w:pPr>
            <w:r>
              <w:rPr>
                <w:rFonts w:hint="eastAsia"/>
              </w:rPr>
              <w:t>本项目为属于河湖整治与防洪除涝工程，因此符合《四川省、重庆市长江经济带发展负面清单实施细则》（试行，2022年版）要求。</w:t>
            </w:r>
          </w:p>
          <w:p>
            <w:pPr>
              <w:pStyle w:val="40"/>
              <w:ind w:firstLine="482"/>
            </w:pPr>
            <w:r>
              <w:rPr>
                <w:rFonts w:hint="eastAsia"/>
              </w:rPr>
              <w:t>7、项目与“三区三线”符合性分析</w:t>
            </w:r>
          </w:p>
          <w:p>
            <w:pPr>
              <w:pStyle w:val="42"/>
              <w:ind w:firstLine="480"/>
            </w:pPr>
            <w:r>
              <w:rPr>
                <w:rFonts w:hint="eastAsia"/>
              </w:rPr>
              <w:t>“三区”是指城镇空间、农业空间、生态空间三种类型的国土空间;线”分别对应在城镇空间、农业空间、生态空间划定的城镇开发界、永久基本</w:t>
            </w:r>
            <w:r>
              <w:rPr>
                <w:rFonts w:hint="eastAsia"/>
                <w:lang w:val="en-US" w:eastAsia="zh-CN"/>
              </w:rPr>
              <w:t>农田</w:t>
            </w:r>
            <w:r>
              <w:rPr>
                <w:rFonts w:hint="eastAsia"/>
              </w:rPr>
              <w:t>、生态保护红线三条控制线。</w:t>
            </w:r>
          </w:p>
          <w:p>
            <w:pPr>
              <w:pStyle w:val="42"/>
              <w:ind w:firstLine="480"/>
            </w:pPr>
            <w:r>
              <w:rPr>
                <w:rFonts w:hint="eastAsia"/>
              </w:rPr>
              <w:t>本项目在原河道范围内进行建设，不涉及基本农田、生态保护红线、不在城镇规划区，项目满足“三区三线”管控要求。</w:t>
            </w:r>
          </w:p>
          <w:p>
            <w:pPr>
              <w:pStyle w:val="40"/>
              <w:ind w:firstLine="482"/>
            </w:pPr>
            <w:r>
              <w:rPr>
                <w:rFonts w:hint="eastAsia"/>
              </w:rPr>
              <w:t>8、与“生态环境分区管控”的符合性分析</w:t>
            </w:r>
          </w:p>
          <w:p>
            <w:pPr>
              <w:pStyle w:val="44"/>
              <w:ind w:firstLine="480"/>
              <w:rPr>
                <w:rFonts w:hint="eastAsia"/>
              </w:rPr>
            </w:pPr>
            <w:r>
              <w:t>2021</w:t>
            </w:r>
            <w:r>
              <w:rPr>
                <w:rFonts w:hint="eastAsia"/>
              </w:rPr>
              <w:t>年</w:t>
            </w:r>
            <w:r>
              <w:t>12</w:t>
            </w:r>
            <w:r>
              <w:rPr>
                <w:rFonts w:hint="eastAsia"/>
              </w:rPr>
              <w:t>月</w:t>
            </w:r>
            <w:r>
              <w:t>27</w:t>
            </w:r>
            <w:r>
              <w:rPr>
                <w:rFonts w:hint="eastAsia"/>
              </w:rPr>
              <w:t>日，四川省生态环境厅办公室发布了“关于印发《产业园区规划环评“三线一单”符合性分析技术要点（试行）》和《项目环评“生态环境分区管控”符合性分析技术要点（试行）》的通知”（川环办函</w:t>
            </w:r>
            <w:r>
              <w:t>[2021]469</w:t>
            </w:r>
            <w:r>
              <w:rPr>
                <w:rFonts w:hint="eastAsia"/>
              </w:rPr>
              <w:t>号），根据该文件要求，结合四川省生态环境分区管控符合性分析输入本项目相关信息后，“生态环境分区管控”分析情况如下：</w:t>
            </w:r>
          </w:p>
          <w:p>
            <w:pPr>
              <w:adjustRightInd w:val="0"/>
              <w:snapToGrid w:val="0"/>
              <w:spacing w:line="360" w:lineRule="auto"/>
              <w:ind w:firstLine="482" w:firstLineChars="200"/>
              <w:rPr>
                <w:rFonts w:hint="eastAsia"/>
                <w:b/>
                <w:bCs/>
                <w:szCs w:val="21"/>
              </w:rPr>
            </w:pPr>
            <w:r>
              <w:rPr>
                <w:rFonts w:hint="eastAsia"/>
                <w:b/>
                <w:bCs/>
                <w:szCs w:val="21"/>
              </w:rPr>
              <w:t>（1）项目涉及的环境管控单元</w:t>
            </w:r>
          </w:p>
          <w:p>
            <w:pPr>
              <w:pStyle w:val="42"/>
              <w:ind w:firstLine="480"/>
            </w:pPr>
            <w:r>
              <w:rPr>
                <w:rFonts w:hint="eastAsia"/>
              </w:rPr>
              <w:t>根据查询四川省“生态环境分区管控”数据分析系统，本项目涉及环境管控单元6个，涉及的管控单元信息见下表。</w:t>
            </w:r>
          </w:p>
          <w:p>
            <w:pPr>
              <w:pStyle w:val="40"/>
              <w:ind w:firstLine="482"/>
            </w:pPr>
            <w:r>
              <w:drawing>
                <wp:inline distT="0" distB="0" distL="0" distR="0">
                  <wp:extent cx="4305300" cy="3060700"/>
                  <wp:effectExtent l="0" t="0" r="0" b="0"/>
                  <wp:docPr id="1" name="图片 2"/>
                  <wp:cNvGraphicFramePr/>
                  <a:graphic xmlns:a="http://schemas.openxmlformats.org/drawingml/2006/main">
                    <a:graphicData uri="http://schemas.openxmlformats.org/drawingml/2006/picture">
                      <pic:pic xmlns:pic="http://schemas.openxmlformats.org/drawingml/2006/picture">
                        <pic:nvPicPr>
                          <pic:cNvPr id="1" name="图片 2"/>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4305300" cy="3060700"/>
                          </a:xfrm>
                          <a:prstGeom prst="rect">
                            <a:avLst/>
                          </a:prstGeom>
                          <a:noFill/>
                          <a:ln>
                            <a:noFill/>
                          </a:ln>
                        </pic:spPr>
                      </pic:pic>
                    </a:graphicData>
                  </a:graphic>
                </wp:inline>
              </w:drawing>
            </w:r>
          </w:p>
          <w:p>
            <w:pPr>
              <w:pStyle w:val="45"/>
            </w:pPr>
            <w:r>
              <w:rPr>
                <w:rFonts w:hint="eastAsia"/>
              </w:rPr>
              <w:t>图1-1生态环境分区管控符合性分析查询截图</w:t>
            </w:r>
          </w:p>
          <w:p>
            <w:pPr>
              <w:pStyle w:val="45"/>
            </w:pPr>
          </w:p>
          <w:p>
            <w:pPr>
              <w:pStyle w:val="45"/>
            </w:pPr>
            <w:r>
              <w:rPr>
                <w:rFonts w:hint="eastAsia"/>
              </w:rPr>
              <w:t>表1-6 本项目涉及环境管控单元情况一览表</w:t>
            </w:r>
          </w:p>
          <w:tbl>
            <w:tblPr>
              <w:tblStyle w:val="15"/>
              <w:tblW w:w="6781"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17"/>
              <w:gridCol w:w="1338"/>
              <w:gridCol w:w="1008"/>
              <w:gridCol w:w="925"/>
              <w:gridCol w:w="1125"/>
              <w:gridCol w:w="136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tblHeader/>
              </w:trPr>
              <w:tc>
                <w:tcPr>
                  <w:tcW w:w="1017" w:type="dxa"/>
                  <w:vAlign w:val="center"/>
                </w:tcPr>
                <w:p>
                  <w:pPr>
                    <w:pStyle w:val="36"/>
                  </w:pPr>
                  <w:r>
                    <w:rPr>
                      <w:rFonts w:hint="eastAsia"/>
                    </w:rPr>
                    <w:t>环境管控单元编码</w:t>
                  </w:r>
                </w:p>
              </w:tc>
              <w:tc>
                <w:tcPr>
                  <w:tcW w:w="1338" w:type="dxa"/>
                  <w:vAlign w:val="center"/>
                </w:tcPr>
                <w:p>
                  <w:pPr>
                    <w:pStyle w:val="36"/>
                    <w:jc w:val="center"/>
                  </w:pPr>
                  <w:r>
                    <w:rPr>
                      <w:rFonts w:hint="eastAsia"/>
                    </w:rPr>
                    <w:t>环境管控单元名称</w:t>
                  </w:r>
                </w:p>
              </w:tc>
              <w:tc>
                <w:tcPr>
                  <w:tcW w:w="1008" w:type="dxa"/>
                  <w:vAlign w:val="center"/>
                </w:tcPr>
                <w:p>
                  <w:pPr>
                    <w:pStyle w:val="36"/>
                    <w:jc w:val="center"/>
                  </w:pPr>
                  <w:r>
                    <w:rPr>
                      <w:rFonts w:hint="eastAsia"/>
                    </w:rPr>
                    <w:t>所属市（州）</w:t>
                  </w:r>
                </w:p>
              </w:tc>
              <w:tc>
                <w:tcPr>
                  <w:tcW w:w="925" w:type="dxa"/>
                  <w:vAlign w:val="center"/>
                </w:tcPr>
                <w:p>
                  <w:pPr>
                    <w:pStyle w:val="36"/>
                    <w:jc w:val="center"/>
                  </w:pPr>
                  <w:r>
                    <w:rPr>
                      <w:rFonts w:hint="eastAsia"/>
                    </w:rPr>
                    <w:t>所属区</w:t>
                  </w:r>
                  <w:r>
                    <w:rPr>
                      <w:rFonts w:hint="eastAsia"/>
                      <w:lang w:eastAsia="zh-CN"/>
                    </w:rPr>
                    <w:t>（</w:t>
                  </w:r>
                  <w:r>
                    <w:rPr>
                      <w:rFonts w:hint="eastAsia"/>
                    </w:rPr>
                    <w:t>县</w:t>
                  </w:r>
                  <w:r>
                    <w:rPr>
                      <w:rFonts w:hint="eastAsia"/>
                      <w:lang w:eastAsia="zh-CN"/>
                    </w:rPr>
                    <w:t>）</w:t>
                  </w:r>
                </w:p>
              </w:tc>
              <w:tc>
                <w:tcPr>
                  <w:tcW w:w="1125" w:type="dxa"/>
                  <w:vAlign w:val="center"/>
                </w:tcPr>
                <w:p>
                  <w:pPr>
                    <w:pStyle w:val="36"/>
                    <w:jc w:val="center"/>
                  </w:pPr>
                  <w:r>
                    <w:rPr>
                      <w:rFonts w:hint="eastAsia"/>
                    </w:rPr>
                    <w:t>准入清单类型</w:t>
                  </w:r>
                </w:p>
              </w:tc>
              <w:tc>
                <w:tcPr>
                  <w:tcW w:w="1368" w:type="dxa"/>
                  <w:vAlign w:val="center"/>
                </w:tcPr>
                <w:p>
                  <w:pPr>
                    <w:pStyle w:val="36"/>
                    <w:jc w:val="center"/>
                  </w:pPr>
                  <w:r>
                    <w:rPr>
                      <w:rFonts w:hint="eastAsia"/>
                    </w:rPr>
                    <w:t>管控类型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tblHeader/>
              </w:trPr>
              <w:tc>
                <w:tcPr>
                  <w:tcW w:w="1017" w:type="dxa"/>
                  <w:vAlign w:val="center"/>
                </w:tcPr>
                <w:p>
                  <w:pPr>
                    <w:pStyle w:val="36"/>
                  </w:pPr>
                  <w:r>
                    <w:rPr>
                      <w:rFonts w:hint="eastAsia"/>
                    </w:rPr>
                    <w:t>YS5109212220001</w:t>
                  </w:r>
                </w:p>
              </w:tc>
              <w:tc>
                <w:tcPr>
                  <w:tcW w:w="1338" w:type="dxa"/>
                  <w:vAlign w:val="center"/>
                </w:tcPr>
                <w:p>
                  <w:pPr>
                    <w:pStyle w:val="36"/>
                    <w:jc w:val="center"/>
                  </w:pPr>
                  <w:r>
                    <w:rPr>
                      <w:rFonts w:hint="eastAsia"/>
                    </w:rPr>
                    <w:t>芝溪河-蓬溪县-涪山坝-控制单元</w:t>
                  </w:r>
                </w:p>
              </w:tc>
              <w:tc>
                <w:tcPr>
                  <w:tcW w:w="1008" w:type="dxa"/>
                  <w:vAlign w:val="center"/>
                </w:tcPr>
                <w:p>
                  <w:pPr>
                    <w:pStyle w:val="36"/>
                    <w:jc w:val="center"/>
                  </w:pPr>
                  <w:r>
                    <w:rPr>
                      <w:rFonts w:hint="eastAsia"/>
                    </w:rPr>
                    <w:t>遂宁市</w:t>
                  </w:r>
                </w:p>
              </w:tc>
              <w:tc>
                <w:tcPr>
                  <w:tcW w:w="925" w:type="dxa"/>
                  <w:vAlign w:val="center"/>
                </w:tcPr>
                <w:p>
                  <w:pPr>
                    <w:pStyle w:val="36"/>
                    <w:jc w:val="center"/>
                  </w:pPr>
                  <w:r>
                    <w:rPr>
                      <w:rFonts w:hint="eastAsia"/>
                    </w:rPr>
                    <w:t>蓬溪县</w:t>
                  </w:r>
                </w:p>
              </w:tc>
              <w:tc>
                <w:tcPr>
                  <w:tcW w:w="1125" w:type="dxa"/>
                  <w:vAlign w:val="center"/>
                </w:tcPr>
                <w:p>
                  <w:pPr>
                    <w:pStyle w:val="36"/>
                    <w:jc w:val="center"/>
                  </w:pPr>
                  <w:r>
                    <w:rPr>
                      <w:rFonts w:hint="eastAsia"/>
                    </w:rPr>
                    <w:t>水环境管控分区</w:t>
                  </w:r>
                </w:p>
              </w:tc>
              <w:tc>
                <w:tcPr>
                  <w:tcW w:w="1368" w:type="dxa"/>
                  <w:vAlign w:val="center"/>
                </w:tcPr>
                <w:p>
                  <w:pPr>
                    <w:pStyle w:val="36"/>
                    <w:jc w:val="center"/>
                  </w:pPr>
                  <w:r>
                    <w:rPr>
                      <w:rFonts w:hint="eastAsia"/>
                    </w:rPr>
                    <w:t>水环境城镇生活污染重点管控区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tblHeader/>
              </w:trPr>
              <w:tc>
                <w:tcPr>
                  <w:tcW w:w="1017" w:type="dxa"/>
                  <w:vAlign w:val="center"/>
                </w:tcPr>
                <w:p>
                  <w:pPr>
                    <w:pStyle w:val="36"/>
                  </w:pPr>
                  <w:r>
                    <w:rPr>
                      <w:rFonts w:hint="eastAsia"/>
                    </w:rPr>
                    <w:t>YS5109212340001</w:t>
                  </w:r>
                </w:p>
              </w:tc>
              <w:tc>
                <w:tcPr>
                  <w:tcW w:w="1338" w:type="dxa"/>
                  <w:vAlign w:val="center"/>
                </w:tcPr>
                <w:p>
                  <w:pPr>
                    <w:pStyle w:val="36"/>
                    <w:jc w:val="center"/>
                  </w:pPr>
                  <w:r>
                    <w:rPr>
                      <w:rFonts w:hint="eastAsia"/>
                    </w:rPr>
                    <w:t>蓬溪县城镇集中建设区</w:t>
                  </w:r>
                </w:p>
              </w:tc>
              <w:tc>
                <w:tcPr>
                  <w:tcW w:w="1008" w:type="dxa"/>
                  <w:vAlign w:val="center"/>
                </w:tcPr>
                <w:p>
                  <w:pPr>
                    <w:pStyle w:val="36"/>
                    <w:jc w:val="center"/>
                  </w:pPr>
                  <w:r>
                    <w:rPr>
                      <w:rFonts w:hint="eastAsia"/>
                    </w:rPr>
                    <w:t>遂宁市</w:t>
                  </w:r>
                </w:p>
              </w:tc>
              <w:tc>
                <w:tcPr>
                  <w:tcW w:w="925" w:type="dxa"/>
                  <w:vAlign w:val="center"/>
                </w:tcPr>
                <w:p>
                  <w:pPr>
                    <w:pStyle w:val="36"/>
                    <w:jc w:val="center"/>
                  </w:pPr>
                  <w:r>
                    <w:rPr>
                      <w:rFonts w:hint="eastAsia"/>
                    </w:rPr>
                    <w:t>蓬溪县</w:t>
                  </w:r>
                </w:p>
              </w:tc>
              <w:tc>
                <w:tcPr>
                  <w:tcW w:w="1125" w:type="dxa"/>
                  <w:vAlign w:val="center"/>
                </w:tcPr>
                <w:p>
                  <w:pPr>
                    <w:pStyle w:val="36"/>
                    <w:jc w:val="center"/>
                  </w:pPr>
                  <w:r>
                    <w:rPr>
                      <w:rFonts w:hint="eastAsia"/>
                    </w:rPr>
                    <w:t>大气环境管控分区</w:t>
                  </w:r>
                </w:p>
              </w:tc>
              <w:tc>
                <w:tcPr>
                  <w:tcW w:w="1368" w:type="dxa"/>
                  <w:vAlign w:val="center"/>
                </w:tcPr>
                <w:p>
                  <w:pPr>
                    <w:pStyle w:val="36"/>
                    <w:jc w:val="center"/>
                  </w:pPr>
                  <w:r>
                    <w:rPr>
                      <w:rFonts w:hint="eastAsia"/>
                    </w:rPr>
                    <w:t>大气环境受体敏感重点管控区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tblHeader/>
              </w:trPr>
              <w:tc>
                <w:tcPr>
                  <w:tcW w:w="1017" w:type="dxa"/>
                  <w:vAlign w:val="center"/>
                </w:tcPr>
                <w:p>
                  <w:pPr>
                    <w:pStyle w:val="36"/>
                  </w:pPr>
                  <w:r>
                    <w:rPr>
                      <w:rFonts w:hint="eastAsia"/>
                    </w:rPr>
                    <w:t>YS5109212530001</w:t>
                  </w:r>
                </w:p>
              </w:tc>
              <w:tc>
                <w:tcPr>
                  <w:tcW w:w="1338" w:type="dxa"/>
                  <w:vAlign w:val="center"/>
                </w:tcPr>
                <w:p>
                  <w:pPr>
                    <w:pStyle w:val="36"/>
                    <w:jc w:val="center"/>
                  </w:pPr>
                  <w:r>
                    <w:rPr>
                      <w:rFonts w:hint="eastAsia"/>
                    </w:rPr>
                    <w:t>蓬溪县城镇开发边界</w:t>
                  </w:r>
                </w:p>
              </w:tc>
              <w:tc>
                <w:tcPr>
                  <w:tcW w:w="1008" w:type="dxa"/>
                  <w:vAlign w:val="center"/>
                </w:tcPr>
                <w:p>
                  <w:pPr>
                    <w:pStyle w:val="36"/>
                    <w:jc w:val="center"/>
                  </w:pPr>
                  <w:r>
                    <w:rPr>
                      <w:rFonts w:hint="eastAsia"/>
                    </w:rPr>
                    <w:t>遂宁市</w:t>
                  </w:r>
                </w:p>
              </w:tc>
              <w:tc>
                <w:tcPr>
                  <w:tcW w:w="925" w:type="dxa"/>
                  <w:vAlign w:val="center"/>
                </w:tcPr>
                <w:p>
                  <w:pPr>
                    <w:pStyle w:val="36"/>
                    <w:jc w:val="center"/>
                  </w:pPr>
                  <w:r>
                    <w:rPr>
                      <w:rFonts w:hint="eastAsia"/>
                    </w:rPr>
                    <w:t>蓬溪县</w:t>
                  </w:r>
                </w:p>
              </w:tc>
              <w:tc>
                <w:tcPr>
                  <w:tcW w:w="1125" w:type="dxa"/>
                  <w:vAlign w:val="center"/>
                </w:tcPr>
                <w:p>
                  <w:pPr>
                    <w:pStyle w:val="36"/>
                    <w:jc w:val="center"/>
                  </w:pPr>
                  <w:r>
                    <w:rPr>
                      <w:rFonts w:hint="eastAsia"/>
                    </w:rPr>
                    <w:t>资源管控分区</w:t>
                  </w:r>
                </w:p>
              </w:tc>
              <w:tc>
                <w:tcPr>
                  <w:tcW w:w="1368" w:type="dxa"/>
                  <w:vAlign w:val="center"/>
                </w:tcPr>
                <w:p>
                  <w:pPr>
                    <w:pStyle w:val="36"/>
                    <w:jc w:val="center"/>
                  </w:pPr>
                  <w:r>
                    <w:rPr>
                      <w:rFonts w:hint="eastAsia"/>
                    </w:rPr>
                    <w:t>土地资源重点管控区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tblHeader/>
              </w:trPr>
              <w:tc>
                <w:tcPr>
                  <w:tcW w:w="1017" w:type="dxa"/>
                  <w:vAlign w:val="center"/>
                </w:tcPr>
                <w:p>
                  <w:pPr>
                    <w:pStyle w:val="36"/>
                  </w:pPr>
                  <w:r>
                    <w:rPr>
                      <w:rFonts w:hint="eastAsia"/>
                    </w:rPr>
                    <w:t>YS5109212540001</w:t>
                  </w:r>
                </w:p>
              </w:tc>
              <w:tc>
                <w:tcPr>
                  <w:tcW w:w="1338" w:type="dxa"/>
                  <w:vAlign w:val="center"/>
                </w:tcPr>
                <w:p>
                  <w:pPr>
                    <w:pStyle w:val="36"/>
                    <w:jc w:val="center"/>
                  </w:pPr>
                  <w:r>
                    <w:rPr>
                      <w:rFonts w:hint="eastAsia"/>
                    </w:rPr>
                    <w:t>蓬溪县城市建成区</w:t>
                  </w:r>
                </w:p>
              </w:tc>
              <w:tc>
                <w:tcPr>
                  <w:tcW w:w="1008" w:type="dxa"/>
                  <w:vAlign w:val="center"/>
                </w:tcPr>
                <w:p>
                  <w:pPr>
                    <w:pStyle w:val="36"/>
                    <w:jc w:val="center"/>
                  </w:pPr>
                  <w:r>
                    <w:rPr>
                      <w:rFonts w:hint="eastAsia"/>
                    </w:rPr>
                    <w:t>遂宁市</w:t>
                  </w:r>
                </w:p>
              </w:tc>
              <w:tc>
                <w:tcPr>
                  <w:tcW w:w="925" w:type="dxa"/>
                  <w:vAlign w:val="center"/>
                </w:tcPr>
                <w:p>
                  <w:pPr>
                    <w:pStyle w:val="36"/>
                    <w:jc w:val="center"/>
                  </w:pPr>
                  <w:r>
                    <w:rPr>
                      <w:rFonts w:hint="eastAsia"/>
                    </w:rPr>
                    <w:t>蓬溪县</w:t>
                  </w:r>
                </w:p>
              </w:tc>
              <w:tc>
                <w:tcPr>
                  <w:tcW w:w="1125" w:type="dxa"/>
                  <w:vAlign w:val="center"/>
                </w:tcPr>
                <w:p>
                  <w:pPr>
                    <w:pStyle w:val="36"/>
                    <w:jc w:val="center"/>
                  </w:pPr>
                  <w:r>
                    <w:rPr>
                      <w:rFonts w:hint="eastAsia"/>
                    </w:rPr>
                    <w:t>资源管控分区</w:t>
                  </w:r>
                </w:p>
              </w:tc>
              <w:tc>
                <w:tcPr>
                  <w:tcW w:w="1368" w:type="dxa"/>
                  <w:vAlign w:val="center"/>
                </w:tcPr>
                <w:p>
                  <w:pPr>
                    <w:pStyle w:val="36"/>
                    <w:jc w:val="center"/>
                  </w:pPr>
                  <w:r>
                    <w:rPr>
                      <w:rFonts w:hint="eastAsia"/>
                    </w:rPr>
                    <w:t>高污染燃料禁燃区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tblHeader/>
              </w:trPr>
              <w:tc>
                <w:tcPr>
                  <w:tcW w:w="1017" w:type="dxa"/>
                  <w:vAlign w:val="center"/>
                </w:tcPr>
                <w:p>
                  <w:pPr>
                    <w:pStyle w:val="36"/>
                  </w:pPr>
                  <w:r>
                    <w:rPr>
                      <w:rFonts w:hint="eastAsia"/>
                    </w:rPr>
                    <w:t>YS5109212550001</w:t>
                  </w:r>
                </w:p>
              </w:tc>
              <w:tc>
                <w:tcPr>
                  <w:tcW w:w="1338" w:type="dxa"/>
                  <w:vAlign w:val="center"/>
                </w:tcPr>
                <w:p>
                  <w:pPr>
                    <w:pStyle w:val="36"/>
                    <w:jc w:val="center"/>
                  </w:pPr>
                  <w:r>
                    <w:rPr>
                      <w:rFonts w:hint="eastAsia"/>
                    </w:rPr>
                    <w:t>蓬溪县自然资源重点管控区</w:t>
                  </w:r>
                </w:p>
              </w:tc>
              <w:tc>
                <w:tcPr>
                  <w:tcW w:w="1008" w:type="dxa"/>
                  <w:vAlign w:val="center"/>
                </w:tcPr>
                <w:p>
                  <w:pPr>
                    <w:pStyle w:val="36"/>
                    <w:jc w:val="center"/>
                  </w:pPr>
                  <w:r>
                    <w:rPr>
                      <w:rFonts w:hint="eastAsia"/>
                    </w:rPr>
                    <w:t>遂宁市</w:t>
                  </w:r>
                </w:p>
              </w:tc>
              <w:tc>
                <w:tcPr>
                  <w:tcW w:w="925" w:type="dxa"/>
                  <w:vAlign w:val="center"/>
                </w:tcPr>
                <w:p>
                  <w:pPr>
                    <w:pStyle w:val="36"/>
                    <w:jc w:val="center"/>
                  </w:pPr>
                  <w:r>
                    <w:rPr>
                      <w:rFonts w:hint="eastAsia"/>
                    </w:rPr>
                    <w:t>蓬溪县</w:t>
                  </w:r>
                </w:p>
              </w:tc>
              <w:tc>
                <w:tcPr>
                  <w:tcW w:w="1125" w:type="dxa"/>
                  <w:vAlign w:val="center"/>
                </w:tcPr>
                <w:p>
                  <w:pPr>
                    <w:pStyle w:val="36"/>
                    <w:jc w:val="center"/>
                  </w:pPr>
                  <w:r>
                    <w:rPr>
                      <w:rFonts w:hint="eastAsia"/>
                    </w:rPr>
                    <w:t>资源管控分区</w:t>
                  </w:r>
                </w:p>
              </w:tc>
              <w:tc>
                <w:tcPr>
                  <w:tcW w:w="1368" w:type="dxa"/>
                  <w:vAlign w:val="center"/>
                </w:tcPr>
                <w:p>
                  <w:pPr>
                    <w:pStyle w:val="36"/>
                    <w:jc w:val="center"/>
                  </w:pPr>
                  <w:r>
                    <w:rPr>
                      <w:rFonts w:hint="eastAsia"/>
                    </w:rPr>
                    <w:t>自然资源重点管控区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tblHeader/>
              </w:trPr>
              <w:tc>
                <w:tcPr>
                  <w:tcW w:w="1017" w:type="dxa"/>
                  <w:vAlign w:val="center"/>
                </w:tcPr>
                <w:p>
                  <w:pPr>
                    <w:pStyle w:val="36"/>
                  </w:pPr>
                  <w:r>
                    <w:rPr>
                      <w:rFonts w:hint="eastAsia"/>
                    </w:rPr>
                    <w:t>ZH51092120001</w:t>
                  </w:r>
                </w:p>
              </w:tc>
              <w:tc>
                <w:tcPr>
                  <w:tcW w:w="1338" w:type="dxa"/>
                  <w:vAlign w:val="center"/>
                </w:tcPr>
                <w:p>
                  <w:pPr>
                    <w:pStyle w:val="36"/>
                    <w:jc w:val="center"/>
                  </w:pPr>
                  <w:r>
                    <w:rPr>
                      <w:rFonts w:hint="eastAsia"/>
                    </w:rPr>
                    <w:t>蓬溪县城镇空间</w:t>
                  </w:r>
                </w:p>
              </w:tc>
              <w:tc>
                <w:tcPr>
                  <w:tcW w:w="1008" w:type="dxa"/>
                  <w:vAlign w:val="center"/>
                </w:tcPr>
                <w:p>
                  <w:pPr>
                    <w:pStyle w:val="36"/>
                    <w:jc w:val="center"/>
                  </w:pPr>
                  <w:r>
                    <w:rPr>
                      <w:rFonts w:hint="eastAsia"/>
                    </w:rPr>
                    <w:t>遂宁市</w:t>
                  </w:r>
                </w:p>
              </w:tc>
              <w:tc>
                <w:tcPr>
                  <w:tcW w:w="925" w:type="dxa"/>
                  <w:vAlign w:val="center"/>
                </w:tcPr>
                <w:p>
                  <w:pPr>
                    <w:pStyle w:val="36"/>
                    <w:jc w:val="center"/>
                  </w:pPr>
                  <w:r>
                    <w:rPr>
                      <w:rFonts w:hint="eastAsia"/>
                    </w:rPr>
                    <w:t>蓬溪县</w:t>
                  </w:r>
                </w:p>
              </w:tc>
              <w:tc>
                <w:tcPr>
                  <w:tcW w:w="1125" w:type="dxa"/>
                  <w:vAlign w:val="center"/>
                </w:tcPr>
                <w:p>
                  <w:pPr>
                    <w:pStyle w:val="36"/>
                    <w:jc w:val="center"/>
                  </w:pPr>
                  <w:r>
                    <w:rPr>
                      <w:rFonts w:hint="eastAsia"/>
                    </w:rPr>
                    <w:t>环境综合管控单元</w:t>
                  </w:r>
                </w:p>
              </w:tc>
              <w:tc>
                <w:tcPr>
                  <w:tcW w:w="1368" w:type="dxa"/>
                  <w:vAlign w:val="center"/>
                </w:tcPr>
                <w:p>
                  <w:pPr>
                    <w:pStyle w:val="36"/>
                    <w:jc w:val="center"/>
                  </w:pPr>
                  <w:r>
                    <w:rPr>
                      <w:rFonts w:hint="eastAsia"/>
                    </w:rPr>
                    <w:t>环境综合管控单元城镇重点管控单元</w:t>
                  </w:r>
                </w:p>
              </w:tc>
            </w:tr>
          </w:tbl>
          <w:p>
            <w:pPr>
              <w:pStyle w:val="42"/>
              <w:ind w:firstLine="480"/>
              <w:rPr>
                <w:color w:val="000000"/>
              </w:rPr>
            </w:pPr>
            <w:r>
              <w:t>蓬溪县墨砚湖片区排水防涝建设项目</w:t>
            </w:r>
            <w:r>
              <w:rPr>
                <w:color w:val="000000"/>
              </w:rPr>
              <w:t>项目位于遂宁市蓬溪县</w:t>
            </w:r>
            <w:r>
              <w:t>环境综合管控单元城镇重点管控单元</w:t>
            </w:r>
            <w:r>
              <w:rPr>
                <w:color w:val="000000"/>
              </w:rPr>
              <w:t>（管控单元名称：</w:t>
            </w:r>
            <w:r>
              <w:t>蓬溪县城镇空间</w:t>
            </w:r>
            <w:r>
              <w:rPr>
                <w:color w:val="000000"/>
              </w:rPr>
              <w:t>，管控单元编号：</w:t>
            </w:r>
            <w:r>
              <w:t>ZH51092120001</w:t>
            </w:r>
            <w:r>
              <w:rPr>
                <w:color w:val="000000"/>
              </w:rPr>
              <w:t>）</w:t>
            </w:r>
          </w:p>
          <w:p>
            <w:pPr>
              <w:pStyle w:val="42"/>
              <w:ind w:firstLine="480"/>
              <w:rPr>
                <w:color w:val="000000"/>
              </w:rPr>
            </w:pPr>
            <w:r>
              <w:rPr>
                <w:color w:val="000000"/>
              </w:rPr>
              <w:t>项目与管控单元相对位置如下图所示：（图中</w:t>
            </w:r>
            <w:r>
              <w:rPr>
                <w:color w:val="00FFFF"/>
              </w:rPr>
              <w:t>▼</w:t>
            </w:r>
            <w:r>
              <w:rPr>
                <w:color w:val="000000"/>
              </w:rPr>
              <w:t>表示项目位置）</w:t>
            </w:r>
          </w:p>
          <w:p>
            <w:pPr>
              <w:pStyle w:val="42"/>
              <w:ind w:firstLine="0" w:firstLineChars="0"/>
              <w:jc w:val="center"/>
              <w:rPr>
                <w:color w:val="000000"/>
              </w:rPr>
            </w:pPr>
            <w:r>
              <w:rPr>
                <w:color w:val="000000"/>
              </w:rPr>
              <w:drawing>
                <wp:inline distT="0" distB="0" distL="0" distR="0">
                  <wp:extent cx="4201160" cy="2884805"/>
                  <wp:effectExtent l="0" t="0" r="8890" b="0"/>
                  <wp:docPr id="10" name="图片 6"/>
                  <wp:cNvGraphicFramePr/>
                  <a:graphic xmlns:a="http://schemas.openxmlformats.org/drawingml/2006/main">
                    <a:graphicData uri="http://schemas.openxmlformats.org/drawingml/2006/picture">
                      <pic:pic xmlns:pic="http://schemas.openxmlformats.org/drawingml/2006/picture">
                        <pic:nvPicPr>
                          <pic:cNvPr id="10" name="图片 6"/>
                          <pic:cNvPicPr/>
                        </pic:nvPicPr>
                        <pic:blipFill>
                          <a:blip r:embed="rId8">
                            <a:extLst>
                              <a:ext uri="{28A0092B-C50C-407E-A947-70E740481C1C}">
                                <a14:useLocalDpi xmlns:a14="http://schemas.microsoft.com/office/drawing/2010/main" val="0"/>
                              </a:ext>
                            </a:extLst>
                          </a:blip>
                          <a:srcRect/>
                          <a:stretch>
                            <a:fillRect/>
                          </a:stretch>
                        </pic:blipFill>
                        <pic:spPr>
                          <a:xfrm>
                            <a:off x="0" y="0"/>
                            <a:ext cx="4203199" cy="2886250"/>
                          </a:xfrm>
                          <a:prstGeom prst="rect">
                            <a:avLst/>
                          </a:prstGeom>
                          <a:noFill/>
                        </pic:spPr>
                      </pic:pic>
                    </a:graphicData>
                  </a:graphic>
                </wp:inline>
              </w:drawing>
            </w:r>
          </w:p>
          <w:p>
            <w:pPr>
              <w:pStyle w:val="45"/>
            </w:pPr>
            <w:r>
              <w:rPr>
                <w:rFonts w:hint="eastAsia"/>
              </w:rPr>
              <w:t>图1-2 项目与环境综合管控单元的位置关系图</w:t>
            </w:r>
          </w:p>
          <w:p>
            <w:pPr>
              <w:pStyle w:val="42"/>
              <w:ind w:firstLine="480"/>
            </w:pPr>
            <w:r>
              <w:rPr>
                <w:rFonts w:hint="eastAsia"/>
              </w:rPr>
              <w:t>（2）</w:t>
            </w:r>
            <w:r>
              <w:t>生态环境准入清单符合性分析</w:t>
            </w:r>
          </w:p>
          <w:p>
            <w:pPr>
              <w:pStyle w:val="42"/>
              <w:ind w:firstLine="480"/>
            </w:pPr>
            <w:r>
              <w:t>根据项目所在地所属环境管控单元的生态环境准入清单，从“空间布局约束”等 4 个方面，论述项目符合性见下表。</w:t>
            </w:r>
          </w:p>
          <w:p>
            <w:pPr>
              <w:pStyle w:val="40"/>
              <w:ind w:firstLine="482"/>
            </w:pPr>
          </w:p>
          <w:p>
            <w:pPr>
              <w:pStyle w:val="40"/>
              <w:ind w:firstLine="482"/>
            </w:pPr>
          </w:p>
          <w:p>
            <w:pPr>
              <w:pStyle w:val="40"/>
              <w:ind w:firstLine="482"/>
            </w:pPr>
          </w:p>
        </w:tc>
      </w:tr>
    </w:tbl>
    <w:p>
      <w:pPr>
        <w:spacing w:line="360" w:lineRule="auto"/>
        <w:ind w:firstLine="600"/>
        <w:outlineLvl w:val="0"/>
        <w:rPr>
          <w:rFonts w:hint="eastAsia" w:eastAsia="黑体"/>
          <w:sz w:val="30"/>
        </w:rPr>
        <w:sectPr>
          <w:footerReference r:id="rId5" w:type="default"/>
          <w:pgSz w:w="11906" w:h="16838"/>
          <w:pgMar w:top="1701" w:right="1531" w:bottom="1701" w:left="1531" w:header="851" w:footer="1077" w:gutter="0"/>
          <w:pgNumType w:start="1"/>
          <w:cols w:space="720" w:num="1"/>
          <w:docGrid w:linePitch="312" w:charSpace="0"/>
        </w:sectPr>
      </w:pPr>
    </w:p>
    <w:p>
      <w:pPr>
        <w:pStyle w:val="38"/>
      </w:pPr>
      <w:r>
        <w:rPr>
          <w:rFonts w:hint="eastAsia"/>
        </w:rPr>
        <w:t>表1-7 项目与分区管控相关要求的符合性分析</w:t>
      </w:r>
    </w:p>
    <w:tbl>
      <w:tblPr>
        <w:tblStyle w:val="15"/>
        <w:tblW w:w="141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3"/>
        <w:gridCol w:w="2306"/>
        <w:gridCol w:w="1874"/>
        <w:gridCol w:w="7317"/>
        <w:gridCol w:w="1302"/>
        <w:gridCol w:w="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190" w:type="dxa"/>
            <w:gridSpan w:val="4"/>
            <w:shd w:val="clear" w:color="auto" w:fill="auto"/>
            <w:vAlign w:val="center"/>
          </w:tcPr>
          <w:p>
            <w:pPr>
              <w:pStyle w:val="36"/>
            </w:pPr>
            <w:r>
              <w:rPr>
                <w:rFonts w:hint="eastAsia"/>
              </w:rPr>
              <w:t>“三线一单”的具体要求</w:t>
            </w:r>
          </w:p>
        </w:tc>
        <w:tc>
          <w:tcPr>
            <w:tcW w:w="1302" w:type="dxa"/>
            <w:vMerge w:val="restart"/>
            <w:shd w:val="clear" w:color="auto" w:fill="auto"/>
            <w:vAlign w:val="center"/>
          </w:tcPr>
          <w:p>
            <w:pPr>
              <w:pStyle w:val="36"/>
            </w:pPr>
            <w:r>
              <w:rPr>
                <w:rFonts w:hint="eastAsia"/>
              </w:rPr>
              <w:t>项目对应情况介绍</w:t>
            </w:r>
          </w:p>
        </w:tc>
        <w:tc>
          <w:tcPr>
            <w:tcW w:w="696" w:type="dxa"/>
            <w:vMerge w:val="restart"/>
            <w:shd w:val="clear" w:color="auto" w:fill="auto"/>
            <w:vAlign w:val="center"/>
          </w:tcPr>
          <w:p>
            <w:pPr>
              <w:pStyle w:val="36"/>
            </w:pPr>
            <w:r>
              <w:rPr>
                <w:rFonts w:hint="eastAsia"/>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873" w:type="dxa"/>
            <w:gridSpan w:val="3"/>
            <w:shd w:val="clear" w:color="auto" w:fill="auto"/>
            <w:vAlign w:val="center"/>
          </w:tcPr>
          <w:p>
            <w:pPr>
              <w:pStyle w:val="36"/>
            </w:pPr>
            <w:r>
              <w:rPr>
                <w:rFonts w:hint="eastAsia"/>
              </w:rPr>
              <w:t>类别</w:t>
            </w:r>
          </w:p>
        </w:tc>
        <w:tc>
          <w:tcPr>
            <w:tcW w:w="7317" w:type="dxa"/>
            <w:shd w:val="clear" w:color="auto" w:fill="auto"/>
            <w:vAlign w:val="center"/>
          </w:tcPr>
          <w:p>
            <w:pPr>
              <w:pStyle w:val="36"/>
            </w:pPr>
            <w:r>
              <w:rPr>
                <w:rFonts w:hint="eastAsia"/>
              </w:rPr>
              <w:t>对应管控要求</w:t>
            </w:r>
          </w:p>
        </w:tc>
        <w:tc>
          <w:tcPr>
            <w:tcW w:w="1302" w:type="dxa"/>
            <w:vMerge w:val="continue"/>
            <w:vAlign w:val="center"/>
          </w:tcPr>
          <w:p>
            <w:pPr>
              <w:pStyle w:val="36"/>
            </w:pPr>
          </w:p>
        </w:tc>
        <w:tc>
          <w:tcPr>
            <w:tcW w:w="696" w:type="dxa"/>
            <w:vMerge w:val="continue"/>
            <w:vAlign w:val="center"/>
          </w:tcPr>
          <w:p>
            <w:pPr>
              <w:pStyle w:val="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3" w:type="dxa"/>
            <w:vMerge w:val="restart"/>
            <w:shd w:val="clear" w:color="auto" w:fill="auto"/>
            <w:vAlign w:val="center"/>
          </w:tcPr>
          <w:p>
            <w:pPr>
              <w:pStyle w:val="36"/>
            </w:pPr>
            <w:r>
              <w:rPr>
                <w:rFonts w:hint="eastAsia" w:ascii="宋体" w:hAnsi="宋体"/>
                <w:szCs w:val="21"/>
              </w:rPr>
              <w:t>YS5109212220001水环境城镇生活污染重点管控区芝溪河-蓬溪县-涪山坝-控制单元</w:t>
            </w:r>
          </w:p>
        </w:tc>
        <w:tc>
          <w:tcPr>
            <w:tcW w:w="2306" w:type="dxa"/>
            <w:vMerge w:val="restart"/>
            <w:shd w:val="clear" w:color="auto" w:fill="auto"/>
            <w:vAlign w:val="center"/>
          </w:tcPr>
          <w:p>
            <w:pPr>
              <w:pStyle w:val="36"/>
            </w:pPr>
            <w:r>
              <w:rPr>
                <w:rFonts w:hint="eastAsia"/>
              </w:rPr>
              <w:t>普适性清单管控要求</w:t>
            </w:r>
          </w:p>
        </w:tc>
        <w:tc>
          <w:tcPr>
            <w:tcW w:w="1874" w:type="dxa"/>
            <w:shd w:val="clear" w:color="auto" w:fill="auto"/>
            <w:vAlign w:val="center"/>
          </w:tcPr>
          <w:p>
            <w:pPr>
              <w:pStyle w:val="36"/>
            </w:pPr>
            <w:r>
              <w:rPr>
                <w:rFonts w:hint="eastAsia"/>
              </w:rPr>
              <w:t>空间布局约束</w:t>
            </w:r>
          </w:p>
        </w:tc>
        <w:tc>
          <w:tcPr>
            <w:tcW w:w="7317" w:type="dxa"/>
            <w:shd w:val="clear" w:color="auto" w:fill="auto"/>
            <w:vAlign w:val="center"/>
          </w:tcPr>
          <w:p>
            <w:pPr>
              <w:pStyle w:val="36"/>
            </w:pPr>
            <w:r>
              <w:rPr>
                <w:rFonts w:hint="eastAsia"/>
              </w:rPr>
              <w:t>/</w:t>
            </w:r>
          </w:p>
        </w:tc>
        <w:tc>
          <w:tcPr>
            <w:tcW w:w="1302" w:type="dxa"/>
            <w:shd w:val="clear" w:color="auto" w:fill="auto"/>
            <w:vAlign w:val="center"/>
          </w:tcPr>
          <w:p>
            <w:pPr>
              <w:pStyle w:val="36"/>
            </w:pPr>
            <w:r>
              <w:rPr>
                <w:rFonts w:hint="eastAsia"/>
              </w:rPr>
              <w:t>/</w:t>
            </w:r>
          </w:p>
        </w:tc>
        <w:tc>
          <w:tcPr>
            <w:tcW w:w="696" w:type="dxa"/>
            <w:shd w:val="clear" w:color="auto" w:fill="auto"/>
            <w:vAlign w:val="center"/>
          </w:tcPr>
          <w:p>
            <w:pPr>
              <w:pStyle w:val="36"/>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3" w:type="dxa"/>
            <w:vMerge w:val="continue"/>
            <w:vAlign w:val="center"/>
          </w:tcPr>
          <w:p>
            <w:pPr>
              <w:pStyle w:val="36"/>
            </w:pPr>
          </w:p>
        </w:tc>
        <w:tc>
          <w:tcPr>
            <w:tcW w:w="2306" w:type="dxa"/>
            <w:vMerge w:val="continue"/>
            <w:vAlign w:val="center"/>
          </w:tcPr>
          <w:p>
            <w:pPr>
              <w:pStyle w:val="36"/>
            </w:pPr>
          </w:p>
        </w:tc>
        <w:tc>
          <w:tcPr>
            <w:tcW w:w="1874" w:type="dxa"/>
            <w:shd w:val="clear" w:color="auto" w:fill="auto"/>
            <w:vAlign w:val="center"/>
          </w:tcPr>
          <w:p>
            <w:pPr>
              <w:pStyle w:val="36"/>
            </w:pPr>
            <w:r>
              <w:rPr>
                <w:rFonts w:hint="eastAsia"/>
              </w:rPr>
              <w:t>污染物排放管控</w:t>
            </w:r>
          </w:p>
        </w:tc>
        <w:tc>
          <w:tcPr>
            <w:tcW w:w="7317" w:type="dxa"/>
            <w:shd w:val="clear" w:color="auto" w:fill="auto"/>
            <w:vAlign w:val="center"/>
          </w:tcPr>
          <w:p>
            <w:pPr>
              <w:pStyle w:val="36"/>
            </w:pPr>
            <w:r>
              <w:rPr>
                <w:rFonts w:hint="eastAsia"/>
              </w:rPr>
              <w:t>/</w:t>
            </w:r>
          </w:p>
        </w:tc>
        <w:tc>
          <w:tcPr>
            <w:tcW w:w="1302" w:type="dxa"/>
            <w:shd w:val="clear" w:color="auto" w:fill="auto"/>
            <w:vAlign w:val="center"/>
          </w:tcPr>
          <w:p>
            <w:pPr>
              <w:pStyle w:val="36"/>
            </w:pPr>
            <w:r>
              <w:rPr>
                <w:rFonts w:hint="eastAsia"/>
              </w:rPr>
              <w:t>/</w:t>
            </w:r>
          </w:p>
        </w:tc>
        <w:tc>
          <w:tcPr>
            <w:tcW w:w="696" w:type="dxa"/>
            <w:shd w:val="clear" w:color="auto" w:fill="auto"/>
            <w:vAlign w:val="center"/>
          </w:tcPr>
          <w:p>
            <w:pPr>
              <w:pStyle w:val="36"/>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3" w:type="dxa"/>
            <w:vMerge w:val="continue"/>
            <w:vAlign w:val="center"/>
          </w:tcPr>
          <w:p>
            <w:pPr>
              <w:pStyle w:val="36"/>
            </w:pPr>
          </w:p>
        </w:tc>
        <w:tc>
          <w:tcPr>
            <w:tcW w:w="2306" w:type="dxa"/>
            <w:vMerge w:val="continue"/>
            <w:vAlign w:val="center"/>
          </w:tcPr>
          <w:p>
            <w:pPr>
              <w:pStyle w:val="36"/>
            </w:pPr>
          </w:p>
        </w:tc>
        <w:tc>
          <w:tcPr>
            <w:tcW w:w="1874" w:type="dxa"/>
            <w:shd w:val="clear" w:color="auto" w:fill="auto"/>
            <w:vAlign w:val="center"/>
          </w:tcPr>
          <w:p>
            <w:pPr>
              <w:pStyle w:val="36"/>
            </w:pPr>
            <w:r>
              <w:rPr>
                <w:rFonts w:hint="eastAsia"/>
              </w:rPr>
              <w:t>环境风险防控</w:t>
            </w:r>
          </w:p>
        </w:tc>
        <w:tc>
          <w:tcPr>
            <w:tcW w:w="7317" w:type="dxa"/>
            <w:shd w:val="clear" w:color="auto" w:fill="auto"/>
            <w:vAlign w:val="center"/>
          </w:tcPr>
          <w:p>
            <w:pPr>
              <w:pStyle w:val="36"/>
            </w:pPr>
            <w:r>
              <w:rPr>
                <w:rFonts w:hint="eastAsia"/>
              </w:rPr>
              <w:t>/</w:t>
            </w:r>
          </w:p>
        </w:tc>
        <w:tc>
          <w:tcPr>
            <w:tcW w:w="1302" w:type="dxa"/>
            <w:shd w:val="clear" w:color="auto" w:fill="auto"/>
            <w:vAlign w:val="center"/>
          </w:tcPr>
          <w:p>
            <w:pPr>
              <w:pStyle w:val="36"/>
            </w:pPr>
            <w:r>
              <w:rPr>
                <w:rFonts w:hint="eastAsia"/>
              </w:rPr>
              <w:t>/</w:t>
            </w:r>
          </w:p>
        </w:tc>
        <w:tc>
          <w:tcPr>
            <w:tcW w:w="696" w:type="dxa"/>
            <w:shd w:val="clear" w:color="auto" w:fill="auto"/>
            <w:vAlign w:val="center"/>
          </w:tcPr>
          <w:p>
            <w:pPr>
              <w:pStyle w:val="36"/>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3" w:type="dxa"/>
            <w:vMerge w:val="continue"/>
            <w:vAlign w:val="center"/>
          </w:tcPr>
          <w:p>
            <w:pPr>
              <w:pStyle w:val="36"/>
            </w:pPr>
          </w:p>
        </w:tc>
        <w:tc>
          <w:tcPr>
            <w:tcW w:w="2306" w:type="dxa"/>
            <w:vMerge w:val="continue"/>
            <w:vAlign w:val="center"/>
          </w:tcPr>
          <w:p>
            <w:pPr>
              <w:pStyle w:val="36"/>
            </w:pPr>
          </w:p>
        </w:tc>
        <w:tc>
          <w:tcPr>
            <w:tcW w:w="1874" w:type="dxa"/>
            <w:shd w:val="clear" w:color="auto" w:fill="auto"/>
            <w:vAlign w:val="center"/>
          </w:tcPr>
          <w:p>
            <w:pPr>
              <w:pStyle w:val="36"/>
            </w:pPr>
            <w:r>
              <w:rPr>
                <w:rFonts w:hint="eastAsia"/>
              </w:rPr>
              <w:t>资源开发效率要求</w:t>
            </w:r>
          </w:p>
        </w:tc>
        <w:tc>
          <w:tcPr>
            <w:tcW w:w="7317" w:type="dxa"/>
            <w:shd w:val="clear" w:color="auto" w:fill="auto"/>
            <w:vAlign w:val="center"/>
          </w:tcPr>
          <w:p>
            <w:pPr>
              <w:pStyle w:val="36"/>
            </w:pPr>
            <w:r>
              <w:rPr>
                <w:rFonts w:hint="eastAsia"/>
              </w:rPr>
              <w:t>/</w:t>
            </w:r>
          </w:p>
        </w:tc>
        <w:tc>
          <w:tcPr>
            <w:tcW w:w="1302" w:type="dxa"/>
            <w:shd w:val="clear" w:color="auto" w:fill="auto"/>
            <w:vAlign w:val="center"/>
          </w:tcPr>
          <w:p>
            <w:pPr>
              <w:pStyle w:val="36"/>
            </w:pPr>
            <w:r>
              <w:rPr>
                <w:rFonts w:hint="eastAsia"/>
              </w:rPr>
              <w:t>/</w:t>
            </w:r>
          </w:p>
        </w:tc>
        <w:tc>
          <w:tcPr>
            <w:tcW w:w="696" w:type="dxa"/>
            <w:shd w:val="clear" w:color="auto" w:fill="auto"/>
            <w:vAlign w:val="center"/>
          </w:tcPr>
          <w:p>
            <w:pPr>
              <w:pStyle w:val="36"/>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3" w:type="dxa"/>
            <w:vMerge w:val="continue"/>
            <w:vAlign w:val="center"/>
          </w:tcPr>
          <w:p>
            <w:pPr>
              <w:pStyle w:val="36"/>
            </w:pPr>
          </w:p>
        </w:tc>
        <w:tc>
          <w:tcPr>
            <w:tcW w:w="2306" w:type="dxa"/>
            <w:vMerge w:val="restart"/>
            <w:shd w:val="clear" w:color="auto" w:fill="auto"/>
            <w:vAlign w:val="center"/>
          </w:tcPr>
          <w:p>
            <w:pPr>
              <w:pStyle w:val="36"/>
            </w:pPr>
            <w:r>
              <w:rPr>
                <w:rFonts w:hint="eastAsia"/>
              </w:rPr>
              <w:t>单元级清单管控要求</w:t>
            </w:r>
          </w:p>
        </w:tc>
        <w:tc>
          <w:tcPr>
            <w:tcW w:w="1874" w:type="dxa"/>
            <w:shd w:val="clear" w:color="auto" w:fill="auto"/>
            <w:vAlign w:val="center"/>
          </w:tcPr>
          <w:p>
            <w:pPr>
              <w:pStyle w:val="36"/>
            </w:pPr>
            <w:r>
              <w:rPr>
                <w:rFonts w:hint="eastAsia"/>
              </w:rPr>
              <w:t>空间布局约束</w:t>
            </w:r>
          </w:p>
        </w:tc>
        <w:tc>
          <w:tcPr>
            <w:tcW w:w="7317" w:type="dxa"/>
            <w:shd w:val="clear" w:color="auto" w:fill="auto"/>
            <w:vAlign w:val="center"/>
          </w:tcPr>
          <w:p>
            <w:pPr>
              <w:pStyle w:val="36"/>
            </w:pPr>
            <w:r>
              <w:rPr>
                <w:rFonts w:hint="eastAsia"/>
              </w:rPr>
              <w:t>/</w:t>
            </w:r>
          </w:p>
        </w:tc>
        <w:tc>
          <w:tcPr>
            <w:tcW w:w="1302" w:type="dxa"/>
            <w:shd w:val="clear" w:color="auto" w:fill="auto"/>
            <w:vAlign w:val="center"/>
          </w:tcPr>
          <w:p>
            <w:pPr>
              <w:pStyle w:val="36"/>
            </w:pPr>
            <w:r>
              <w:rPr>
                <w:rFonts w:hint="eastAsia"/>
              </w:rPr>
              <w:t>/</w:t>
            </w:r>
          </w:p>
        </w:tc>
        <w:tc>
          <w:tcPr>
            <w:tcW w:w="696" w:type="dxa"/>
            <w:shd w:val="clear" w:color="auto" w:fill="auto"/>
            <w:vAlign w:val="center"/>
          </w:tcPr>
          <w:p>
            <w:pPr>
              <w:pStyle w:val="36"/>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3" w:type="dxa"/>
            <w:vMerge w:val="continue"/>
            <w:vAlign w:val="center"/>
          </w:tcPr>
          <w:p>
            <w:pPr>
              <w:pStyle w:val="36"/>
            </w:pPr>
          </w:p>
        </w:tc>
        <w:tc>
          <w:tcPr>
            <w:tcW w:w="2306" w:type="dxa"/>
            <w:vMerge w:val="continue"/>
            <w:vAlign w:val="center"/>
          </w:tcPr>
          <w:p>
            <w:pPr>
              <w:pStyle w:val="36"/>
            </w:pPr>
          </w:p>
        </w:tc>
        <w:tc>
          <w:tcPr>
            <w:tcW w:w="1874" w:type="dxa"/>
            <w:shd w:val="clear" w:color="auto" w:fill="auto"/>
            <w:vAlign w:val="center"/>
          </w:tcPr>
          <w:p>
            <w:pPr>
              <w:pStyle w:val="36"/>
            </w:pPr>
            <w:r>
              <w:rPr>
                <w:rFonts w:hint="eastAsia"/>
              </w:rPr>
              <w:t>污染物排放管控</w:t>
            </w:r>
          </w:p>
        </w:tc>
        <w:tc>
          <w:tcPr>
            <w:tcW w:w="7317" w:type="dxa"/>
            <w:shd w:val="clear" w:color="auto" w:fill="auto"/>
            <w:vAlign w:val="center"/>
          </w:tcPr>
          <w:p>
            <w:pPr>
              <w:pStyle w:val="36"/>
              <w:jc w:val="left"/>
            </w:pPr>
            <w:r>
              <w:rPr>
                <w:rFonts w:hint="eastAsia"/>
              </w:rPr>
              <w:t>城镇污水污染控制措施要求</w:t>
            </w:r>
          </w:p>
          <w:p>
            <w:pPr>
              <w:pStyle w:val="36"/>
              <w:jc w:val="left"/>
            </w:pPr>
            <w:r>
              <w:rPr>
                <w:rFonts w:hint="eastAsia"/>
              </w:rPr>
              <w:t>1、提升污水收集率，完善城镇生活污水收集系统，推进城镇污水管网全覆盖；对进水情况出现明显异常的污水处理厂，开展片区管网系统化整治，现有污水处理厂进水生化需氧量(BOD)浓度低于100毫克/升的城市，要制定系统化整治方案；开展旱天生活污水直排口溯源治理。2、提升城镇生活污水处理能力，加快补齐处理能力缺口。3、强化城镇污水处理设施运行管理，按要求达标排放。4、提升污水处理设施除磷水平，鼓励在污水处理厂排污口下游因地制宜建设人工湿地，推进达标尾水深度“去磷”。5、强化汛期生活污水溢流处理，推进城市建成区初期雨水收集处理及资源化利用设施建设。6、加强生活污水再生利用设施建设，在重点排污口下游、河流入湖口、支流入干流处，因地制宜实施区域再生水循环利用工程。7、健全城镇生活垃圾收集、转运、处理系统。</w:t>
            </w:r>
          </w:p>
          <w:p>
            <w:pPr>
              <w:pStyle w:val="36"/>
              <w:jc w:val="left"/>
            </w:pPr>
            <w:r>
              <w:rPr>
                <w:rFonts w:hint="eastAsia"/>
              </w:rPr>
              <w:t>工业废水污染控制措施要求</w:t>
            </w:r>
          </w:p>
          <w:p>
            <w:pPr>
              <w:pStyle w:val="36"/>
              <w:jc w:val="left"/>
            </w:pPr>
            <w:r>
              <w:rPr>
                <w:rFonts w:hint="eastAsia"/>
              </w:rPr>
              <w:t>1、对不符合国土空间规划的现有工业企业，污染物排放总量及环境风险水平只降不增，引导企业适时搬迁进入对口园区。2、对工业废水进入市政污水收集设施情况进行排查，组织开展评估，经评估认定污染物不能被城镇污水处理厂有效处理或可能影响污水处理厂出水稳定达标的，应限期退出。</w:t>
            </w:r>
          </w:p>
          <w:p>
            <w:pPr>
              <w:pStyle w:val="36"/>
              <w:jc w:val="left"/>
            </w:pPr>
          </w:p>
        </w:tc>
        <w:tc>
          <w:tcPr>
            <w:tcW w:w="1302" w:type="dxa"/>
            <w:shd w:val="clear" w:color="auto" w:fill="auto"/>
            <w:vAlign w:val="center"/>
          </w:tcPr>
          <w:p>
            <w:pPr>
              <w:pStyle w:val="36"/>
            </w:pPr>
            <w:r>
              <w:rPr>
                <w:rFonts w:hint="eastAsia"/>
              </w:rPr>
              <w:t>本项目施工期废水处理措施较为完善，</w:t>
            </w:r>
            <w:r>
              <w:rPr>
                <w:spacing w:val="-2"/>
              </w:rPr>
              <w:t>本项目为生态影响类项目，竣工后无废水产生，</w:t>
            </w:r>
            <w:r>
              <w:rPr>
                <w:rFonts w:hint="eastAsia"/>
              </w:rPr>
              <w:t>与要求相符</w:t>
            </w:r>
          </w:p>
        </w:tc>
        <w:tc>
          <w:tcPr>
            <w:tcW w:w="696" w:type="dxa"/>
            <w:shd w:val="clear" w:color="auto" w:fill="auto"/>
            <w:vAlign w:val="center"/>
          </w:tcPr>
          <w:p>
            <w:pPr>
              <w:pStyle w:val="36"/>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3" w:type="dxa"/>
            <w:vMerge w:val="continue"/>
            <w:vAlign w:val="center"/>
          </w:tcPr>
          <w:p>
            <w:pPr>
              <w:pStyle w:val="36"/>
            </w:pPr>
          </w:p>
        </w:tc>
        <w:tc>
          <w:tcPr>
            <w:tcW w:w="2306" w:type="dxa"/>
            <w:vMerge w:val="continue"/>
            <w:vAlign w:val="center"/>
          </w:tcPr>
          <w:p>
            <w:pPr>
              <w:pStyle w:val="36"/>
            </w:pPr>
          </w:p>
        </w:tc>
        <w:tc>
          <w:tcPr>
            <w:tcW w:w="1874" w:type="dxa"/>
            <w:shd w:val="clear" w:color="auto" w:fill="auto"/>
            <w:vAlign w:val="center"/>
          </w:tcPr>
          <w:p>
            <w:pPr>
              <w:pStyle w:val="36"/>
            </w:pPr>
            <w:r>
              <w:rPr>
                <w:rFonts w:hint="eastAsia"/>
              </w:rPr>
              <w:t>环境风险防控</w:t>
            </w:r>
          </w:p>
        </w:tc>
        <w:tc>
          <w:tcPr>
            <w:tcW w:w="7317" w:type="dxa"/>
            <w:shd w:val="clear" w:color="auto" w:fill="auto"/>
            <w:vAlign w:val="center"/>
          </w:tcPr>
          <w:p>
            <w:pPr>
              <w:pStyle w:val="36"/>
              <w:jc w:val="left"/>
            </w:pPr>
            <w:r>
              <w:rPr>
                <w:rFonts w:hint="eastAsia" w:ascii="宋体" w:hAnsi="宋体"/>
                <w:szCs w:val="21"/>
              </w:rPr>
              <w:t>防范污水处理厂、加油站、其他物料堆存场所泄露风险，建立健全防泄漏设施，完善应急体系</w:t>
            </w:r>
          </w:p>
        </w:tc>
        <w:tc>
          <w:tcPr>
            <w:tcW w:w="1302" w:type="dxa"/>
            <w:shd w:val="clear" w:color="auto" w:fill="auto"/>
            <w:vAlign w:val="center"/>
          </w:tcPr>
          <w:p>
            <w:pPr>
              <w:pStyle w:val="36"/>
            </w:pPr>
            <w:r>
              <w:rPr>
                <w:rFonts w:hint="eastAsia"/>
              </w:rPr>
              <w:t>本项目已完善环境风险防范和管理体系建设</w:t>
            </w:r>
          </w:p>
        </w:tc>
        <w:tc>
          <w:tcPr>
            <w:tcW w:w="696" w:type="dxa"/>
            <w:shd w:val="clear" w:color="auto" w:fill="auto"/>
            <w:vAlign w:val="center"/>
          </w:tcPr>
          <w:p>
            <w:pPr>
              <w:pStyle w:val="36"/>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3" w:type="dxa"/>
            <w:vMerge w:val="continue"/>
            <w:vAlign w:val="center"/>
          </w:tcPr>
          <w:p>
            <w:pPr>
              <w:pStyle w:val="36"/>
            </w:pPr>
          </w:p>
        </w:tc>
        <w:tc>
          <w:tcPr>
            <w:tcW w:w="2306" w:type="dxa"/>
            <w:vMerge w:val="continue"/>
            <w:vAlign w:val="center"/>
          </w:tcPr>
          <w:p>
            <w:pPr>
              <w:pStyle w:val="36"/>
            </w:pPr>
          </w:p>
        </w:tc>
        <w:tc>
          <w:tcPr>
            <w:tcW w:w="1874" w:type="dxa"/>
            <w:shd w:val="clear" w:color="auto" w:fill="auto"/>
            <w:vAlign w:val="center"/>
          </w:tcPr>
          <w:p>
            <w:pPr>
              <w:pStyle w:val="36"/>
            </w:pPr>
            <w:r>
              <w:rPr>
                <w:rFonts w:hint="eastAsia"/>
              </w:rPr>
              <w:t>资源开发效率要求</w:t>
            </w:r>
          </w:p>
        </w:tc>
        <w:tc>
          <w:tcPr>
            <w:tcW w:w="7317" w:type="dxa"/>
            <w:shd w:val="clear" w:color="auto" w:fill="auto"/>
            <w:vAlign w:val="center"/>
          </w:tcPr>
          <w:p>
            <w:pPr>
              <w:pStyle w:val="36"/>
              <w:jc w:val="left"/>
            </w:pPr>
            <w:r>
              <w:rPr>
                <w:rFonts w:hint="eastAsia"/>
              </w:rPr>
              <w:t>/</w:t>
            </w:r>
          </w:p>
        </w:tc>
        <w:tc>
          <w:tcPr>
            <w:tcW w:w="1302" w:type="dxa"/>
            <w:shd w:val="clear" w:color="auto" w:fill="auto"/>
            <w:vAlign w:val="center"/>
          </w:tcPr>
          <w:p>
            <w:pPr>
              <w:pStyle w:val="36"/>
            </w:pPr>
            <w:r>
              <w:rPr>
                <w:rFonts w:hint="eastAsia"/>
              </w:rPr>
              <w:t>/</w:t>
            </w:r>
          </w:p>
        </w:tc>
        <w:tc>
          <w:tcPr>
            <w:tcW w:w="696" w:type="dxa"/>
            <w:shd w:val="clear" w:color="auto" w:fill="auto"/>
            <w:vAlign w:val="center"/>
          </w:tcPr>
          <w:p>
            <w:pPr>
              <w:pStyle w:val="36"/>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3" w:type="dxa"/>
            <w:vMerge w:val="restart"/>
            <w:shd w:val="clear" w:color="auto" w:fill="auto"/>
            <w:vAlign w:val="center"/>
          </w:tcPr>
          <w:p>
            <w:pPr>
              <w:pStyle w:val="36"/>
            </w:pPr>
            <w:r>
              <w:rPr>
                <w:rFonts w:hint="eastAsia" w:ascii="宋体" w:hAnsi="宋体"/>
                <w:szCs w:val="21"/>
              </w:rPr>
              <w:t>YS5109212340001大气环境受体敏感重点管控区蓬溪县城镇集中建设区</w:t>
            </w:r>
          </w:p>
        </w:tc>
        <w:tc>
          <w:tcPr>
            <w:tcW w:w="2306" w:type="dxa"/>
            <w:vMerge w:val="restart"/>
            <w:shd w:val="clear" w:color="auto" w:fill="auto"/>
            <w:vAlign w:val="center"/>
          </w:tcPr>
          <w:p>
            <w:pPr>
              <w:pStyle w:val="36"/>
            </w:pPr>
            <w:r>
              <w:rPr>
                <w:rFonts w:hint="eastAsia"/>
              </w:rPr>
              <w:t>普适性清单管控要求</w:t>
            </w:r>
          </w:p>
        </w:tc>
        <w:tc>
          <w:tcPr>
            <w:tcW w:w="1874" w:type="dxa"/>
            <w:shd w:val="clear" w:color="auto" w:fill="auto"/>
            <w:vAlign w:val="center"/>
          </w:tcPr>
          <w:p>
            <w:pPr>
              <w:pStyle w:val="36"/>
            </w:pPr>
            <w:r>
              <w:rPr>
                <w:rFonts w:hint="eastAsia"/>
              </w:rPr>
              <w:t>空间布局约束</w:t>
            </w:r>
          </w:p>
        </w:tc>
        <w:tc>
          <w:tcPr>
            <w:tcW w:w="7317" w:type="dxa"/>
            <w:shd w:val="clear" w:color="auto" w:fill="auto"/>
            <w:vAlign w:val="center"/>
          </w:tcPr>
          <w:p>
            <w:pPr>
              <w:pStyle w:val="36"/>
              <w:jc w:val="left"/>
            </w:pPr>
            <w:r>
              <w:rPr>
                <w:rFonts w:hint="eastAsia"/>
              </w:rPr>
              <w:t>/</w:t>
            </w:r>
          </w:p>
        </w:tc>
        <w:tc>
          <w:tcPr>
            <w:tcW w:w="1302" w:type="dxa"/>
            <w:shd w:val="clear" w:color="auto" w:fill="auto"/>
            <w:vAlign w:val="center"/>
          </w:tcPr>
          <w:p>
            <w:pPr>
              <w:pStyle w:val="36"/>
            </w:pPr>
            <w:r>
              <w:rPr>
                <w:rFonts w:hint="eastAsia"/>
              </w:rPr>
              <w:t>/</w:t>
            </w:r>
          </w:p>
        </w:tc>
        <w:tc>
          <w:tcPr>
            <w:tcW w:w="696" w:type="dxa"/>
            <w:shd w:val="clear" w:color="auto" w:fill="auto"/>
            <w:vAlign w:val="center"/>
          </w:tcPr>
          <w:p>
            <w:pPr>
              <w:pStyle w:val="36"/>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3" w:type="dxa"/>
            <w:vMerge w:val="continue"/>
            <w:vAlign w:val="center"/>
          </w:tcPr>
          <w:p>
            <w:pPr>
              <w:pStyle w:val="36"/>
            </w:pPr>
          </w:p>
        </w:tc>
        <w:tc>
          <w:tcPr>
            <w:tcW w:w="2306" w:type="dxa"/>
            <w:vMerge w:val="continue"/>
            <w:vAlign w:val="center"/>
          </w:tcPr>
          <w:p>
            <w:pPr>
              <w:pStyle w:val="36"/>
            </w:pPr>
          </w:p>
        </w:tc>
        <w:tc>
          <w:tcPr>
            <w:tcW w:w="1874" w:type="dxa"/>
            <w:shd w:val="clear" w:color="auto" w:fill="auto"/>
            <w:vAlign w:val="center"/>
          </w:tcPr>
          <w:p>
            <w:pPr>
              <w:pStyle w:val="36"/>
            </w:pPr>
            <w:r>
              <w:rPr>
                <w:rFonts w:hint="eastAsia"/>
              </w:rPr>
              <w:t>污染物排放管控</w:t>
            </w:r>
          </w:p>
        </w:tc>
        <w:tc>
          <w:tcPr>
            <w:tcW w:w="7317" w:type="dxa"/>
            <w:shd w:val="clear" w:color="auto" w:fill="auto"/>
            <w:vAlign w:val="center"/>
          </w:tcPr>
          <w:p>
            <w:pPr>
              <w:pStyle w:val="36"/>
              <w:jc w:val="left"/>
            </w:pPr>
            <w:r>
              <w:rPr>
                <w:rFonts w:hint="eastAsia"/>
              </w:rPr>
              <w:t>/</w:t>
            </w:r>
          </w:p>
        </w:tc>
        <w:tc>
          <w:tcPr>
            <w:tcW w:w="1302" w:type="dxa"/>
            <w:shd w:val="clear" w:color="auto" w:fill="auto"/>
            <w:vAlign w:val="center"/>
          </w:tcPr>
          <w:p>
            <w:pPr>
              <w:pStyle w:val="36"/>
            </w:pPr>
            <w:r>
              <w:rPr>
                <w:rFonts w:hint="eastAsia"/>
              </w:rPr>
              <w:t>/</w:t>
            </w:r>
          </w:p>
        </w:tc>
        <w:tc>
          <w:tcPr>
            <w:tcW w:w="696" w:type="dxa"/>
            <w:shd w:val="clear" w:color="auto" w:fill="auto"/>
            <w:vAlign w:val="center"/>
          </w:tcPr>
          <w:p>
            <w:pPr>
              <w:pStyle w:val="36"/>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3" w:type="dxa"/>
            <w:vMerge w:val="continue"/>
            <w:vAlign w:val="center"/>
          </w:tcPr>
          <w:p>
            <w:pPr>
              <w:pStyle w:val="36"/>
            </w:pPr>
          </w:p>
        </w:tc>
        <w:tc>
          <w:tcPr>
            <w:tcW w:w="2306" w:type="dxa"/>
            <w:vMerge w:val="continue"/>
            <w:vAlign w:val="center"/>
          </w:tcPr>
          <w:p>
            <w:pPr>
              <w:pStyle w:val="36"/>
            </w:pPr>
          </w:p>
        </w:tc>
        <w:tc>
          <w:tcPr>
            <w:tcW w:w="1874" w:type="dxa"/>
            <w:shd w:val="clear" w:color="auto" w:fill="auto"/>
            <w:vAlign w:val="center"/>
          </w:tcPr>
          <w:p>
            <w:pPr>
              <w:pStyle w:val="36"/>
            </w:pPr>
            <w:r>
              <w:rPr>
                <w:rFonts w:hint="eastAsia"/>
              </w:rPr>
              <w:t>环境风险防控</w:t>
            </w:r>
          </w:p>
        </w:tc>
        <w:tc>
          <w:tcPr>
            <w:tcW w:w="7317" w:type="dxa"/>
            <w:shd w:val="clear" w:color="auto" w:fill="auto"/>
            <w:vAlign w:val="center"/>
          </w:tcPr>
          <w:p>
            <w:pPr>
              <w:pStyle w:val="36"/>
              <w:jc w:val="left"/>
            </w:pPr>
            <w:r>
              <w:rPr>
                <w:rFonts w:hint="eastAsia"/>
              </w:rPr>
              <w:t>/</w:t>
            </w:r>
          </w:p>
        </w:tc>
        <w:tc>
          <w:tcPr>
            <w:tcW w:w="1302" w:type="dxa"/>
            <w:shd w:val="clear" w:color="auto" w:fill="auto"/>
            <w:vAlign w:val="center"/>
          </w:tcPr>
          <w:p>
            <w:pPr>
              <w:pStyle w:val="36"/>
            </w:pPr>
            <w:r>
              <w:rPr>
                <w:rFonts w:hint="eastAsia"/>
              </w:rPr>
              <w:t>/</w:t>
            </w:r>
          </w:p>
        </w:tc>
        <w:tc>
          <w:tcPr>
            <w:tcW w:w="696" w:type="dxa"/>
            <w:shd w:val="clear" w:color="auto" w:fill="auto"/>
            <w:vAlign w:val="center"/>
          </w:tcPr>
          <w:p>
            <w:pPr>
              <w:pStyle w:val="36"/>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3" w:type="dxa"/>
            <w:vMerge w:val="continue"/>
            <w:vAlign w:val="center"/>
          </w:tcPr>
          <w:p>
            <w:pPr>
              <w:pStyle w:val="36"/>
            </w:pPr>
          </w:p>
        </w:tc>
        <w:tc>
          <w:tcPr>
            <w:tcW w:w="2306" w:type="dxa"/>
            <w:vMerge w:val="continue"/>
            <w:vAlign w:val="center"/>
          </w:tcPr>
          <w:p>
            <w:pPr>
              <w:pStyle w:val="36"/>
            </w:pPr>
          </w:p>
        </w:tc>
        <w:tc>
          <w:tcPr>
            <w:tcW w:w="1874" w:type="dxa"/>
            <w:shd w:val="clear" w:color="auto" w:fill="auto"/>
            <w:vAlign w:val="center"/>
          </w:tcPr>
          <w:p>
            <w:pPr>
              <w:pStyle w:val="36"/>
            </w:pPr>
            <w:r>
              <w:rPr>
                <w:rFonts w:hint="eastAsia"/>
              </w:rPr>
              <w:t>资源开发效率要求</w:t>
            </w:r>
          </w:p>
        </w:tc>
        <w:tc>
          <w:tcPr>
            <w:tcW w:w="7317" w:type="dxa"/>
            <w:shd w:val="clear" w:color="auto" w:fill="auto"/>
            <w:vAlign w:val="center"/>
          </w:tcPr>
          <w:p>
            <w:pPr>
              <w:pStyle w:val="36"/>
              <w:jc w:val="left"/>
            </w:pPr>
            <w:r>
              <w:rPr>
                <w:rFonts w:hint="eastAsia"/>
              </w:rPr>
              <w:t>/</w:t>
            </w:r>
          </w:p>
        </w:tc>
        <w:tc>
          <w:tcPr>
            <w:tcW w:w="1302" w:type="dxa"/>
            <w:shd w:val="clear" w:color="auto" w:fill="auto"/>
            <w:vAlign w:val="center"/>
          </w:tcPr>
          <w:p>
            <w:pPr>
              <w:pStyle w:val="36"/>
            </w:pPr>
            <w:r>
              <w:rPr>
                <w:rFonts w:hint="eastAsia"/>
              </w:rPr>
              <w:t>/</w:t>
            </w:r>
          </w:p>
        </w:tc>
        <w:tc>
          <w:tcPr>
            <w:tcW w:w="696" w:type="dxa"/>
            <w:shd w:val="clear" w:color="auto" w:fill="auto"/>
            <w:vAlign w:val="center"/>
          </w:tcPr>
          <w:p>
            <w:pPr>
              <w:pStyle w:val="36"/>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3" w:type="dxa"/>
            <w:vMerge w:val="continue"/>
            <w:vAlign w:val="center"/>
          </w:tcPr>
          <w:p>
            <w:pPr>
              <w:pStyle w:val="36"/>
            </w:pPr>
          </w:p>
        </w:tc>
        <w:tc>
          <w:tcPr>
            <w:tcW w:w="2306" w:type="dxa"/>
            <w:vMerge w:val="restart"/>
            <w:shd w:val="clear" w:color="auto" w:fill="auto"/>
            <w:vAlign w:val="center"/>
          </w:tcPr>
          <w:p>
            <w:pPr>
              <w:pStyle w:val="36"/>
            </w:pPr>
            <w:r>
              <w:rPr>
                <w:rFonts w:hint="eastAsia"/>
              </w:rPr>
              <w:t>单元级清单管控要求</w:t>
            </w:r>
          </w:p>
        </w:tc>
        <w:tc>
          <w:tcPr>
            <w:tcW w:w="1874" w:type="dxa"/>
            <w:shd w:val="clear" w:color="auto" w:fill="auto"/>
            <w:vAlign w:val="center"/>
          </w:tcPr>
          <w:p>
            <w:pPr>
              <w:pStyle w:val="36"/>
            </w:pPr>
            <w:r>
              <w:rPr>
                <w:rFonts w:hint="eastAsia"/>
              </w:rPr>
              <w:t>空间布局约束</w:t>
            </w:r>
          </w:p>
        </w:tc>
        <w:tc>
          <w:tcPr>
            <w:tcW w:w="7317" w:type="dxa"/>
            <w:shd w:val="clear" w:color="auto" w:fill="auto"/>
            <w:vAlign w:val="center"/>
          </w:tcPr>
          <w:p>
            <w:pPr>
              <w:pStyle w:val="36"/>
              <w:jc w:val="left"/>
            </w:pPr>
            <w:r>
              <w:rPr>
                <w:rFonts w:hint="eastAsia"/>
              </w:rPr>
              <w:t>/</w:t>
            </w:r>
          </w:p>
        </w:tc>
        <w:tc>
          <w:tcPr>
            <w:tcW w:w="1302" w:type="dxa"/>
            <w:shd w:val="clear" w:color="auto" w:fill="auto"/>
            <w:vAlign w:val="center"/>
          </w:tcPr>
          <w:p>
            <w:pPr>
              <w:pStyle w:val="36"/>
            </w:pPr>
            <w:r>
              <w:rPr>
                <w:rFonts w:hint="eastAsia"/>
              </w:rPr>
              <w:t>/</w:t>
            </w:r>
          </w:p>
        </w:tc>
        <w:tc>
          <w:tcPr>
            <w:tcW w:w="696" w:type="dxa"/>
            <w:shd w:val="clear" w:color="auto" w:fill="auto"/>
            <w:vAlign w:val="center"/>
          </w:tcPr>
          <w:p>
            <w:pPr>
              <w:pStyle w:val="36"/>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3" w:type="dxa"/>
            <w:vMerge w:val="continue"/>
            <w:vAlign w:val="center"/>
          </w:tcPr>
          <w:p>
            <w:pPr>
              <w:pStyle w:val="36"/>
            </w:pPr>
          </w:p>
        </w:tc>
        <w:tc>
          <w:tcPr>
            <w:tcW w:w="2306" w:type="dxa"/>
            <w:vMerge w:val="continue"/>
            <w:vAlign w:val="center"/>
          </w:tcPr>
          <w:p>
            <w:pPr>
              <w:pStyle w:val="36"/>
            </w:pPr>
          </w:p>
        </w:tc>
        <w:tc>
          <w:tcPr>
            <w:tcW w:w="1874" w:type="dxa"/>
            <w:shd w:val="clear" w:color="auto" w:fill="auto"/>
            <w:vAlign w:val="center"/>
          </w:tcPr>
          <w:p>
            <w:pPr>
              <w:pStyle w:val="36"/>
            </w:pPr>
            <w:r>
              <w:rPr>
                <w:rFonts w:hint="eastAsia"/>
              </w:rPr>
              <w:t>污染物排放管控</w:t>
            </w:r>
          </w:p>
        </w:tc>
        <w:tc>
          <w:tcPr>
            <w:tcW w:w="7317" w:type="dxa"/>
            <w:shd w:val="clear" w:color="auto" w:fill="auto"/>
            <w:vAlign w:val="center"/>
          </w:tcPr>
          <w:p>
            <w:pPr>
              <w:pStyle w:val="36"/>
              <w:jc w:val="left"/>
              <w:rPr>
                <w:rFonts w:hint="eastAsia" w:ascii="宋体" w:hAnsi="宋体"/>
                <w:szCs w:val="21"/>
              </w:rPr>
            </w:pPr>
            <w:r>
              <w:rPr>
                <w:rFonts w:hint="eastAsia" w:ascii="宋体" w:hAnsi="宋体"/>
                <w:szCs w:val="21"/>
              </w:rPr>
              <w:t>大气环境质量执行标准</w:t>
            </w:r>
          </w:p>
          <w:p>
            <w:pPr>
              <w:pStyle w:val="36"/>
              <w:jc w:val="left"/>
              <w:rPr>
                <w:rFonts w:hint="eastAsia" w:ascii="宋体" w:hAnsi="宋体"/>
                <w:szCs w:val="21"/>
              </w:rPr>
            </w:pPr>
            <w:r>
              <w:rPr>
                <w:rFonts w:hint="eastAsia" w:ascii="宋体" w:hAnsi="宋体"/>
                <w:szCs w:val="21"/>
              </w:rPr>
              <w:t>《环境空气质量标准》（GB3095-2012）：二级</w:t>
            </w:r>
          </w:p>
          <w:p>
            <w:pPr>
              <w:pStyle w:val="36"/>
              <w:jc w:val="left"/>
              <w:rPr>
                <w:rFonts w:hint="eastAsia" w:ascii="宋体" w:hAnsi="宋体"/>
                <w:szCs w:val="21"/>
              </w:rPr>
            </w:pPr>
            <w:r>
              <w:rPr>
                <w:rFonts w:hint="eastAsia" w:ascii="宋体" w:hAnsi="宋体"/>
                <w:szCs w:val="21"/>
              </w:rPr>
              <w:t>区域大气污染物削减/替代要求</w:t>
            </w:r>
          </w:p>
          <w:p>
            <w:pPr>
              <w:pStyle w:val="36"/>
              <w:jc w:val="left"/>
              <w:rPr>
                <w:rFonts w:hint="eastAsia" w:ascii="宋体" w:hAnsi="宋体"/>
                <w:szCs w:val="21"/>
              </w:rPr>
            </w:pPr>
            <w:r>
              <w:rPr>
                <w:rFonts w:hint="eastAsia" w:ascii="宋体" w:hAnsi="宋体"/>
                <w:szCs w:val="21"/>
              </w:rPr>
              <w:t>机动车船大气污染控制要求</w:t>
            </w:r>
          </w:p>
          <w:p>
            <w:pPr>
              <w:pStyle w:val="36"/>
              <w:jc w:val="left"/>
              <w:rPr>
                <w:rFonts w:hint="eastAsia" w:ascii="宋体" w:hAnsi="宋体"/>
                <w:szCs w:val="21"/>
              </w:rPr>
            </w:pPr>
            <w:r>
              <w:rPr>
                <w:rFonts w:hint="eastAsia" w:ascii="宋体" w:hAnsi="宋体"/>
                <w:szCs w:val="21"/>
              </w:rPr>
              <w:t>加大新能源汽车在城市公交、出租汽车、城市配送、邮政快递、机场、铁路货场、重点地区港口等领域应用，地级以上城市清洁能源汽车在公共领域使用率显著提升，设区的市城市公交车基本实现新能源化。</w:t>
            </w:r>
          </w:p>
          <w:p>
            <w:pPr>
              <w:pStyle w:val="36"/>
              <w:jc w:val="left"/>
              <w:rPr>
                <w:rFonts w:hint="eastAsia" w:ascii="宋体" w:hAnsi="宋体"/>
                <w:szCs w:val="21"/>
              </w:rPr>
            </w:pPr>
            <w:r>
              <w:rPr>
                <w:rFonts w:hint="eastAsia" w:ascii="宋体" w:hAnsi="宋体"/>
                <w:szCs w:val="21"/>
              </w:rPr>
              <w:t>扬尘污染控制要求</w:t>
            </w:r>
          </w:p>
          <w:p>
            <w:pPr>
              <w:pStyle w:val="36"/>
              <w:jc w:val="left"/>
              <w:rPr>
                <w:rFonts w:hint="eastAsia" w:ascii="宋体" w:hAnsi="宋体"/>
                <w:szCs w:val="21"/>
              </w:rPr>
            </w:pPr>
            <w:r>
              <w:rPr>
                <w:rFonts w:hint="eastAsia" w:ascii="宋体" w:hAnsi="宋体"/>
                <w:szCs w:val="21"/>
              </w:rPr>
              <w:t>全面落实各类施工工地扬尘防控措施，重点、重大项目工地实现视频监控、可吸入颗粒物（PM10）在线监测全覆盖。</w:t>
            </w:r>
          </w:p>
          <w:p>
            <w:pPr>
              <w:pStyle w:val="36"/>
              <w:jc w:val="left"/>
              <w:rPr>
                <w:rFonts w:hint="eastAsia" w:ascii="宋体" w:hAnsi="宋体"/>
                <w:szCs w:val="21"/>
              </w:rPr>
            </w:pPr>
            <w:r>
              <w:rPr>
                <w:rFonts w:hint="eastAsia" w:ascii="宋体" w:hAnsi="宋体"/>
                <w:szCs w:val="21"/>
              </w:rPr>
              <w:t>其他大气污染物排放管控要求</w:t>
            </w:r>
          </w:p>
          <w:p>
            <w:pPr>
              <w:pStyle w:val="36"/>
              <w:jc w:val="left"/>
            </w:pPr>
            <w:r>
              <w:rPr>
                <w:rFonts w:hint="eastAsia" w:ascii="宋体" w:hAnsi="宋体"/>
                <w:szCs w:val="21"/>
              </w:rPr>
              <w:t>有序开展城市生活源VOCs污染防治，全面推广房屋建筑和市政工程涉VOCs工序环节使用低VOCs含量涂料和胶粘剂；推进加油站按照《四川省加油站大气污染排放标准》要求安装油气处理装置</w:t>
            </w:r>
          </w:p>
        </w:tc>
        <w:tc>
          <w:tcPr>
            <w:tcW w:w="1302" w:type="dxa"/>
            <w:shd w:val="clear" w:color="auto" w:fill="auto"/>
            <w:vAlign w:val="center"/>
          </w:tcPr>
          <w:p>
            <w:pPr>
              <w:pStyle w:val="36"/>
            </w:pPr>
            <w:r>
              <w:t>本工程为</w:t>
            </w:r>
            <w:r>
              <w:rPr>
                <w:rFonts w:hint="eastAsia"/>
              </w:rPr>
              <w:t>河湖整治与防洪除涝工程</w:t>
            </w:r>
            <w:r>
              <w:t>，</w:t>
            </w:r>
            <w:r>
              <w:rPr>
                <w:rFonts w:hint="eastAsia"/>
              </w:rPr>
              <w:t>本项目区域环境空气质量满足</w:t>
            </w:r>
          </w:p>
          <w:p>
            <w:pPr>
              <w:pStyle w:val="36"/>
            </w:pPr>
            <w:r>
              <w:rPr>
                <w:rFonts w:hint="eastAsia"/>
              </w:rPr>
              <w:t>《环境空气质量标准》（GB3095-2012）中二级标准</w:t>
            </w:r>
          </w:p>
        </w:tc>
        <w:tc>
          <w:tcPr>
            <w:tcW w:w="696" w:type="dxa"/>
            <w:shd w:val="clear" w:color="auto" w:fill="auto"/>
            <w:vAlign w:val="center"/>
          </w:tcPr>
          <w:p>
            <w:pPr>
              <w:pStyle w:val="36"/>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3" w:type="dxa"/>
            <w:vMerge w:val="continue"/>
            <w:vAlign w:val="center"/>
          </w:tcPr>
          <w:p>
            <w:pPr>
              <w:pStyle w:val="36"/>
            </w:pPr>
          </w:p>
        </w:tc>
        <w:tc>
          <w:tcPr>
            <w:tcW w:w="2306" w:type="dxa"/>
            <w:vMerge w:val="continue"/>
            <w:vAlign w:val="center"/>
          </w:tcPr>
          <w:p>
            <w:pPr>
              <w:pStyle w:val="36"/>
            </w:pPr>
          </w:p>
        </w:tc>
        <w:tc>
          <w:tcPr>
            <w:tcW w:w="1874" w:type="dxa"/>
            <w:shd w:val="clear" w:color="auto" w:fill="auto"/>
            <w:vAlign w:val="center"/>
          </w:tcPr>
          <w:p>
            <w:pPr>
              <w:pStyle w:val="36"/>
            </w:pPr>
            <w:r>
              <w:rPr>
                <w:rFonts w:hint="eastAsia"/>
              </w:rPr>
              <w:t>环境风险防控</w:t>
            </w:r>
          </w:p>
        </w:tc>
        <w:tc>
          <w:tcPr>
            <w:tcW w:w="7317" w:type="dxa"/>
            <w:shd w:val="clear" w:color="auto" w:fill="auto"/>
            <w:vAlign w:val="center"/>
          </w:tcPr>
          <w:p>
            <w:pPr>
              <w:pStyle w:val="36"/>
              <w:jc w:val="left"/>
            </w:pPr>
            <w:r>
              <w:rPr>
                <w:rFonts w:hint="eastAsia"/>
              </w:rPr>
              <w:t>/</w:t>
            </w:r>
          </w:p>
        </w:tc>
        <w:tc>
          <w:tcPr>
            <w:tcW w:w="1302" w:type="dxa"/>
            <w:shd w:val="clear" w:color="auto" w:fill="auto"/>
            <w:vAlign w:val="center"/>
          </w:tcPr>
          <w:p>
            <w:pPr>
              <w:pStyle w:val="36"/>
            </w:pPr>
            <w:r>
              <w:rPr>
                <w:rFonts w:hint="eastAsia"/>
              </w:rPr>
              <w:t>/</w:t>
            </w:r>
          </w:p>
        </w:tc>
        <w:tc>
          <w:tcPr>
            <w:tcW w:w="696" w:type="dxa"/>
            <w:shd w:val="clear" w:color="auto" w:fill="auto"/>
            <w:vAlign w:val="center"/>
          </w:tcPr>
          <w:p>
            <w:pPr>
              <w:pStyle w:val="36"/>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3" w:type="dxa"/>
            <w:vMerge w:val="continue"/>
            <w:vAlign w:val="center"/>
          </w:tcPr>
          <w:p>
            <w:pPr>
              <w:pStyle w:val="36"/>
            </w:pPr>
          </w:p>
        </w:tc>
        <w:tc>
          <w:tcPr>
            <w:tcW w:w="2306" w:type="dxa"/>
            <w:vMerge w:val="continue"/>
            <w:vAlign w:val="center"/>
          </w:tcPr>
          <w:p>
            <w:pPr>
              <w:pStyle w:val="36"/>
            </w:pPr>
          </w:p>
        </w:tc>
        <w:tc>
          <w:tcPr>
            <w:tcW w:w="1874" w:type="dxa"/>
            <w:shd w:val="clear" w:color="auto" w:fill="auto"/>
            <w:vAlign w:val="center"/>
          </w:tcPr>
          <w:p>
            <w:pPr>
              <w:pStyle w:val="36"/>
            </w:pPr>
            <w:r>
              <w:rPr>
                <w:rFonts w:hint="eastAsia"/>
              </w:rPr>
              <w:t>资源开发效率要求</w:t>
            </w:r>
          </w:p>
        </w:tc>
        <w:tc>
          <w:tcPr>
            <w:tcW w:w="7317" w:type="dxa"/>
            <w:shd w:val="clear" w:color="auto" w:fill="auto"/>
            <w:vAlign w:val="center"/>
          </w:tcPr>
          <w:p>
            <w:pPr>
              <w:pStyle w:val="36"/>
              <w:jc w:val="left"/>
            </w:pPr>
            <w:r>
              <w:rPr>
                <w:rFonts w:hint="eastAsia"/>
              </w:rPr>
              <w:t>/</w:t>
            </w:r>
          </w:p>
        </w:tc>
        <w:tc>
          <w:tcPr>
            <w:tcW w:w="1302" w:type="dxa"/>
            <w:shd w:val="clear" w:color="auto" w:fill="auto"/>
            <w:vAlign w:val="center"/>
          </w:tcPr>
          <w:p>
            <w:pPr>
              <w:pStyle w:val="36"/>
            </w:pPr>
            <w:r>
              <w:rPr>
                <w:rFonts w:hint="eastAsia"/>
              </w:rPr>
              <w:t>/</w:t>
            </w:r>
          </w:p>
        </w:tc>
        <w:tc>
          <w:tcPr>
            <w:tcW w:w="696" w:type="dxa"/>
            <w:shd w:val="clear" w:color="auto" w:fill="auto"/>
            <w:vAlign w:val="center"/>
          </w:tcPr>
          <w:p>
            <w:pPr>
              <w:pStyle w:val="36"/>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3" w:type="dxa"/>
            <w:vMerge w:val="restart"/>
            <w:shd w:val="clear" w:color="auto" w:fill="auto"/>
            <w:vAlign w:val="center"/>
          </w:tcPr>
          <w:p>
            <w:pPr>
              <w:pStyle w:val="36"/>
            </w:pPr>
            <w:r>
              <w:rPr>
                <w:rFonts w:hint="eastAsia" w:ascii="宋体" w:hAnsi="宋体"/>
                <w:szCs w:val="21"/>
              </w:rPr>
              <w:t>YS5109212530001土地资源重点管控区蓬溪县城镇开发边界</w:t>
            </w:r>
          </w:p>
        </w:tc>
        <w:tc>
          <w:tcPr>
            <w:tcW w:w="2306" w:type="dxa"/>
            <w:vMerge w:val="restart"/>
            <w:shd w:val="clear" w:color="auto" w:fill="auto"/>
            <w:vAlign w:val="center"/>
          </w:tcPr>
          <w:p>
            <w:pPr>
              <w:pStyle w:val="36"/>
            </w:pPr>
            <w:r>
              <w:rPr>
                <w:rFonts w:hint="eastAsia"/>
              </w:rPr>
              <w:t>普适性清单管控要求</w:t>
            </w:r>
          </w:p>
        </w:tc>
        <w:tc>
          <w:tcPr>
            <w:tcW w:w="1874" w:type="dxa"/>
            <w:shd w:val="clear" w:color="auto" w:fill="auto"/>
            <w:vAlign w:val="center"/>
          </w:tcPr>
          <w:p>
            <w:pPr>
              <w:pStyle w:val="36"/>
            </w:pPr>
            <w:r>
              <w:rPr>
                <w:rFonts w:hint="eastAsia"/>
              </w:rPr>
              <w:t>空间布局约束</w:t>
            </w:r>
          </w:p>
        </w:tc>
        <w:tc>
          <w:tcPr>
            <w:tcW w:w="7317" w:type="dxa"/>
            <w:shd w:val="clear" w:color="auto" w:fill="auto"/>
            <w:vAlign w:val="center"/>
          </w:tcPr>
          <w:p>
            <w:pPr>
              <w:pStyle w:val="36"/>
              <w:jc w:val="left"/>
            </w:pPr>
            <w:r>
              <w:rPr>
                <w:rFonts w:hint="eastAsia"/>
              </w:rPr>
              <w:t>/</w:t>
            </w:r>
          </w:p>
        </w:tc>
        <w:tc>
          <w:tcPr>
            <w:tcW w:w="1302" w:type="dxa"/>
            <w:shd w:val="clear" w:color="auto" w:fill="auto"/>
            <w:vAlign w:val="center"/>
          </w:tcPr>
          <w:p>
            <w:pPr>
              <w:pStyle w:val="36"/>
            </w:pPr>
            <w:r>
              <w:rPr>
                <w:rFonts w:hint="eastAsia"/>
              </w:rPr>
              <w:t>/</w:t>
            </w:r>
          </w:p>
        </w:tc>
        <w:tc>
          <w:tcPr>
            <w:tcW w:w="696" w:type="dxa"/>
            <w:shd w:val="clear" w:color="auto" w:fill="auto"/>
            <w:vAlign w:val="center"/>
          </w:tcPr>
          <w:p>
            <w:pPr>
              <w:pStyle w:val="36"/>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3" w:type="dxa"/>
            <w:vMerge w:val="continue"/>
            <w:vAlign w:val="center"/>
          </w:tcPr>
          <w:p>
            <w:pPr>
              <w:pStyle w:val="36"/>
            </w:pPr>
          </w:p>
        </w:tc>
        <w:tc>
          <w:tcPr>
            <w:tcW w:w="2306" w:type="dxa"/>
            <w:vMerge w:val="continue"/>
            <w:vAlign w:val="center"/>
          </w:tcPr>
          <w:p>
            <w:pPr>
              <w:pStyle w:val="36"/>
            </w:pPr>
          </w:p>
        </w:tc>
        <w:tc>
          <w:tcPr>
            <w:tcW w:w="1874" w:type="dxa"/>
            <w:shd w:val="clear" w:color="auto" w:fill="auto"/>
            <w:vAlign w:val="center"/>
          </w:tcPr>
          <w:p>
            <w:pPr>
              <w:pStyle w:val="36"/>
            </w:pPr>
            <w:r>
              <w:rPr>
                <w:rFonts w:hint="eastAsia"/>
              </w:rPr>
              <w:t>污染物排放管控</w:t>
            </w:r>
          </w:p>
        </w:tc>
        <w:tc>
          <w:tcPr>
            <w:tcW w:w="7317" w:type="dxa"/>
            <w:shd w:val="clear" w:color="auto" w:fill="auto"/>
            <w:vAlign w:val="center"/>
          </w:tcPr>
          <w:p>
            <w:pPr>
              <w:pStyle w:val="36"/>
              <w:jc w:val="left"/>
            </w:pPr>
            <w:r>
              <w:rPr>
                <w:rFonts w:hint="eastAsia"/>
              </w:rPr>
              <w:t>/</w:t>
            </w:r>
          </w:p>
        </w:tc>
        <w:tc>
          <w:tcPr>
            <w:tcW w:w="1302" w:type="dxa"/>
            <w:shd w:val="clear" w:color="auto" w:fill="auto"/>
            <w:vAlign w:val="center"/>
          </w:tcPr>
          <w:p>
            <w:pPr>
              <w:pStyle w:val="36"/>
            </w:pPr>
            <w:r>
              <w:rPr>
                <w:rFonts w:hint="eastAsia"/>
              </w:rPr>
              <w:t>/</w:t>
            </w:r>
          </w:p>
        </w:tc>
        <w:tc>
          <w:tcPr>
            <w:tcW w:w="696" w:type="dxa"/>
            <w:shd w:val="clear" w:color="auto" w:fill="auto"/>
            <w:vAlign w:val="center"/>
          </w:tcPr>
          <w:p>
            <w:pPr>
              <w:pStyle w:val="36"/>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3" w:type="dxa"/>
            <w:vMerge w:val="continue"/>
            <w:vAlign w:val="center"/>
          </w:tcPr>
          <w:p>
            <w:pPr>
              <w:pStyle w:val="36"/>
            </w:pPr>
          </w:p>
        </w:tc>
        <w:tc>
          <w:tcPr>
            <w:tcW w:w="2306" w:type="dxa"/>
            <w:vMerge w:val="continue"/>
            <w:vAlign w:val="center"/>
          </w:tcPr>
          <w:p>
            <w:pPr>
              <w:pStyle w:val="36"/>
            </w:pPr>
          </w:p>
        </w:tc>
        <w:tc>
          <w:tcPr>
            <w:tcW w:w="1874" w:type="dxa"/>
            <w:shd w:val="clear" w:color="auto" w:fill="auto"/>
            <w:vAlign w:val="center"/>
          </w:tcPr>
          <w:p>
            <w:pPr>
              <w:pStyle w:val="36"/>
            </w:pPr>
            <w:r>
              <w:rPr>
                <w:rFonts w:hint="eastAsia"/>
              </w:rPr>
              <w:t>环境风险防控</w:t>
            </w:r>
          </w:p>
        </w:tc>
        <w:tc>
          <w:tcPr>
            <w:tcW w:w="7317" w:type="dxa"/>
            <w:shd w:val="clear" w:color="auto" w:fill="auto"/>
            <w:vAlign w:val="center"/>
          </w:tcPr>
          <w:p>
            <w:pPr>
              <w:pStyle w:val="36"/>
              <w:jc w:val="left"/>
            </w:pPr>
            <w:r>
              <w:rPr>
                <w:rFonts w:hint="eastAsia"/>
              </w:rPr>
              <w:t>/</w:t>
            </w:r>
          </w:p>
        </w:tc>
        <w:tc>
          <w:tcPr>
            <w:tcW w:w="1302" w:type="dxa"/>
            <w:shd w:val="clear" w:color="auto" w:fill="auto"/>
            <w:vAlign w:val="center"/>
          </w:tcPr>
          <w:p>
            <w:pPr>
              <w:pStyle w:val="36"/>
            </w:pPr>
            <w:r>
              <w:rPr>
                <w:rFonts w:hint="eastAsia"/>
              </w:rPr>
              <w:t>/</w:t>
            </w:r>
          </w:p>
        </w:tc>
        <w:tc>
          <w:tcPr>
            <w:tcW w:w="696" w:type="dxa"/>
            <w:shd w:val="clear" w:color="auto" w:fill="auto"/>
            <w:vAlign w:val="center"/>
          </w:tcPr>
          <w:p>
            <w:pPr>
              <w:pStyle w:val="36"/>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3" w:type="dxa"/>
            <w:vMerge w:val="continue"/>
            <w:vAlign w:val="center"/>
          </w:tcPr>
          <w:p>
            <w:pPr>
              <w:pStyle w:val="36"/>
            </w:pPr>
          </w:p>
        </w:tc>
        <w:tc>
          <w:tcPr>
            <w:tcW w:w="2306" w:type="dxa"/>
            <w:vMerge w:val="continue"/>
            <w:vAlign w:val="center"/>
          </w:tcPr>
          <w:p>
            <w:pPr>
              <w:pStyle w:val="36"/>
            </w:pPr>
          </w:p>
        </w:tc>
        <w:tc>
          <w:tcPr>
            <w:tcW w:w="1874" w:type="dxa"/>
            <w:shd w:val="clear" w:color="auto" w:fill="auto"/>
            <w:vAlign w:val="center"/>
          </w:tcPr>
          <w:p>
            <w:pPr>
              <w:pStyle w:val="36"/>
            </w:pPr>
            <w:r>
              <w:rPr>
                <w:rFonts w:hint="eastAsia"/>
              </w:rPr>
              <w:t>资源开发效率要求</w:t>
            </w:r>
          </w:p>
        </w:tc>
        <w:tc>
          <w:tcPr>
            <w:tcW w:w="7317" w:type="dxa"/>
            <w:shd w:val="clear" w:color="auto" w:fill="auto"/>
            <w:vAlign w:val="center"/>
          </w:tcPr>
          <w:p>
            <w:pPr>
              <w:pStyle w:val="36"/>
              <w:jc w:val="left"/>
            </w:pPr>
            <w:r>
              <w:rPr>
                <w:rFonts w:hint="eastAsia"/>
              </w:rPr>
              <w:t>/</w:t>
            </w:r>
          </w:p>
        </w:tc>
        <w:tc>
          <w:tcPr>
            <w:tcW w:w="1302" w:type="dxa"/>
            <w:shd w:val="clear" w:color="auto" w:fill="auto"/>
            <w:vAlign w:val="center"/>
          </w:tcPr>
          <w:p>
            <w:pPr>
              <w:pStyle w:val="36"/>
            </w:pPr>
            <w:r>
              <w:rPr>
                <w:rFonts w:hint="eastAsia"/>
              </w:rPr>
              <w:t>/</w:t>
            </w:r>
          </w:p>
        </w:tc>
        <w:tc>
          <w:tcPr>
            <w:tcW w:w="696" w:type="dxa"/>
            <w:shd w:val="clear" w:color="auto" w:fill="auto"/>
            <w:vAlign w:val="center"/>
          </w:tcPr>
          <w:p>
            <w:pPr>
              <w:pStyle w:val="36"/>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3" w:type="dxa"/>
            <w:vMerge w:val="continue"/>
            <w:vAlign w:val="center"/>
          </w:tcPr>
          <w:p>
            <w:pPr>
              <w:pStyle w:val="36"/>
            </w:pPr>
          </w:p>
        </w:tc>
        <w:tc>
          <w:tcPr>
            <w:tcW w:w="2306" w:type="dxa"/>
            <w:vMerge w:val="restart"/>
            <w:shd w:val="clear" w:color="auto" w:fill="auto"/>
            <w:vAlign w:val="center"/>
          </w:tcPr>
          <w:p>
            <w:pPr>
              <w:pStyle w:val="36"/>
            </w:pPr>
            <w:r>
              <w:rPr>
                <w:rFonts w:hint="eastAsia"/>
              </w:rPr>
              <w:t>单元级清单管控要求</w:t>
            </w:r>
          </w:p>
        </w:tc>
        <w:tc>
          <w:tcPr>
            <w:tcW w:w="1874" w:type="dxa"/>
            <w:shd w:val="clear" w:color="auto" w:fill="auto"/>
            <w:vAlign w:val="center"/>
          </w:tcPr>
          <w:p>
            <w:pPr>
              <w:pStyle w:val="36"/>
            </w:pPr>
            <w:r>
              <w:rPr>
                <w:rFonts w:hint="eastAsia"/>
              </w:rPr>
              <w:t>空间布局约束</w:t>
            </w:r>
          </w:p>
        </w:tc>
        <w:tc>
          <w:tcPr>
            <w:tcW w:w="7317" w:type="dxa"/>
            <w:shd w:val="clear" w:color="auto" w:fill="auto"/>
            <w:vAlign w:val="center"/>
          </w:tcPr>
          <w:p>
            <w:pPr>
              <w:pStyle w:val="36"/>
              <w:jc w:val="left"/>
            </w:pPr>
            <w:r>
              <w:rPr>
                <w:rFonts w:hint="eastAsia" w:ascii="宋体" w:hAnsi="宋体"/>
                <w:szCs w:val="21"/>
              </w:rPr>
              <w:t>1.以城镇开发建设现状为基础，综合考虑资源承载能力、人口分布、经济布局、城乡统筹、城镇无序蔓延科学预留一定比例的留白区，为未来发展留有开发空间城镇建设和发展不得违法违规侵占河道、湖面、滩地2.城镇开发边界调整报国土空间规划原审批机关审批</w:t>
            </w:r>
          </w:p>
        </w:tc>
        <w:tc>
          <w:tcPr>
            <w:tcW w:w="1302" w:type="dxa"/>
            <w:shd w:val="clear" w:color="auto" w:fill="auto"/>
            <w:vAlign w:val="center"/>
          </w:tcPr>
          <w:p>
            <w:pPr>
              <w:pStyle w:val="36"/>
            </w:pPr>
            <w:r>
              <w:rPr>
                <w:rFonts w:hint="eastAsia"/>
              </w:rPr>
              <w:t>本项目工程占地</w:t>
            </w:r>
            <w:r>
              <w:t>，</w:t>
            </w:r>
            <w:r>
              <w:rPr>
                <w:rFonts w:hint="eastAsia"/>
              </w:rPr>
              <w:t>不涉及城镇开发边界，施工期不涉及临时占地，临时工程均布置于施工用地红线范围内</w:t>
            </w:r>
          </w:p>
        </w:tc>
        <w:tc>
          <w:tcPr>
            <w:tcW w:w="696" w:type="dxa"/>
            <w:shd w:val="clear" w:color="auto" w:fill="auto"/>
            <w:vAlign w:val="center"/>
          </w:tcPr>
          <w:p>
            <w:pPr>
              <w:pStyle w:val="36"/>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3" w:type="dxa"/>
            <w:vMerge w:val="continue"/>
            <w:vAlign w:val="center"/>
          </w:tcPr>
          <w:p>
            <w:pPr>
              <w:pStyle w:val="36"/>
            </w:pPr>
          </w:p>
        </w:tc>
        <w:tc>
          <w:tcPr>
            <w:tcW w:w="2306" w:type="dxa"/>
            <w:vMerge w:val="continue"/>
            <w:vAlign w:val="center"/>
          </w:tcPr>
          <w:p>
            <w:pPr>
              <w:pStyle w:val="36"/>
            </w:pPr>
          </w:p>
        </w:tc>
        <w:tc>
          <w:tcPr>
            <w:tcW w:w="1874" w:type="dxa"/>
            <w:shd w:val="clear" w:color="auto" w:fill="auto"/>
            <w:vAlign w:val="center"/>
          </w:tcPr>
          <w:p>
            <w:pPr>
              <w:pStyle w:val="36"/>
            </w:pPr>
            <w:r>
              <w:rPr>
                <w:rFonts w:hint="eastAsia"/>
              </w:rPr>
              <w:t>污染物排放管控</w:t>
            </w:r>
          </w:p>
        </w:tc>
        <w:tc>
          <w:tcPr>
            <w:tcW w:w="7317" w:type="dxa"/>
            <w:shd w:val="clear" w:color="auto" w:fill="auto"/>
            <w:vAlign w:val="center"/>
          </w:tcPr>
          <w:p>
            <w:pPr>
              <w:pStyle w:val="36"/>
              <w:jc w:val="left"/>
            </w:pPr>
            <w:r>
              <w:rPr>
                <w:rFonts w:hint="eastAsia"/>
              </w:rPr>
              <w:t>/</w:t>
            </w:r>
          </w:p>
        </w:tc>
        <w:tc>
          <w:tcPr>
            <w:tcW w:w="1302" w:type="dxa"/>
            <w:shd w:val="clear" w:color="auto" w:fill="auto"/>
            <w:vAlign w:val="center"/>
          </w:tcPr>
          <w:p>
            <w:pPr>
              <w:pStyle w:val="36"/>
            </w:pPr>
            <w:r>
              <w:rPr>
                <w:rFonts w:hint="eastAsia"/>
              </w:rPr>
              <w:t>/</w:t>
            </w:r>
          </w:p>
        </w:tc>
        <w:tc>
          <w:tcPr>
            <w:tcW w:w="696" w:type="dxa"/>
            <w:shd w:val="clear" w:color="auto" w:fill="auto"/>
            <w:vAlign w:val="center"/>
          </w:tcPr>
          <w:p>
            <w:pPr>
              <w:pStyle w:val="36"/>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3" w:type="dxa"/>
            <w:vMerge w:val="continue"/>
            <w:vAlign w:val="center"/>
          </w:tcPr>
          <w:p>
            <w:pPr>
              <w:pStyle w:val="36"/>
            </w:pPr>
          </w:p>
        </w:tc>
        <w:tc>
          <w:tcPr>
            <w:tcW w:w="2306" w:type="dxa"/>
            <w:vMerge w:val="continue"/>
            <w:vAlign w:val="center"/>
          </w:tcPr>
          <w:p>
            <w:pPr>
              <w:pStyle w:val="36"/>
            </w:pPr>
          </w:p>
        </w:tc>
        <w:tc>
          <w:tcPr>
            <w:tcW w:w="1874" w:type="dxa"/>
            <w:shd w:val="clear" w:color="auto" w:fill="auto"/>
            <w:vAlign w:val="center"/>
          </w:tcPr>
          <w:p>
            <w:pPr>
              <w:pStyle w:val="36"/>
            </w:pPr>
            <w:r>
              <w:rPr>
                <w:rFonts w:hint="eastAsia"/>
              </w:rPr>
              <w:t>环境风险防控</w:t>
            </w:r>
          </w:p>
        </w:tc>
        <w:tc>
          <w:tcPr>
            <w:tcW w:w="7317" w:type="dxa"/>
            <w:shd w:val="clear" w:color="auto" w:fill="auto"/>
            <w:vAlign w:val="center"/>
          </w:tcPr>
          <w:p>
            <w:pPr>
              <w:pStyle w:val="36"/>
              <w:jc w:val="left"/>
            </w:pPr>
            <w:r>
              <w:rPr>
                <w:rFonts w:hint="eastAsia"/>
              </w:rPr>
              <w:t>/</w:t>
            </w:r>
          </w:p>
        </w:tc>
        <w:tc>
          <w:tcPr>
            <w:tcW w:w="1302" w:type="dxa"/>
            <w:shd w:val="clear" w:color="auto" w:fill="auto"/>
            <w:vAlign w:val="center"/>
          </w:tcPr>
          <w:p>
            <w:pPr>
              <w:pStyle w:val="36"/>
            </w:pPr>
            <w:r>
              <w:rPr>
                <w:rFonts w:hint="eastAsia"/>
              </w:rPr>
              <w:t>/</w:t>
            </w:r>
          </w:p>
        </w:tc>
        <w:tc>
          <w:tcPr>
            <w:tcW w:w="696" w:type="dxa"/>
            <w:shd w:val="clear" w:color="auto" w:fill="auto"/>
            <w:vAlign w:val="center"/>
          </w:tcPr>
          <w:p>
            <w:pPr>
              <w:pStyle w:val="36"/>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3" w:type="dxa"/>
            <w:vMerge w:val="continue"/>
            <w:vAlign w:val="center"/>
          </w:tcPr>
          <w:p>
            <w:pPr>
              <w:pStyle w:val="36"/>
            </w:pPr>
          </w:p>
        </w:tc>
        <w:tc>
          <w:tcPr>
            <w:tcW w:w="2306" w:type="dxa"/>
            <w:vMerge w:val="continue"/>
            <w:vAlign w:val="center"/>
          </w:tcPr>
          <w:p>
            <w:pPr>
              <w:pStyle w:val="36"/>
            </w:pPr>
          </w:p>
        </w:tc>
        <w:tc>
          <w:tcPr>
            <w:tcW w:w="1874" w:type="dxa"/>
            <w:shd w:val="clear" w:color="auto" w:fill="auto"/>
            <w:vAlign w:val="center"/>
          </w:tcPr>
          <w:p>
            <w:pPr>
              <w:pStyle w:val="36"/>
            </w:pPr>
            <w:r>
              <w:rPr>
                <w:rFonts w:hint="eastAsia"/>
              </w:rPr>
              <w:t>资源开发效率要求</w:t>
            </w:r>
          </w:p>
        </w:tc>
        <w:tc>
          <w:tcPr>
            <w:tcW w:w="7317" w:type="dxa"/>
            <w:shd w:val="clear" w:color="auto" w:fill="auto"/>
            <w:vAlign w:val="center"/>
          </w:tcPr>
          <w:p>
            <w:pPr>
              <w:pStyle w:val="36"/>
              <w:jc w:val="left"/>
              <w:rPr>
                <w:rFonts w:hint="eastAsia" w:ascii="宋体" w:hAnsi="宋体"/>
                <w:szCs w:val="21"/>
              </w:rPr>
            </w:pPr>
            <w:r>
              <w:rPr>
                <w:rFonts w:hint="eastAsia" w:ascii="宋体" w:hAnsi="宋体"/>
                <w:szCs w:val="21"/>
              </w:rPr>
              <w:t>土地资源开发效率要求</w:t>
            </w:r>
          </w:p>
          <w:p>
            <w:pPr>
              <w:pStyle w:val="36"/>
              <w:jc w:val="left"/>
            </w:pPr>
            <w:r>
              <w:rPr>
                <w:rFonts w:hint="eastAsia" w:ascii="宋体" w:hAnsi="宋体"/>
                <w:szCs w:val="21"/>
              </w:rPr>
              <w:t>土地资源开发利用量不得超过土地资源利用</w:t>
            </w:r>
          </w:p>
        </w:tc>
        <w:tc>
          <w:tcPr>
            <w:tcW w:w="1302" w:type="dxa"/>
            <w:shd w:val="clear" w:color="auto" w:fill="auto"/>
            <w:vAlign w:val="center"/>
          </w:tcPr>
          <w:p>
            <w:pPr>
              <w:pStyle w:val="36"/>
            </w:pPr>
            <w:r>
              <w:rPr>
                <w:rFonts w:hint="eastAsia"/>
              </w:rPr>
              <w:t>本工程为河湖整治与防洪除涝工程，不涉及占地</w:t>
            </w:r>
          </w:p>
        </w:tc>
        <w:tc>
          <w:tcPr>
            <w:tcW w:w="696" w:type="dxa"/>
            <w:shd w:val="clear" w:color="auto" w:fill="auto"/>
            <w:vAlign w:val="center"/>
          </w:tcPr>
          <w:p>
            <w:pPr>
              <w:pStyle w:val="36"/>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3" w:type="dxa"/>
            <w:vMerge w:val="restart"/>
            <w:shd w:val="clear" w:color="auto" w:fill="auto"/>
            <w:vAlign w:val="center"/>
          </w:tcPr>
          <w:p>
            <w:pPr>
              <w:pStyle w:val="36"/>
            </w:pPr>
            <w:r>
              <w:rPr>
                <w:rFonts w:ascii="宋体" w:hAnsi="宋体"/>
                <w:szCs w:val="21"/>
              </w:rPr>
              <w:t>YS5109212540001</w:t>
            </w:r>
            <w:r>
              <w:rPr>
                <w:rFonts w:hint="eastAsia" w:ascii="宋体" w:hAnsi="宋体"/>
                <w:szCs w:val="21"/>
              </w:rPr>
              <w:t>高污染燃料禁燃区蓬溪县城市建成区</w:t>
            </w:r>
          </w:p>
        </w:tc>
        <w:tc>
          <w:tcPr>
            <w:tcW w:w="2306" w:type="dxa"/>
            <w:vMerge w:val="restart"/>
            <w:shd w:val="clear" w:color="auto" w:fill="auto"/>
            <w:vAlign w:val="center"/>
          </w:tcPr>
          <w:p>
            <w:pPr>
              <w:pStyle w:val="36"/>
            </w:pPr>
            <w:r>
              <w:rPr>
                <w:rFonts w:hint="eastAsia"/>
              </w:rPr>
              <w:t>普适性清单管控要求</w:t>
            </w:r>
          </w:p>
        </w:tc>
        <w:tc>
          <w:tcPr>
            <w:tcW w:w="1874" w:type="dxa"/>
            <w:shd w:val="clear" w:color="auto" w:fill="auto"/>
            <w:vAlign w:val="center"/>
          </w:tcPr>
          <w:p>
            <w:pPr>
              <w:pStyle w:val="36"/>
            </w:pPr>
            <w:r>
              <w:rPr>
                <w:rFonts w:hint="eastAsia"/>
              </w:rPr>
              <w:t>空间布局约束</w:t>
            </w:r>
          </w:p>
        </w:tc>
        <w:tc>
          <w:tcPr>
            <w:tcW w:w="7317" w:type="dxa"/>
            <w:shd w:val="clear" w:color="auto" w:fill="auto"/>
            <w:vAlign w:val="center"/>
          </w:tcPr>
          <w:p>
            <w:pPr>
              <w:pStyle w:val="36"/>
              <w:jc w:val="left"/>
            </w:pPr>
            <w:r>
              <w:rPr>
                <w:rFonts w:hint="eastAsia"/>
              </w:rPr>
              <w:t>/</w:t>
            </w:r>
          </w:p>
        </w:tc>
        <w:tc>
          <w:tcPr>
            <w:tcW w:w="1302" w:type="dxa"/>
            <w:shd w:val="clear" w:color="auto" w:fill="auto"/>
            <w:vAlign w:val="center"/>
          </w:tcPr>
          <w:p>
            <w:pPr>
              <w:pStyle w:val="36"/>
            </w:pPr>
            <w:r>
              <w:rPr>
                <w:rFonts w:hint="eastAsia"/>
              </w:rPr>
              <w:t>/</w:t>
            </w:r>
          </w:p>
        </w:tc>
        <w:tc>
          <w:tcPr>
            <w:tcW w:w="696" w:type="dxa"/>
            <w:shd w:val="clear" w:color="auto" w:fill="auto"/>
            <w:vAlign w:val="center"/>
          </w:tcPr>
          <w:p>
            <w:pPr>
              <w:pStyle w:val="36"/>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3" w:type="dxa"/>
            <w:vMerge w:val="continue"/>
            <w:vAlign w:val="center"/>
          </w:tcPr>
          <w:p>
            <w:pPr>
              <w:pStyle w:val="36"/>
            </w:pPr>
          </w:p>
        </w:tc>
        <w:tc>
          <w:tcPr>
            <w:tcW w:w="2306" w:type="dxa"/>
            <w:vMerge w:val="continue"/>
            <w:vAlign w:val="center"/>
          </w:tcPr>
          <w:p>
            <w:pPr>
              <w:pStyle w:val="36"/>
            </w:pPr>
          </w:p>
        </w:tc>
        <w:tc>
          <w:tcPr>
            <w:tcW w:w="1874" w:type="dxa"/>
            <w:shd w:val="clear" w:color="auto" w:fill="auto"/>
            <w:vAlign w:val="center"/>
          </w:tcPr>
          <w:p>
            <w:pPr>
              <w:pStyle w:val="36"/>
            </w:pPr>
            <w:r>
              <w:rPr>
                <w:rFonts w:hint="eastAsia"/>
              </w:rPr>
              <w:t>污染物排放管控</w:t>
            </w:r>
          </w:p>
        </w:tc>
        <w:tc>
          <w:tcPr>
            <w:tcW w:w="7317" w:type="dxa"/>
            <w:shd w:val="clear" w:color="auto" w:fill="auto"/>
            <w:vAlign w:val="center"/>
          </w:tcPr>
          <w:p>
            <w:pPr>
              <w:pStyle w:val="36"/>
              <w:jc w:val="left"/>
            </w:pPr>
            <w:r>
              <w:rPr>
                <w:rFonts w:hint="eastAsia"/>
              </w:rPr>
              <w:t>/</w:t>
            </w:r>
          </w:p>
        </w:tc>
        <w:tc>
          <w:tcPr>
            <w:tcW w:w="1302" w:type="dxa"/>
            <w:shd w:val="clear" w:color="auto" w:fill="auto"/>
            <w:vAlign w:val="center"/>
          </w:tcPr>
          <w:p>
            <w:pPr>
              <w:pStyle w:val="36"/>
            </w:pPr>
            <w:r>
              <w:rPr>
                <w:rFonts w:hint="eastAsia"/>
              </w:rPr>
              <w:t>/</w:t>
            </w:r>
          </w:p>
        </w:tc>
        <w:tc>
          <w:tcPr>
            <w:tcW w:w="696" w:type="dxa"/>
            <w:shd w:val="clear" w:color="auto" w:fill="auto"/>
            <w:vAlign w:val="center"/>
          </w:tcPr>
          <w:p>
            <w:pPr>
              <w:pStyle w:val="36"/>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3" w:type="dxa"/>
            <w:vMerge w:val="continue"/>
            <w:vAlign w:val="center"/>
          </w:tcPr>
          <w:p>
            <w:pPr>
              <w:pStyle w:val="36"/>
            </w:pPr>
          </w:p>
        </w:tc>
        <w:tc>
          <w:tcPr>
            <w:tcW w:w="2306" w:type="dxa"/>
            <w:vMerge w:val="continue"/>
            <w:vAlign w:val="center"/>
          </w:tcPr>
          <w:p>
            <w:pPr>
              <w:pStyle w:val="36"/>
            </w:pPr>
          </w:p>
        </w:tc>
        <w:tc>
          <w:tcPr>
            <w:tcW w:w="1874" w:type="dxa"/>
            <w:shd w:val="clear" w:color="auto" w:fill="auto"/>
            <w:vAlign w:val="center"/>
          </w:tcPr>
          <w:p>
            <w:pPr>
              <w:pStyle w:val="36"/>
            </w:pPr>
            <w:r>
              <w:rPr>
                <w:rFonts w:hint="eastAsia"/>
              </w:rPr>
              <w:t>环境风险防控</w:t>
            </w:r>
          </w:p>
        </w:tc>
        <w:tc>
          <w:tcPr>
            <w:tcW w:w="7317" w:type="dxa"/>
            <w:shd w:val="clear" w:color="auto" w:fill="auto"/>
            <w:vAlign w:val="center"/>
          </w:tcPr>
          <w:p>
            <w:pPr>
              <w:pStyle w:val="36"/>
              <w:jc w:val="left"/>
            </w:pPr>
            <w:r>
              <w:rPr>
                <w:rFonts w:hint="eastAsia"/>
              </w:rPr>
              <w:t>/</w:t>
            </w:r>
          </w:p>
        </w:tc>
        <w:tc>
          <w:tcPr>
            <w:tcW w:w="1302" w:type="dxa"/>
            <w:shd w:val="clear" w:color="auto" w:fill="auto"/>
            <w:vAlign w:val="center"/>
          </w:tcPr>
          <w:p>
            <w:pPr>
              <w:pStyle w:val="36"/>
            </w:pPr>
            <w:r>
              <w:rPr>
                <w:rFonts w:hint="eastAsia"/>
              </w:rPr>
              <w:t>/</w:t>
            </w:r>
          </w:p>
        </w:tc>
        <w:tc>
          <w:tcPr>
            <w:tcW w:w="696" w:type="dxa"/>
            <w:shd w:val="clear" w:color="auto" w:fill="auto"/>
            <w:vAlign w:val="center"/>
          </w:tcPr>
          <w:p>
            <w:pPr>
              <w:pStyle w:val="36"/>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3" w:type="dxa"/>
            <w:vMerge w:val="continue"/>
            <w:vAlign w:val="center"/>
          </w:tcPr>
          <w:p>
            <w:pPr>
              <w:pStyle w:val="36"/>
            </w:pPr>
          </w:p>
        </w:tc>
        <w:tc>
          <w:tcPr>
            <w:tcW w:w="2306" w:type="dxa"/>
            <w:vMerge w:val="continue"/>
            <w:vAlign w:val="center"/>
          </w:tcPr>
          <w:p>
            <w:pPr>
              <w:pStyle w:val="36"/>
            </w:pPr>
          </w:p>
        </w:tc>
        <w:tc>
          <w:tcPr>
            <w:tcW w:w="1874" w:type="dxa"/>
            <w:shd w:val="clear" w:color="auto" w:fill="auto"/>
            <w:vAlign w:val="center"/>
          </w:tcPr>
          <w:p>
            <w:pPr>
              <w:pStyle w:val="36"/>
            </w:pPr>
            <w:r>
              <w:rPr>
                <w:rFonts w:hint="eastAsia"/>
              </w:rPr>
              <w:t>资源开发效率要求</w:t>
            </w:r>
          </w:p>
        </w:tc>
        <w:tc>
          <w:tcPr>
            <w:tcW w:w="7317" w:type="dxa"/>
            <w:shd w:val="clear" w:color="auto" w:fill="auto"/>
            <w:vAlign w:val="center"/>
          </w:tcPr>
          <w:p>
            <w:pPr>
              <w:pStyle w:val="36"/>
              <w:jc w:val="left"/>
            </w:pPr>
            <w:r>
              <w:rPr>
                <w:rFonts w:hint="eastAsia"/>
              </w:rPr>
              <w:t>/</w:t>
            </w:r>
          </w:p>
        </w:tc>
        <w:tc>
          <w:tcPr>
            <w:tcW w:w="1302" w:type="dxa"/>
            <w:shd w:val="clear" w:color="auto" w:fill="auto"/>
            <w:vAlign w:val="center"/>
          </w:tcPr>
          <w:p>
            <w:pPr>
              <w:pStyle w:val="36"/>
            </w:pPr>
            <w:r>
              <w:rPr>
                <w:rFonts w:hint="eastAsia"/>
              </w:rPr>
              <w:t>/</w:t>
            </w:r>
          </w:p>
        </w:tc>
        <w:tc>
          <w:tcPr>
            <w:tcW w:w="696" w:type="dxa"/>
            <w:shd w:val="clear" w:color="auto" w:fill="auto"/>
            <w:vAlign w:val="center"/>
          </w:tcPr>
          <w:p>
            <w:pPr>
              <w:pStyle w:val="36"/>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3" w:type="dxa"/>
            <w:vMerge w:val="continue"/>
            <w:vAlign w:val="center"/>
          </w:tcPr>
          <w:p>
            <w:pPr>
              <w:pStyle w:val="36"/>
            </w:pPr>
          </w:p>
        </w:tc>
        <w:tc>
          <w:tcPr>
            <w:tcW w:w="2306" w:type="dxa"/>
            <w:vMerge w:val="restart"/>
            <w:shd w:val="clear" w:color="auto" w:fill="auto"/>
            <w:vAlign w:val="center"/>
          </w:tcPr>
          <w:p>
            <w:pPr>
              <w:pStyle w:val="36"/>
            </w:pPr>
            <w:r>
              <w:rPr>
                <w:rFonts w:hint="eastAsia"/>
              </w:rPr>
              <w:t>单元级清单管控要求</w:t>
            </w:r>
          </w:p>
        </w:tc>
        <w:tc>
          <w:tcPr>
            <w:tcW w:w="1874" w:type="dxa"/>
            <w:shd w:val="clear" w:color="auto" w:fill="auto"/>
            <w:vAlign w:val="center"/>
          </w:tcPr>
          <w:p>
            <w:pPr>
              <w:pStyle w:val="36"/>
            </w:pPr>
            <w:r>
              <w:rPr>
                <w:rFonts w:hint="eastAsia"/>
              </w:rPr>
              <w:t>空间布局约束</w:t>
            </w:r>
          </w:p>
        </w:tc>
        <w:tc>
          <w:tcPr>
            <w:tcW w:w="7317" w:type="dxa"/>
            <w:shd w:val="clear" w:color="auto" w:fill="auto"/>
            <w:vAlign w:val="center"/>
          </w:tcPr>
          <w:p>
            <w:pPr>
              <w:pStyle w:val="36"/>
              <w:jc w:val="left"/>
            </w:pPr>
            <w:r>
              <w:rPr>
                <w:rFonts w:hint="eastAsia" w:ascii="宋体" w:hAnsi="宋体"/>
                <w:szCs w:val="21"/>
              </w:rPr>
              <w:t>坚决遏制“两高一低”项目盲目发展</w:t>
            </w:r>
          </w:p>
        </w:tc>
        <w:tc>
          <w:tcPr>
            <w:tcW w:w="1302" w:type="dxa"/>
            <w:shd w:val="clear" w:color="auto" w:fill="auto"/>
            <w:vAlign w:val="center"/>
          </w:tcPr>
          <w:p>
            <w:pPr>
              <w:pStyle w:val="36"/>
            </w:pPr>
            <w:r>
              <w:rPr>
                <w:rFonts w:hint="eastAsia"/>
              </w:rPr>
              <w:t>本项目为生态影响类，根据《四川省“两高”项目管理目录（试行）》，本项目不属于“两高一低”项目</w:t>
            </w:r>
          </w:p>
        </w:tc>
        <w:tc>
          <w:tcPr>
            <w:tcW w:w="696" w:type="dxa"/>
            <w:shd w:val="clear" w:color="auto" w:fill="auto"/>
            <w:vAlign w:val="center"/>
          </w:tcPr>
          <w:p>
            <w:pPr>
              <w:pStyle w:val="36"/>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3" w:type="dxa"/>
            <w:vMerge w:val="continue"/>
            <w:vAlign w:val="center"/>
          </w:tcPr>
          <w:p>
            <w:pPr>
              <w:pStyle w:val="36"/>
            </w:pPr>
          </w:p>
        </w:tc>
        <w:tc>
          <w:tcPr>
            <w:tcW w:w="2306" w:type="dxa"/>
            <w:vMerge w:val="continue"/>
            <w:vAlign w:val="center"/>
          </w:tcPr>
          <w:p>
            <w:pPr>
              <w:pStyle w:val="36"/>
            </w:pPr>
          </w:p>
        </w:tc>
        <w:tc>
          <w:tcPr>
            <w:tcW w:w="1874" w:type="dxa"/>
            <w:shd w:val="clear" w:color="auto" w:fill="auto"/>
            <w:vAlign w:val="center"/>
          </w:tcPr>
          <w:p>
            <w:pPr>
              <w:pStyle w:val="36"/>
            </w:pPr>
            <w:r>
              <w:rPr>
                <w:rFonts w:hint="eastAsia"/>
              </w:rPr>
              <w:t>污染物排放管控</w:t>
            </w:r>
          </w:p>
        </w:tc>
        <w:tc>
          <w:tcPr>
            <w:tcW w:w="7317" w:type="dxa"/>
            <w:shd w:val="clear" w:color="auto" w:fill="auto"/>
            <w:vAlign w:val="center"/>
          </w:tcPr>
          <w:p>
            <w:pPr>
              <w:pStyle w:val="36"/>
              <w:jc w:val="left"/>
            </w:pPr>
            <w:r>
              <w:rPr>
                <w:rFonts w:hint="eastAsia"/>
              </w:rPr>
              <w:t>/</w:t>
            </w:r>
          </w:p>
        </w:tc>
        <w:tc>
          <w:tcPr>
            <w:tcW w:w="1302" w:type="dxa"/>
            <w:shd w:val="clear" w:color="auto" w:fill="auto"/>
            <w:vAlign w:val="center"/>
          </w:tcPr>
          <w:p>
            <w:pPr>
              <w:pStyle w:val="36"/>
            </w:pPr>
            <w:r>
              <w:rPr>
                <w:rFonts w:hint="eastAsia"/>
              </w:rPr>
              <w:t>/</w:t>
            </w:r>
          </w:p>
        </w:tc>
        <w:tc>
          <w:tcPr>
            <w:tcW w:w="696" w:type="dxa"/>
            <w:shd w:val="clear" w:color="auto" w:fill="auto"/>
            <w:vAlign w:val="center"/>
          </w:tcPr>
          <w:p>
            <w:pPr>
              <w:pStyle w:val="36"/>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3" w:type="dxa"/>
            <w:vMerge w:val="continue"/>
            <w:vAlign w:val="center"/>
          </w:tcPr>
          <w:p>
            <w:pPr>
              <w:pStyle w:val="36"/>
            </w:pPr>
          </w:p>
        </w:tc>
        <w:tc>
          <w:tcPr>
            <w:tcW w:w="2306" w:type="dxa"/>
            <w:vMerge w:val="continue"/>
            <w:vAlign w:val="center"/>
          </w:tcPr>
          <w:p>
            <w:pPr>
              <w:pStyle w:val="36"/>
            </w:pPr>
          </w:p>
        </w:tc>
        <w:tc>
          <w:tcPr>
            <w:tcW w:w="1874" w:type="dxa"/>
            <w:shd w:val="clear" w:color="auto" w:fill="auto"/>
            <w:vAlign w:val="center"/>
          </w:tcPr>
          <w:p>
            <w:pPr>
              <w:pStyle w:val="36"/>
            </w:pPr>
            <w:r>
              <w:rPr>
                <w:rFonts w:hint="eastAsia"/>
              </w:rPr>
              <w:t>环境风险防控</w:t>
            </w:r>
          </w:p>
        </w:tc>
        <w:tc>
          <w:tcPr>
            <w:tcW w:w="7317" w:type="dxa"/>
            <w:shd w:val="clear" w:color="auto" w:fill="auto"/>
            <w:vAlign w:val="center"/>
          </w:tcPr>
          <w:p>
            <w:pPr>
              <w:pStyle w:val="36"/>
              <w:jc w:val="left"/>
            </w:pPr>
            <w:r>
              <w:rPr>
                <w:rFonts w:hint="eastAsia"/>
              </w:rPr>
              <w:t>/</w:t>
            </w:r>
          </w:p>
        </w:tc>
        <w:tc>
          <w:tcPr>
            <w:tcW w:w="1302" w:type="dxa"/>
            <w:shd w:val="clear" w:color="auto" w:fill="auto"/>
            <w:vAlign w:val="center"/>
          </w:tcPr>
          <w:p>
            <w:pPr>
              <w:pStyle w:val="36"/>
            </w:pPr>
            <w:r>
              <w:rPr>
                <w:rFonts w:hint="eastAsia"/>
              </w:rPr>
              <w:t>/</w:t>
            </w:r>
          </w:p>
        </w:tc>
        <w:tc>
          <w:tcPr>
            <w:tcW w:w="696" w:type="dxa"/>
            <w:shd w:val="clear" w:color="auto" w:fill="auto"/>
            <w:vAlign w:val="center"/>
          </w:tcPr>
          <w:p>
            <w:pPr>
              <w:pStyle w:val="36"/>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3" w:type="dxa"/>
            <w:vMerge w:val="continue"/>
            <w:vAlign w:val="center"/>
          </w:tcPr>
          <w:p>
            <w:pPr>
              <w:pStyle w:val="36"/>
            </w:pPr>
          </w:p>
        </w:tc>
        <w:tc>
          <w:tcPr>
            <w:tcW w:w="2306" w:type="dxa"/>
            <w:vMerge w:val="continue"/>
            <w:vAlign w:val="center"/>
          </w:tcPr>
          <w:p>
            <w:pPr>
              <w:pStyle w:val="36"/>
            </w:pPr>
          </w:p>
        </w:tc>
        <w:tc>
          <w:tcPr>
            <w:tcW w:w="1874" w:type="dxa"/>
            <w:shd w:val="clear" w:color="auto" w:fill="auto"/>
            <w:vAlign w:val="center"/>
          </w:tcPr>
          <w:p>
            <w:pPr>
              <w:pStyle w:val="36"/>
            </w:pPr>
            <w:r>
              <w:rPr>
                <w:rFonts w:hint="eastAsia"/>
              </w:rPr>
              <w:t>资源开发效率要求</w:t>
            </w:r>
          </w:p>
        </w:tc>
        <w:tc>
          <w:tcPr>
            <w:tcW w:w="7317" w:type="dxa"/>
            <w:shd w:val="clear" w:color="auto" w:fill="auto"/>
            <w:vAlign w:val="center"/>
          </w:tcPr>
          <w:p>
            <w:pPr>
              <w:pStyle w:val="36"/>
              <w:jc w:val="left"/>
              <w:rPr>
                <w:rFonts w:hint="eastAsia" w:ascii="宋体" w:hAnsi="宋体"/>
                <w:szCs w:val="21"/>
              </w:rPr>
            </w:pPr>
            <w:r>
              <w:rPr>
                <w:rFonts w:hint="eastAsia" w:ascii="宋体" w:hAnsi="宋体"/>
                <w:szCs w:val="21"/>
              </w:rPr>
              <w:t>能源资源开发效率要求</w:t>
            </w:r>
          </w:p>
          <w:p>
            <w:pPr>
              <w:pStyle w:val="36"/>
              <w:jc w:val="left"/>
              <w:rPr>
                <w:rFonts w:hint="eastAsia" w:ascii="宋体" w:hAnsi="宋体"/>
                <w:szCs w:val="21"/>
              </w:rPr>
            </w:pPr>
            <w:r>
              <w:rPr>
                <w:rFonts w:hint="eastAsia" w:ascii="宋体" w:hAnsi="宋体"/>
                <w:szCs w:val="21"/>
              </w:rPr>
              <w:t>能源消耗、污染物排放不得超过能源利用上线控制性指标。</w:t>
            </w:r>
          </w:p>
        </w:tc>
        <w:tc>
          <w:tcPr>
            <w:tcW w:w="1302" w:type="dxa"/>
            <w:shd w:val="clear" w:color="auto" w:fill="auto"/>
            <w:vAlign w:val="center"/>
          </w:tcPr>
          <w:p>
            <w:pPr>
              <w:pStyle w:val="36"/>
            </w:pPr>
            <w:r>
              <w:t>本工程为</w:t>
            </w:r>
            <w:r>
              <w:rPr>
                <w:rFonts w:hint="eastAsia"/>
              </w:rPr>
              <w:t>河湖整治与防洪除涝工程</w:t>
            </w:r>
            <w:r>
              <w:t>，</w:t>
            </w:r>
            <w:r>
              <w:rPr>
                <w:rFonts w:hint="eastAsia"/>
              </w:rPr>
              <w:t>不涉及占地</w:t>
            </w:r>
          </w:p>
        </w:tc>
        <w:tc>
          <w:tcPr>
            <w:tcW w:w="696" w:type="dxa"/>
            <w:shd w:val="clear" w:color="auto" w:fill="auto"/>
            <w:vAlign w:val="center"/>
          </w:tcPr>
          <w:p>
            <w:pPr>
              <w:pStyle w:val="36"/>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3" w:type="dxa"/>
            <w:vMerge w:val="restart"/>
            <w:shd w:val="clear" w:color="auto" w:fill="auto"/>
            <w:vAlign w:val="center"/>
          </w:tcPr>
          <w:p>
            <w:pPr>
              <w:pStyle w:val="36"/>
            </w:pPr>
            <w:r>
              <w:rPr>
                <w:rFonts w:ascii="宋体" w:hAnsi="宋体"/>
                <w:szCs w:val="21"/>
              </w:rPr>
              <w:t>YS5109212550001</w:t>
            </w:r>
            <w:r>
              <w:rPr>
                <w:rFonts w:hint="eastAsia" w:ascii="宋体" w:hAnsi="宋体"/>
                <w:szCs w:val="21"/>
              </w:rPr>
              <w:t>自然资源重点管控区蓬溪县自然资源重点管控区</w:t>
            </w:r>
          </w:p>
        </w:tc>
        <w:tc>
          <w:tcPr>
            <w:tcW w:w="2306" w:type="dxa"/>
            <w:vMerge w:val="restart"/>
            <w:shd w:val="clear" w:color="auto" w:fill="auto"/>
            <w:vAlign w:val="center"/>
          </w:tcPr>
          <w:p>
            <w:pPr>
              <w:pStyle w:val="36"/>
            </w:pPr>
            <w:r>
              <w:rPr>
                <w:rFonts w:hint="eastAsia"/>
              </w:rPr>
              <w:t>普适性清单管控要求</w:t>
            </w:r>
          </w:p>
        </w:tc>
        <w:tc>
          <w:tcPr>
            <w:tcW w:w="1874" w:type="dxa"/>
            <w:shd w:val="clear" w:color="auto" w:fill="auto"/>
            <w:vAlign w:val="center"/>
          </w:tcPr>
          <w:p>
            <w:pPr>
              <w:pStyle w:val="36"/>
            </w:pPr>
            <w:r>
              <w:rPr>
                <w:rFonts w:hint="eastAsia"/>
              </w:rPr>
              <w:t>空间布局约束</w:t>
            </w:r>
          </w:p>
        </w:tc>
        <w:tc>
          <w:tcPr>
            <w:tcW w:w="7317" w:type="dxa"/>
            <w:shd w:val="clear" w:color="auto" w:fill="auto"/>
            <w:vAlign w:val="center"/>
          </w:tcPr>
          <w:p>
            <w:pPr>
              <w:pStyle w:val="36"/>
              <w:jc w:val="left"/>
            </w:pPr>
            <w:r>
              <w:rPr>
                <w:rFonts w:hint="eastAsia"/>
              </w:rPr>
              <w:t>/</w:t>
            </w:r>
          </w:p>
        </w:tc>
        <w:tc>
          <w:tcPr>
            <w:tcW w:w="1302" w:type="dxa"/>
            <w:shd w:val="clear" w:color="auto" w:fill="auto"/>
            <w:vAlign w:val="center"/>
          </w:tcPr>
          <w:p>
            <w:pPr>
              <w:pStyle w:val="36"/>
            </w:pPr>
            <w:r>
              <w:rPr>
                <w:rFonts w:hint="eastAsia"/>
              </w:rPr>
              <w:t>/</w:t>
            </w:r>
          </w:p>
        </w:tc>
        <w:tc>
          <w:tcPr>
            <w:tcW w:w="696" w:type="dxa"/>
            <w:shd w:val="clear" w:color="auto" w:fill="auto"/>
            <w:vAlign w:val="center"/>
          </w:tcPr>
          <w:p>
            <w:pPr>
              <w:pStyle w:val="36"/>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3" w:type="dxa"/>
            <w:vMerge w:val="continue"/>
            <w:vAlign w:val="center"/>
          </w:tcPr>
          <w:p>
            <w:pPr>
              <w:pStyle w:val="36"/>
            </w:pPr>
          </w:p>
        </w:tc>
        <w:tc>
          <w:tcPr>
            <w:tcW w:w="2306" w:type="dxa"/>
            <w:vMerge w:val="continue"/>
            <w:vAlign w:val="center"/>
          </w:tcPr>
          <w:p>
            <w:pPr>
              <w:pStyle w:val="36"/>
            </w:pPr>
          </w:p>
        </w:tc>
        <w:tc>
          <w:tcPr>
            <w:tcW w:w="1874" w:type="dxa"/>
            <w:shd w:val="clear" w:color="auto" w:fill="auto"/>
            <w:vAlign w:val="center"/>
          </w:tcPr>
          <w:p>
            <w:pPr>
              <w:pStyle w:val="36"/>
            </w:pPr>
            <w:r>
              <w:rPr>
                <w:rFonts w:hint="eastAsia"/>
              </w:rPr>
              <w:t>污染物排放管控</w:t>
            </w:r>
          </w:p>
        </w:tc>
        <w:tc>
          <w:tcPr>
            <w:tcW w:w="7317" w:type="dxa"/>
            <w:shd w:val="clear" w:color="auto" w:fill="auto"/>
            <w:vAlign w:val="center"/>
          </w:tcPr>
          <w:p>
            <w:pPr>
              <w:pStyle w:val="36"/>
              <w:jc w:val="left"/>
            </w:pPr>
            <w:r>
              <w:rPr>
                <w:rFonts w:hint="eastAsia"/>
              </w:rPr>
              <w:t>/</w:t>
            </w:r>
          </w:p>
        </w:tc>
        <w:tc>
          <w:tcPr>
            <w:tcW w:w="1302" w:type="dxa"/>
            <w:shd w:val="clear" w:color="auto" w:fill="auto"/>
            <w:vAlign w:val="center"/>
          </w:tcPr>
          <w:p>
            <w:pPr>
              <w:pStyle w:val="36"/>
            </w:pPr>
            <w:r>
              <w:rPr>
                <w:rFonts w:hint="eastAsia"/>
              </w:rPr>
              <w:t>/</w:t>
            </w:r>
          </w:p>
        </w:tc>
        <w:tc>
          <w:tcPr>
            <w:tcW w:w="696" w:type="dxa"/>
            <w:shd w:val="clear" w:color="auto" w:fill="auto"/>
            <w:vAlign w:val="center"/>
          </w:tcPr>
          <w:p>
            <w:pPr>
              <w:pStyle w:val="36"/>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3" w:type="dxa"/>
            <w:vMerge w:val="continue"/>
            <w:vAlign w:val="center"/>
          </w:tcPr>
          <w:p>
            <w:pPr>
              <w:pStyle w:val="36"/>
            </w:pPr>
          </w:p>
        </w:tc>
        <w:tc>
          <w:tcPr>
            <w:tcW w:w="2306" w:type="dxa"/>
            <w:vMerge w:val="continue"/>
            <w:vAlign w:val="center"/>
          </w:tcPr>
          <w:p>
            <w:pPr>
              <w:pStyle w:val="36"/>
            </w:pPr>
          </w:p>
        </w:tc>
        <w:tc>
          <w:tcPr>
            <w:tcW w:w="1874" w:type="dxa"/>
            <w:shd w:val="clear" w:color="auto" w:fill="auto"/>
            <w:vAlign w:val="center"/>
          </w:tcPr>
          <w:p>
            <w:pPr>
              <w:pStyle w:val="36"/>
            </w:pPr>
            <w:r>
              <w:rPr>
                <w:rFonts w:hint="eastAsia"/>
              </w:rPr>
              <w:t>环境风险防控</w:t>
            </w:r>
          </w:p>
        </w:tc>
        <w:tc>
          <w:tcPr>
            <w:tcW w:w="7317" w:type="dxa"/>
            <w:shd w:val="clear" w:color="auto" w:fill="auto"/>
            <w:vAlign w:val="center"/>
          </w:tcPr>
          <w:p>
            <w:pPr>
              <w:pStyle w:val="36"/>
              <w:jc w:val="left"/>
            </w:pPr>
            <w:r>
              <w:rPr>
                <w:rFonts w:hint="eastAsia"/>
              </w:rPr>
              <w:t>/</w:t>
            </w:r>
          </w:p>
        </w:tc>
        <w:tc>
          <w:tcPr>
            <w:tcW w:w="1302" w:type="dxa"/>
            <w:shd w:val="clear" w:color="auto" w:fill="auto"/>
            <w:vAlign w:val="center"/>
          </w:tcPr>
          <w:p>
            <w:pPr>
              <w:pStyle w:val="36"/>
            </w:pPr>
            <w:r>
              <w:rPr>
                <w:rFonts w:hint="eastAsia"/>
              </w:rPr>
              <w:t>/</w:t>
            </w:r>
          </w:p>
        </w:tc>
        <w:tc>
          <w:tcPr>
            <w:tcW w:w="696" w:type="dxa"/>
            <w:shd w:val="clear" w:color="auto" w:fill="auto"/>
            <w:vAlign w:val="center"/>
          </w:tcPr>
          <w:p>
            <w:pPr>
              <w:pStyle w:val="36"/>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3" w:type="dxa"/>
            <w:vMerge w:val="continue"/>
            <w:vAlign w:val="center"/>
          </w:tcPr>
          <w:p>
            <w:pPr>
              <w:pStyle w:val="36"/>
            </w:pPr>
          </w:p>
        </w:tc>
        <w:tc>
          <w:tcPr>
            <w:tcW w:w="2306" w:type="dxa"/>
            <w:vMerge w:val="continue"/>
            <w:vAlign w:val="center"/>
          </w:tcPr>
          <w:p>
            <w:pPr>
              <w:pStyle w:val="36"/>
            </w:pPr>
          </w:p>
        </w:tc>
        <w:tc>
          <w:tcPr>
            <w:tcW w:w="1874" w:type="dxa"/>
            <w:shd w:val="clear" w:color="auto" w:fill="auto"/>
            <w:vAlign w:val="center"/>
          </w:tcPr>
          <w:p>
            <w:pPr>
              <w:pStyle w:val="36"/>
            </w:pPr>
            <w:r>
              <w:rPr>
                <w:rFonts w:hint="eastAsia"/>
              </w:rPr>
              <w:t>资源开发效率要求</w:t>
            </w:r>
          </w:p>
        </w:tc>
        <w:tc>
          <w:tcPr>
            <w:tcW w:w="7317" w:type="dxa"/>
            <w:shd w:val="clear" w:color="auto" w:fill="auto"/>
            <w:vAlign w:val="center"/>
          </w:tcPr>
          <w:p>
            <w:pPr>
              <w:pStyle w:val="36"/>
              <w:jc w:val="left"/>
            </w:pPr>
            <w:r>
              <w:rPr>
                <w:rFonts w:hint="eastAsia"/>
              </w:rPr>
              <w:t>/</w:t>
            </w:r>
          </w:p>
        </w:tc>
        <w:tc>
          <w:tcPr>
            <w:tcW w:w="1302" w:type="dxa"/>
            <w:shd w:val="clear" w:color="auto" w:fill="auto"/>
            <w:vAlign w:val="center"/>
          </w:tcPr>
          <w:p>
            <w:pPr>
              <w:pStyle w:val="36"/>
            </w:pPr>
            <w:r>
              <w:rPr>
                <w:rFonts w:hint="eastAsia"/>
              </w:rPr>
              <w:t>/</w:t>
            </w:r>
          </w:p>
        </w:tc>
        <w:tc>
          <w:tcPr>
            <w:tcW w:w="696" w:type="dxa"/>
            <w:shd w:val="clear" w:color="auto" w:fill="auto"/>
            <w:vAlign w:val="center"/>
          </w:tcPr>
          <w:p>
            <w:pPr>
              <w:pStyle w:val="36"/>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3" w:type="dxa"/>
            <w:vMerge w:val="continue"/>
            <w:vAlign w:val="center"/>
          </w:tcPr>
          <w:p>
            <w:pPr>
              <w:pStyle w:val="36"/>
            </w:pPr>
          </w:p>
        </w:tc>
        <w:tc>
          <w:tcPr>
            <w:tcW w:w="2306" w:type="dxa"/>
            <w:vMerge w:val="restart"/>
            <w:shd w:val="clear" w:color="auto" w:fill="auto"/>
            <w:vAlign w:val="center"/>
          </w:tcPr>
          <w:p>
            <w:pPr>
              <w:pStyle w:val="36"/>
            </w:pPr>
            <w:r>
              <w:rPr>
                <w:rFonts w:hint="eastAsia"/>
              </w:rPr>
              <w:t>单元级清单管控要求</w:t>
            </w:r>
          </w:p>
        </w:tc>
        <w:tc>
          <w:tcPr>
            <w:tcW w:w="1874" w:type="dxa"/>
            <w:shd w:val="clear" w:color="auto" w:fill="auto"/>
            <w:vAlign w:val="center"/>
          </w:tcPr>
          <w:p>
            <w:pPr>
              <w:pStyle w:val="36"/>
            </w:pPr>
            <w:r>
              <w:rPr>
                <w:rFonts w:hint="eastAsia"/>
              </w:rPr>
              <w:t>空间布局约束</w:t>
            </w:r>
          </w:p>
        </w:tc>
        <w:tc>
          <w:tcPr>
            <w:tcW w:w="7317" w:type="dxa"/>
            <w:shd w:val="clear" w:color="auto" w:fill="auto"/>
            <w:vAlign w:val="center"/>
          </w:tcPr>
          <w:p>
            <w:pPr>
              <w:pStyle w:val="36"/>
              <w:jc w:val="left"/>
            </w:pPr>
            <w:r>
              <w:rPr>
                <w:rFonts w:hint="eastAsia"/>
              </w:rPr>
              <w:t>/</w:t>
            </w:r>
          </w:p>
        </w:tc>
        <w:tc>
          <w:tcPr>
            <w:tcW w:w="1302" w:type="dxa"/>
            <w:shd w:val="clear" w:color="auto" w:fill="auto"/>
            <w:vAlign w:val="center"/>
          </w:tcPr>
          <w:p>
            <w:pPr>
              <w:pStyle w:val="36"/>
            </w:pPr>
            <w:r>
              <w:rPr>
                <w:rFonts w:hint="eastAsia"/>
              </w:rPr>
              <w:t>/</w:t>
            </w:r>
          </w:p>
        </w:tc>
        <w:tc>
          <w:tcPr>
            <w:tcW w:w="696" w:type="dxa"/>
            <w:shd w:val="clear" w:color="auto" w:fill="auto"/>
            <w:vAlign w:val="center"/>
          </w:tcPr>
          <w:p>
            <w:pPr>
              <w:pStyle w:val="36"/>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3" w:type="dxa"/>
            <w:vMerge w:val="continue"/>
            <w:vAlign w:val="center"/>
          </w:tcPr>
          <w:p>
            <w:pPr>
              <w:pStyle w:val="36"/>
            </w:pPr>
          </w:p>
        </w:tc>
        <w:tc>
          <w:tcPr>
            <w:tcW w:w="2306" w:type="dxa"/>
            <w:vMerge w:val="continue"/>
            <w:vAlign w:val="center"/>
          </w:tcPr>
          <w:p>
            <w:pPr>
              <w:pStyle w:val="36"/>
            </w:pPr>
          </w:p>
        </w:tc>
        <w:tc>
          <w:tcPr>
            <w:tcW w:w="1874" w:type="dxa"/>
            <w:shd w:val="clear" w:color="auto" w:fill="auto"/>
            <w:vAlign w:val="center"/>
          </w:tcPr>
          <w:p>
            <w:pPr>
              <w:pStyle w:val="36"/>
            </w:pPr>
            <w:r>
              <w:rPr>
                <w:rFonts w:hint="eastAsia"/>
              </w:rPr>
              <w:t>污染物排放管控</w:t>
            </w:r>
          </w:p>
        </w:tc>
        <w:tc>
          <w:tcPr>
            <w:tcW w:w="7317" w:type="dxa"/>
            <w:shd w:val="clear" w:color="auto" w:fill="auto"/>
            <w:vAlign w:val="center"/>
          </w:tcPr>
          <w:p>
            <w:pPr>
              <w:pStyle w:val="36"/>
              <w:jc w:val="left"/>
            </w:pPr>
            <w:r>
              <w:rPr>
                <w:rFonts w:hint="eastAsia"/>
              </w:rPr>
              <w:t>/</w:t>
            </w:r>
          </w:p>
        </w:tc>
        <w:tc>
          <w:tcPr>
            <w:tcW w:w="1302" w:type="dxa"/>
            <w:shd w:val="clear" w:color="auto" w:fill="auto"/>
            <w:vAlign w:val="center"/>
          </w:tcPr>
          <w:p>
            <w:pPr>
              <w:pStyle w:val="36"/>
            </w:pPr>
            <w:r>
              <w:rPr>
                <w:rFonts w:hint="eastAsia"/>
              </w:rPr>
              <w:t>/</w:t>
            </w:r>
          </w:p>
        </w:tc>
        <w:tc>
          <w:tcPr>
            <w:tcW w:w="696" w:type="dxa"/>
            <w:shd w:val="clear" w:color="auto" w:fill="auto"/>
            <w:vAlign w:val="center"/>
          </w:tcPr>
          <w:p>
            <w:pPr>
              <w:pStyle w:val="36"/>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3" w:type="dxa"/>
            <w:vMerge w:val="continue"/>
            <w:vAlign w:val="center"/>
          </w:tcPr>
          <w:p>
            <w:pPr>
              <w:pStyle w:val="36"/>
            </w:pPr>
          </w:p>
        </w:tc>
        <w:tc>
          <w:tcPr>
            <w:tcW w:w="2306" w:type="dxa"/>
            <w:vMerge w:val="continue"/>
            <w:vAlign w:val="center"/>
          </w:tcPr>
          <w:p>
            <w:pPr>
              <w:pStyle w:val="36"/>
            </w:pPr>
          </w:p>
        </w:tc>
        <w:tc>
          <w:tcPr>
            <w:tcW w:w="1874" w:type="dxa"/>
            <w:shd w:val="clear" w:color="auto" w:fill="auto"/>
            <w:vAlign w:val="center"/>
          </w:tcPr>
          <w:p>
            <w:pPr>
              <w:pStyle w:val="36"/>
            </w:pPr>
            <w:r>
              <w:rPr>
                <w:rFonts w:hint="eastAsia"/>
              </w:rPr>
              <w:t>环境风险防控</w:t>
            </w:r>
          </w:p>
        </w:tc>
        <w:tc>
          <w:tcPr>
            <w:tcW w:w="7317" w:type="dxa"/>
            <w:shd w:val="clear" w:color="auto" w:fill="auto"/>
            <w:vAlign w:val="center"/>
          </w:tcPr>
          <w:p>
            <w:pPr>
              <w:pStyle w:val="36"/>
              <w:jc w:val="left"/>
            </w:pPr>
            <w:r>
              <w:rPr>
                <w:rFonts w:hint="eastAsia"/>
              </w:rPr>
              <w:t>/</w:t>
            </w:r>
          </w:p>
        </w:tc>
        <w:tc>
          <w:tcPr>
            <w:tcW w:w="1302" w:type="dxa"/>
            <w:shd w:val="clear" w:color="auto" w:fill="auto"/>
            <w:vAlign w:val="center"/>
          </w:tcPr>
          <w:p>
            <w:pPr>
              <w:pStyle w:val="36"/>
            </w:pPr>
            <w:r>
              <w:rPr>
                <w:rFonts w:hint="eastAsia"/>
              </w:rPr>
              <w:t>/</w:t>
            </w:r>
          </w:p>
        </w:tc>
        <w:tc>
          <w:tcPr>
            <w:tcW w:w="696" w:type="dxa"/>
            <w:shd w:val="clear" w:color="auto" w:fill="auto"/>
            <w:vAlign w:val="center"/>
          </w:tcPr>
          <w:p>
            <w:pPr>
              <w:pStyle w:val="36"/>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1" w:hRule="atLeast"/>
          <w:jc w:val="center"/>
        </w:trPr>
        <w:tc>
          <w:tcPr>
            <w:tcW w:w="693" w:type="dxa"/>
            <w:vMerge w:val="continue"/>
            <w:vAlign w:val="center"/>
          </w:tcPr>
          <w:p>
            <w:pPr>
              <w:pStyle w:val="36"/>
            </w:pPr>
          </w:p>
        </w:tc>
        <w:tc>
          <w:tcPr>
            <w:tcW w:w="2306" w:type="dxa"/>
            <w:vMerge w:val="continue"/>
            <w:vAlign w:val="center"/>
          </w:tcPr>
          <w:p>
            <w:pPr>
              <w:pStyle w:val="36"/>
            </w:pPr>
          </w:p>
        </w:tc>
        <w:tc>
          <w:tcPr>
            <w:tcW w:w="1874" w:type="dxa"/>
            <w:shd w:val="clear" w:color="auto" w:fill="auto"/>
            <w:vAlign w:val="center"/>
          </w:tcPr>
          <w:p>
            <w:pPr>
              <w:pStyle w:val="36"/>
            </w:pPr>
            <w:r>
              <w:rPr>
                <w:rFonts w:hint="eastAsia"/>
              </w:rPr>
              <w:t>资源开发效率要求</w:t>
            </w:r>
          </w:p>
        </w:tc>
        <w:tc>
          <w:tcPr>
            <w:tcW w:w="7317" w:type="dxa"/>
            <w:shd w:val="clear" w:color="auto" w:fill="auto"/>
            <w:vAlign w:val="center"/>
          </w:tcPr>
          <w:p>
            <w:pPr>
              <w:pStyle w:val="36"/>
              <w:jc w:val="left"/>
            </w:pPr>
            <w:r>
              <w:rPr>
                <w:rFonts w:hint="eastAsia"/>
              </w:rPr>
              <w:t>/</w:t>
            </w:r>
          </w:p>
        </w:tc>
        <w:tc>
          <w:tcPr>
            <w:tcW w:w="1302" w:type="dxa"/>
            <w:shd w:val="clear" w:color="auto" w:fill="auto"/>
            <w:vAlign w:val="center"/>
          </w:tcPr>
          <w:p>
            <w:pPr>
              <w:pStyle w:val="36"/>
            </w:pPr>
            <w:r>
              <w:rPr>
                <w:rFonts w:hint="eastAsia"/>
              </w:rPr>
              <w:t>/</w:t>
            </w:r>
          </w:p>
        </w:tc>
        <w:tc>
          <w:tcPr>
            <w:tcW w:w="696" w:type="dxa"/>
            <w:shd w:val="clear" w:color="auto" w:fill="auto"/>
            <w:vAlign w:val="center"/>
          </w:tcPr>
          <w:p>
            <w:pPr>
              <w:pStyle w:val="36"/>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3" w:type="dxa"/>
            <w:vMerge w:val="restart"/>
            <w:shd w:val="clear" w:color="auto" w:fill="auto"/>
            <w:vAlign w:val="center"/>
          </w:tcPr>
          <w:p>
            <w:pPr>
              <w:pStyle w:val="36"/>
            </w:pPr>
            <w:r>
              <w:rPr>
                <w:rFonts w:ascii="宋体" w:hAnsi="宋体"/>
                <w:szCs w:val="21"/>
              </w:rPr>
              <w:t>ZH51092120001</w:t>
            </w:r>
            <w:r>
              <w:rPr>
                <w:rFonts w:hint="eastAsia" w:ascii="宋体" w:hAnsi="宋体"/>
                <w:szCs w:val="21"/>
              </w:rPr>
              <w:t>环境综合管控单元城镇重点管控单元蓬溪县城镇空间</w:t>
            </w:r>
          </w:p>
        </w:tc>
        <w:tc>
          <w:tcPr>
            <w:tcW w:w="2306" w:type="dxa"/>
            <w:vMerge w:val="restart"/>
            <w:shd w:val="clear" w:color="auto" w:fill="auto"/>
            <w:vAlign w:val="center"/>
          </w:tcPr>
          <w:p>
            <w:pPr>
              <w:pStyle w:val="36"/>
            </w:pPr>
            <w:r>
              <w:rPr>
                <w:rFonts w:hint="eastAsia"/>
              </w:rPr>
              <w:t>普适性清单管控要求</w:t>
            </w:r>
          </w:p>
        </w:tc>
        <w:tc>
          <w:tcPr>
            <w:tcW w:w="1874" w:type="dxa"/>
            <w:shd w:val="clear" w:color="auto" w:fill="auto"/>
            <w:vAlign w:val="center"/>
          </w:tcPr>
          <w:p>
            <w:pPr>
              <w:pStyle w:val="36"/>
            </w:pPr>
            <w:r>
              <w:rPr>
                <w:rFonts w:hint="eastAsia"/>
              </w:rPr>
              <w:t>空间布局约束</w:t>
            </w:r>
          </w:p>
        </w:tc>
        <w:tc>
          <w:tcPr>
            <w:tcW w:w="7317" w:type="dxa"/>
            <w:shd w:val="clear" w:color="auto" w:fill="auto"/>
            <w:vAlign w:val="center"/>
          </w:tcPr>
          <w:p>
            <w:pPr>
              <w:pStyle w:val="36"/>
              <w:jc w:val="left"/>
              <w:rPr>
                <w:rFonts w:hint="eastAsia" w:ascii="宋体" w:hAnsi="宋体"/>
                <w:color w:val="000000"/>
                <w:szCs w:val="21"/>
              </w:rPr>
            </w:pPr>
            <w:r>
              <w:rPr>
                <w:rFonts w:hint="eastAsia" w:ascii="宋体" w:hAnsi="宋体"/>
                <w:color w:val="000000"/>
                <w:szCs w:val="21"/>
              </w:rPr>
              <w:t>空间布局约束：</w:t>
            </w:r>
          </w:p>
          <w:p>
            <w:pPr>
              <w:pStyle w:val="36"/>
              <w:jc w:val="left"/>
              <w:rPr>
                <w:rFonts w:hint="eastAsia" w:ascii="宋体" w:hAnsi="宋体"/>
                <w:color w:val="000000"/>
                <w:szCs w:val="21"/>
              </w:rPr>
            </w:pPr>
            <w:r>
              <w:rPr>
                <w:rFonts w:hint="eastAsia" w:ascii="宋体" w:hAnsi="宋体"/>
                <w:color w:val="000000"/>
                <w:szCs w:val="21"/>
              </w:rPr>
              <w:t>禁止开发建设活动的要求</w:t>
            </w:r>
          </w:p>
          <w:p>
            <w:pPr>
              <w:pStyle w:val="36"/>
              <w:jc w:val="left"/>
              <w:rPr>
                <w:rFonts w:hint="eastAsia" w:ascii="宋体" w:hAnsi="宋体"/>
                <w:color w:val="000000"/>
                <w:szCs w:val="21"/>
              </w:rPr>
            </w:pPr>
            <w:r>
              <w:rPr>
                <w:rFonts w:hint="eastAsia" w:ascii="宋体" w:hAnsi="宋体"/>
                <w:color w:val="000000"/>
                <w:szCs w:val="21"/>
              </w:rPr>
              <w:t>1.原则上禁止新建工业企业。</w:t>
            </w:r>
          </w:p>
          <w:p>
            <w:pPr>
              <w:pStyle w:val="36"/>
              <w:jc w:val="left"/>
              <w:rPr>
                <w:rFonts w:hint="eastAsia" w:ascii="宋体" w:hAnsi="宋体"/>
                <w:color w:val="000000"/>
                <w:szCs w:val="21"/>
              </w:rPr>
            </w:pPr>
            <w:r>
              <w:rPr>
                <w:rFonts w:hint="eastAsia" w:ascii="宋体" w:hAnsi="宋体"/>
                <w:color w:val="000000"/>
                <w:szCs w:val="21"/>
              </w:rPr>
              <w:t>2.禁止在长江干支流岸线一公里范围内新建、扩建化工园区和化工项目。禁止在长江干流岸线三公里范围内和重要支流岸线一公里范围内新建、改建、扩建尾矿库；但是以提升安全、生态环境保护水平为目的的改建除外。</w:t>
            </w:r>
          </w:p>
          <w:p>
            <w:pPr>
              <w:pStyle w:val="36"/>
              <w:jc w:val="left"/>
              <w:rPr>
                <w:rFonts w:hint="eastAsia" w:ascii="宋体" w:hAnsi="宋体"/>
                <w:color w:val="000000"/>
                <w:szCs w:val="21"/>
              </w:rPr>
            </w:pPr>
            <w:r>
              <w:rPr>
                <w:rFonts w:hint="eastAsia" w:ascii="宋体" w:hAnsi="宋体"/>
                <w:color w:val="000000"/>
                <w:szCs w:val="21"/>
              </w:rPr>
              <w:t>3.严格执行相关行业企业布局选址要求，禁止在居民区、学校、医疗</w:t>
            </w:r>
            <w:r>
              <w:rPr>
                <w:rFonts w:hint="eastAsia" w:ascii="宋体" w:hAnsi="宋体"/>
                <w:color w:val="000000"/>
                <w:szCs w:val="21"/>
                <w:lang w:val="en-US" w:eastAsia="zh-CN"/>
              </w:rPr>
              <w:t>机构</w:t>
            </w:r>
            <w:r>
              <w:rPr>
                <w:rFonts w:hint="eastAsia" w:ascii="宋体" w:hAnsi="宋体"/>
                <w:color w:val="000000"/>
                <w:szCs w:val="21"/>
              </w:rPr>
              <w:t>等周边新建有色金属冶炼、焦化、化工、铅蓄电池制造等行业企业。有序搬迁或依法关闭对土壤造成严重污染的现有企业。</w:t>
            </w:r>
          </w:p>
          <w:p>
            <w:pPr>
              <w:pStyle w:val="36"/>
              <w:jc w:val="left"/>
              <w:rPr>
                <w:rFonts w:hint="eastAsia" w:ascii="宋体" w:hAnsi="宋体"/>
                <w:color w:val="000000"/>
                <w:szCs w:val="21"/>
              </w:rPr>
            </w:pPr>
            <w:r>
              <w:rPr>
                <w:rFonts w:hint="eastAsia" w:ascii="宋体" w:hAnsi="宋体"/>
                <w:color w:val="000000"/>
                <w:szCs w:val="21"/>
              </w:rPr>
              <w:t>限制开发建设活动的要求</w:t>
            </w:r>
          </w:p>
          <w:p>
            <w:pPr>
              <w:pStyle w:val="36"/>
              <w:jc w:val="left"/>
              <w:rPr>
                <w:rFonts w:hint="eastAsia" w:ascii="宋体" w:hAnsi="宋体"/>
                <w:color w:val="000000"/>
                <w:szCs w:val="21"/>
              </w:rPr>
            </w:pPr>
            <w:r>
              <w:rPr>
                <w:rFonts w:hint="eastAsia" w:ascii="宋体" w:hAnsi="宋体"/>
                <w:color w:val="000000"/>
                <w:szCs w:val="21"/>
              </w:rPr>
              <w:t>1.对不符合国土空间规划的现有工业企业，污染物排放总量及环境风险水平只降不增，引导企业适时搬迁进入对口园区。</w:t>
            </w:r>
          </w:p>
          <w:p>
            <w:pPr>
              <w:pStyle w:val="36"/>
              <w:jc w:val="left"/>
              <w:rPr>
                <w:rFonts w:hint="eastAsia" w:ascii="宋体" w:hAnsi="宋体"/>
                <w:color w:val="000000"/>
                <w:szCs w:val="21"/>
              </w:rPr>
            </w:pPr>
            <w:r>
              <w:rPr>
                <w:rFonts w:hint="eastAsia" w:ascii="宋体" w:hAnsi="宋体"/>
                <w:color w:val="000000"/>
                <w:szCs w:val="21"/>
              </w:rPr>
              <w:t>2.严控新设工业园区，如确需新布局工业园区，应充分论证选址的环境合理性。</w:t>
            </w:r>
          </w:p>
          <w:p>
            <w:pPr>
              <w:pStyle w:val="36"/>
              <w:jc w:val="left"/>
              <w:rPr>
                <w:rFonts w:hint="eastAsia" w:ascii="宋体" w:hAnsi="宋体"/>
                <w:color w:val="000000"/>
                <w:szCs w:val="21"/>
              </w:rPr>
            </w:pPr>
            <w:r>
              <w:rPr>
                <w:rFonts w:hint="eastAsia" w:ascii="宋体" w:hAnsi="宋体"/>
                <w:color w:val="000000"/>
                <w:szCs w:val="21"/>
              </w:rPr>
              <w:t>3.严控在长江及主要支流岸线1公里范围内新建石油化工、煤化工、涉磷、造纸、印染、制革等项目。</w:t>
            </w:r>
          </w:p>
          <w:p>
            <w:pPr>
              <w:pStyle w:val="36"/>
              <w:jc w:val="left"/>
              <w:rPr>
                <w:rFonts w:hint="eastAsia" w:ascii="宋体" w:hAnsi="宋体"/>
                <w:color w:val="000000"/>
                <w:szCs w:val="21"/>
              </w:rPr>
            </w:pPr>
            <w:r>
              <w:rPr>
                <w:rFonts w:hint="eastAsia" w:ascii="宋体" w:hAnsi="宋体"/>
                <w:color w:val="000000"/>
                <w:szCs w:val="21"/>
              </w:rPr>
              <w:t>不符合空间布局要求活动的退出要求</w:t>
            </w:r>
          </w:p>
          <w:p>
            <w:pPr>
              <w:pStyle w:val="36"/>
              <w:jc w:val="left"/>
              <w:rPr>
                <w:rFonts w:hint="eastAsia" w:ascii="宋体" w:hAnsi="宋体"/>
                <w:color w:val="000000"/>
                <w:szCs w:val="21"/>
              </w:rPr>
            </w:pPr>
            <w:r>
              <w:rPr>
                <w:rFonts w:hint="eastAsia" w:ascii="宋体" w:hAnsi="宋体"/>
                <w:color w:val="000000"/>
                <w:szCs w:val="21"/>
              </w:rPr>
              <w:t>1.按照相关规划和要求，清理整顿非法采砂、非法码头，全面清除不合规码头。</w:t>
            </w:r>
          </w:p>
          <w:p>
            <w:pPr>
              <w:pStyle w:val="36"/>
              <w:jc w:val="left"/>
              <w:rPr>
                <w:rFonts w:hint="eastAsia" w:ascii="宋体" w:hAnsi="宋体"/>
                <w:color w:val="000000"/>
                <w:szCs w:val="21"/>
              </w:rPr>
            </w:pPr>
            <w:r>
              <w:rPr>
                <w:rFonts w:hint="eastAsia" w:ascii="宋体" w:hAnsi="宋体"/>
                <w:color w:val="000000"/>
                <w:szCs w:val="21"/>
              </w:rPr>
              <w:t>2.加快现有高污染或高风险产品生产化学品企业“退城入园”进度，逐步退出环境敏感区。</w:t>
            </w:r>
          </w:p>
          <w:p>
            <w:pPr>
              <w:pStyle w:val="36"/>
              <w:jc w:val="left"/>
            </w:pPr>
          </w:p>
        </w:tc>
        <w:tc>
          <w:tcPr>
            <w:tcW w:w="1302" w:type="dxa"/>
            <w:shd w:val="clear" w:color="auto" w:fill="auto"/>
            <w:vAlign w:val="center"/>
          </w:tcPr>
          <w:p>
            <w:pPr>
              <w:pStyle w:val="36"/>
            </w:pPr>
            <w:r>
              <w:t>本工程为</w:t>
            </w:r>
            <w:r>
              <w:rPr>
                <w:rFonts w:hint="eastAsia"/>
              </w:rPr>
              <w:t>河湖整治与防洪除涝工程</w:t>
            </w:r>
            <w:r>
              <w:t>，不属于工业企业</w:t>
            </w:r>
          </w:p>
        </w:tc>
        <w:tc>
          <w:tcPr>
            <w:tcW w:w="696" w:type="dxa"/>
            <w:shd w:val="clear" w:color="auto" w:fill="auto"/>
            <w:vAlign w:val="center"/>
          </w:tcPr>
          <w:p>
            <w:pPr>
              <w:pStyle w:val="36"/>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3" w:type="dxa"/>
            <w:vMerge w:val="continue"/>
            <w:vAlign w:val="center"/>
          </w:tcPr>
          <w:p>
            <w:pPr>
              <w:pStyle w:val="36"/>
            </w:pPr>
          </w:p>
        </w:tc>
        <w:tc>
          <w:tcPr>
            <w:tcW w:w="2306" w:type="dxa"/>
            <w:vMerge w:val="continue"/>
            <w:vAlign w:val="center"/>
          </w:tcPr>
          <w:p>
            <w:pPr>
              <w:pStyle w:val="36"/>
            </w:pPr>
          </w:p>
        </w:tc>
        <w:tc>
          <w:tcPr>
            <w:tcW w:w="1874" w:type="dxa"/>
            <w:shd w:val="clear" w:color="auto" w:fill="auto"/>
            <w:vAlign w:val="center"/>
          </w:tcPr>
          <w:p>
            <w:pPr>
              <w:pStyle w:val="36"/>
            </w:pPr>
            <w:r>
              <w:rPr>
                <w:rFonts w:hint="eastAsia"/>
              </w:rPr>
              <w:t>污染物排放管控</w:t>
            </w:r>
          </w:p>
        </w:tc>
        <w:tc>
          <w:tcPr>
            <w:tcW w:w="7317" w:type="dxa"/>
            <w:shd w:val="clear" w:color="auto" w:fill="auto"/>
            <w:vAlign w:val="center"/>
          </w:tcPr>
          <w:p>
            <w:pPr>
              <w:pStyle w:val="36"/>
              <w:jc w:val="left"/>
              <w:rPr>
                <w:rFonts w:hint="eastAsia" w:ascii="宋体" w:hAnsi="宋体"/>
                <w:color w:val="000000"/>
                <w:szCs w:val="21"/>
              </w:rPr>
            </w:pPr>
            <w:r>
              <w:rPr>
                <w:rFonts w:hint="eastAsia" w:ascii="宋体" w:hAnsi="宋体"/>
                <w:color w:val="000000"/>
                <w:szCs w:val="21"/>
              </w:rPr>
              <w:t>现有源提标升级改造</w:t>
            </w:r>
          </w:p>
          <w:p>
            <w:pPr>
              <w:pStyle w:val="36"/>
              <w:jc w:val="left"/>
              <w:rPr>
                <w:rFonts w:hint="eastAsia" w:ascii="宋体" w:hAnsi="宋体"/>
                <w:color w:val="000000"/>
                <w:szCs w:val="21"/>
              </w:rPr>
            </w:pPr>
            <w:r>
              <w:rPr>
                <w:rFonts w:hint="eastAsia" w:ascii="宋体" w:hAnsi="宋体"/>
                <w:color w:val="000000"/>
                <w:szCs w:val="21"/>
              </w:rPr>
              <w:t>1.到2023年，县级及以上城市设施能力基本满足生活污水处理需求。生活污水收集效能明显提升。</w:t>
            </w:r>
          </w:p>
          <w:p>
            <w:pPr>
              <w:pStyle w:val="36"/>
              <w:jc w:val="left"/>
              <w:rPr>
                <w:rFonts w:hint="eastAsia" w:ascii="宋体" w:hAnsi="宋体"/>
                <w:color w:val="000000"/>
                <w:szCs w:val="21"/>
              </w:rPr>
            </w:pPr>
            <w:r>
              <w:rPr>
                <w:rFonts w:hint="eastAsia" w:ascii="宋体" w:hAnsi="宋体"/>
                <w:color w:val="000000"/>
                <w:szCs w:val="21"/>
              </w:rPr>
              <w:t>2.到2025年，水环境敏感地区污水处理基本达到一级A排放标准。</w:t>
            </w:r>
          </w:p>
          <w:p>
            <w:pPr>
              <w:pStyle w:val="36"/>
              <w:jc w:val="left"/>
              <w:rPr>
                <w:rFonts w:hint="eastAsia" w:ascii="宋体" w:hAnsi="宋体"/>
                <w:color w:val="000000"/>
                <w:szCs w:val="21"/>
              </w:rPr>
            </w:pPr>
            <w:r>
              <w:rPr>
                <w:rFonts w:hint="eastAsia" w:ascii="宋体" w:hAnsi="宋体"/>
                <w:color w:val="000000"/>
                <w:szCs w:val="21"/>
              </w:rPr>
              <w:t>3.到2035年，城市生活污水收集管网基本全覆盖，城镇污 水处理能力全覆盖。</w:t>
            </w:r>
          </w:p>
          <w:p>
            <w:pPr>
              <w:pStyle w:val="36"/>
              <w:jc w:val="left"/>
              <w:rPr>
                <w:rFonts w:hint="eastAsia" w:ascii="宋体" w:hAnsi="宋体"/>
                <w:color w:val="000000"/>
                <w:szCs w:val="21"/>
              </w:rPr>
            </w:pPr>
            <w:r>
              <w:rPr>
                <w:rFonts w:hint="eastAsia" w:ascii="宋体" w:hAnsi="宋体"/>
                <w:color w:val="000000"/>
                <w:szCs w:val="21"/>
              </w:rPr>
              <w:t>4.机动车船实施国六排放标准，推广使用达到国六排放标准的燃气车辆。</w:t>
            </w:r>
          </w:p>
          <w:p>
            <w:pPr>
              <w:pStyle w:val="36"/>
              <w:jc w:val="left"/>
              <w:rPr>
                <w:rFonts w:hint="eastAsia" w:ascii="宋体" w:hAnsi="宋体"/>
                <w:color w:val="000000"/>
                <w:szCs w:val="21"/>
              </w:rPr>
            </w:pPr>
            <w:r>
              <w:rPr>
                <w:rFonts w:hint="eastAsia" w:ascii="宋体" w:hAnsi="宋体"/>
                <w:color w:val="000000"/>
                <w:szCs w:val="21"/>
              </w:rPr>
              <w:t>5.全面落实各类施工工地扬尘防控措施，重点、重大项目工地实现视频监控、可吸入颗粒物（PM10）在线监测全覆盖。</w:t>
            </w:r>
          </w:p>
          <w:p>
            <w:pPr>
              <w:pStyle w:val="36"/>
              <w:jc w:val="left"/>
              <w:rPr>
                <w:rFonts w:hint="eastAsia" w:ascii="宋体" w:hAnsi="宋体"/>
                <w:color w:val="000000"/>
                <w:szCs w:val="21"/>
              </w:rPr>
            </w:pPr>
            <w:r>
              <w:rPr>
                <w:rFonts w:hint="eastAsia" w:ascii="宋体" w:hAnsi="宋体"/>
                <w:color w:val="000000"/>
                <w:szCs w:val="21"/>
              </w:rPr>
              <w:t>6.有序开展城市生活源VOCs污染防治；全面推广房屋建筑和市政工程涉VOCs工序环节使用低VOCs含量涂料和胶粘剂；推进加油站按照《四川省加油站大气污染排放标准》要求安装油气处理装置。</w:t>
            </w:r>
          </w:p>
          <w:p>
            <w:pPr>
              <w:pStyle w:val="36"/>
              <w:jc w:val="left"/>
              <w:rPr>
                <w:rFonts w:hint="eastAsia" w:ascii="宋体" w:hAnsi="宋体"/>
                <w:color w:val="000000"/>
                <w:szCs w:val="21"/>
              </w:rPr>
            </w:pPr>
            <w:r>
              <w:rPr>
                <w:rFonts w:hint="eastAsia" w:ascii="宋体" w:hAnsi="宋体"/>
                <w:color w:val="000000"/>
                <w:szCs w:val="21"/>
              </w:rPr>
              <w:t>7.加大新能源汽车在城市公交、出租汽车、城市配送、邮政快递、机场、铁路货场、重点地区港口等领域应用，地级以上城市清洁能源汽车在公共领域使用率显著提升，设区的市城市公交车基本实现新能源化。</w:t>
            </w:r>
          </w:p>
          <w:p>
            <w:pPr>
              <w:pStyle w:val="36"/>
              <w:jc w:val="left"/>
              <w:rPr>
                <w:rFonts w:hint="eastAsia" w:ascii="宋体" w:hAnsi="宋体"/>
                <w:color w:val="000000"/>
                <w:szCs w:val="21"/>
              </w:rPr>
            </w:pPr>
            <w:r>
              <w:rPr>
                <w:rFonts w:hint="eastAsia" w:ascii="宋体" w:hAnsi="宋体"/>
                <w:color w:val="000000"/>
                <w:szCs w:val="21"/>
              </w:rPr>
              <w:t>其他污染物排放管控要求</w:t>
            </w:r>
          </w:p>
          <w:p>
            <w:pPr>
              <w:pStyle w:val="36"/>
              <w:jc w:val="left"/>
              <w:rPr>
                <w:rFonts w:hint="eastAsia" w:ascii="宋体" w:hAnsi="宋体"/>
                <w:color w:val="000000"/>
                <w:szCs w:val="21"/>
              </w:rPr>
            </w:pPr>
            <w:r>
              <w:rPr>
                <w:rFonts w:hint="eastAsia" w:ascii="宋体" w:hAnsi="宋体"/>
                <w:color w:val="000000"/>
                <w:szCs w:val="21"/>
              </w:rPr>
              <w:t>1.新增源等量或倍量替代：上一年度水环境质量未完成目标的，新建排放水污染</w:t>
            </w:r>
            <w:r>
              <w:rPr>
                <w:rFonts w:hint="eastAsia" w:ascii="宋体" w:hAnsi="宋体"/>
                <w:color w:val="000000"/>
                <w:szCs w:val="21"/>
                <w:lang w:val="en-US" w:eastAsia="zh-CN"/>
              </w:rPr>
              <w:t>物</w:t>
            </w:r>
            <w:r>
              <w:rPr>
                <w:rFonts w:hint="eastAsia" w:ascii="宋体" w:hAnsi="宋体"/>
                <w:color w:val="000000"/>
                <w:szCs w:val="21"/>
              </w:rPr>
              <w:t>的建设项目按照总量管控要求进行倍量削减替代。上一年度空气质量年平均浓度不达标的城市，建设项目新增相关污染物按照总量管控要求进行倍量削减替代。</w:t>
            </w:r>
          </w:p>
          <w:p>
            <w:pPr>
              <w:pStyle w:val="36"/>
              <w:jc w:val="left"/>
              <w:rPr>
                <w:rFonts w:hint="eastAsia" w:ascii="宋体" w:hAnsi="宋体"/>
                <w:color w:val="000000"/>
                <w:szCs w:val="21"/>
              </w:rPr>
            </w:pPr>
            <w:r>
              <w:rPr>
                <w:rFonts w:hint="eastAsia" w:ascii="宋体" w:hAnsi="宋体"/>
                <w:color w:val="000000"/>
                <w:szCs w:val="21"/>
              </w:rPr>
              <w:t>2.污染物排放绩效水平准入要求：（1）到2025年基本消除城市建成区生活污水直排口和收集处理设施空白区。（2）到2030年，遂宁市城市生活污水处理率提高到97%。（3）严格落实建设工地管理要求，做好扬尘污染管控工作。（4）城市建成区道路机械化清扫率达到90%以上。（5）工业固体废物资源化利用、无害化处置率100%；危险废物、医疗废物和放射性废物无害化处置率100%。（6）到2025年底，建立健全源头严防、过程严管、后果严惩的危险废物监管体系。危险废物利用处置能力充分保障，技术和运营水平进一步提升。（7）从事机动车修理、印刷、服装干洗、研发等排放挥发性有机污染物的生产作业，应当按照有关技术规范进行综合治理。推广机动车维修企业使用水性、紫外光固化涂料，禁止露天和敞开式喷漆作业；包装印刷业必须使用符合环保要求的油墨；餐饮服务业油烟必须经处理达到相应排放标准要求。（8）建材行业原料破碎、生产、运输、装卸等各环节严格落实抑尘措施，有效控制粉尘无组织排放。（9）到2023年底，地级以上城市具备厨余垃圾集中处理能力，县城生活垃圾无害化处理率保持95%以上，乡镇及行政村生活垃圾收转运处置体系基本实现全覆盖；生活垃圾处理设施信息化监管水平明显提升。（10）到2025年，城市和县城污泥无害化、资源化利用水平进一步提升，城市污泥无害化处置率达到90%以上。（11）到2025年，地级及以上城市基本建成生活垃圾分类处理系统。县级城市、乡镇和农村生活垃圾分类工作取得成效，生活垃圾减量化、资源化、无害化水平显著提高。加快厨余垃圾处置设施建设，鼓励区域统筹规划建设厨余垃圾处置中心。（12）定期对油烟净化设施进行维护保养，并保存维护保养记录，确保油烟稳定达标排放，设施正常使用率不低于90%。</w:t>
            </w:r>
          </w:p>
          <w:p>
            <w:pPr>
              <w:pStyle w:val="36"/>
              <w:jc w:val="left"/>
              <w:rPr>
                <w:rFonts w:hint="eastAsia" w:ascii="宋体" w:hAnsi="宋体"/>
                <w:color w:val="000000"/>
                <w:szCs w:val="21"/>
              </w:rPr>
            </w:pPr>
            <w:r>
              <w:rPr>
                <w:rFonts w:hint="eastAsia" w:ascii="宋体" w:hAnsi="宋体"/>
                <w:color w:val="000000"/>
                <w:szCs w:val="21"/>
              </w:rPr>
              <w:t>3.新建噪声敏感建筑物时，建设单位应全面执行绿色建筑标准，合理确定建筑物与交通干线等的防噪声距离，落实隔声减噪措施。</w:t>
            </w:r>
          </w:p>
          <w:p>
            <w:pPr>
              <w:pStyle w:val="36"/>
              <w:jc w:val="left"/>
              <w:rPr>
                <w:rFonts w:hint="eastAsia" w:ascii="宋体" w:hAnsi="宋体"/>
                <w:color w:val="000000"/>
                <w:szCs w:val="21"/>
              </w:rPr>
            </w:pPr>
            <w:r>
              <w:rPr>
                <w:rFonts w:hint="eastAsia" w:ascii="宋体" w:hAnsi="宋体"/>
                <w:color w:val="000000"/>
                <w:szCs w:val="21"/>
              </w:rPr>
              <w:t>4.已竣工交付使用的住宅楼、商铺、办公楼等建筑物不得在午、夜间进行产噪装修作业，在其他时间进行装修作业的，应当采取噪声防治措施。</w:t>
            </w:r>
          </w:p>
        </w:tc>
        <w:tc>
          <w:tcPr>
            <w:tcW w:w="1302" w:type="dxa"/>
            <w:shd w:val="clear" w:color="auto" w:fill="auto"/>
            <w:vAlign w:val="center"/>
          </w:tcPr>
          <w:p>
            <w:pPr>
              <w:pStyle w:val="36"/>
            </w:pPr>
            <w:r>
              <w:rPr>
                <w:rFonts w:ascii="宋体" w:hAnsi="宋体"/>
                <w:spacing w:val="-2"/>
                <w:szCs w:val="22"/>
              </w:rPr>
              <w:t>本项目为生态影响类项目，不属于工业企业，建成后无污染物排</w:t>
            </w:r>
            <w:r>
              <w:rPr>
                <w:rFonts w:ascii="宋体" w:hAnsi="宋体"/>
                <w:spacing w:val="-10"/>
                <w:szCs w:val="22"/>
              </w:rPr>
              <w:t>放</w:t>
            </w:r>
          </w:p>
        </w:tc>
        <w:tc>
          <w:tcPr>
            <w:tcW w:w="696" w:type="dxa"/>
            <w:shd w:val="clear" w:color="auto" w:fill="auto"/>
            <w:vAlign w:val="center"/>
          </w:tcPr>
          <w:p>
            <w:pPr>
              <w:pStyle w:val="36"/>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3" w:type="dxa"/>
            <w:vMerge w:val="continue"/>
            <w:vAlign w:val="center"/>
          </w:tcPr>
          <w:p>
            <w:pPr>
              <w:pStyle w:val="36"/>
            </w:pPr>
          </w:p>
        </w:tc>
        <w:tc>
          <w:tcPr>
            <w:tcW w:w="2306" w:type="dxa"/>
            <w:vMerge w:val="continue"/>
            <w:vAlign w:val="center"/>
          </w:tcPr>
          <w:p>
            <w:pPr>
              <w:pStyle w:val="36"/>
            </w:pPr>
          </w:p>
        </w:tc>
        <w:tc>
          <w:tcPr>
            <w:tcW w:w="1874" w:type="dxa"/>
            <w:shd w:val="clear" w:color="auto" w:fill="auto"/>
            <w:vAlign w:val="center"/>
          </w:tcPr>
          <w:p>
            <w:pPr>
              <w:pStyle w:val="36"/>
            </w:pPr>
            <w:r>
              <w:rPr>
                <w:rFonts w:hint="eastAsia"/>
              </w:rPr>
              <w:t>环境风险防控</w:t>
            </w:r>
          </w:p>
        </w:tc>
        <w:tc>
          <w:tcPr>
            <w:tcW w:w="7317" w:type="dxa"/>
            <w:shd w:val="clear" w:color="auto" w:fill="auto"/>
            <w:vAlign w:val="center"/>
          </w:tcPr>
          <w:p>
            <w:pPr>
              <w:pStyle w:val="36"/>
              <w:jc w:val="left"/>
              <w:rPr>
                <w:rFonts w:hint="eastAsia" w:ascii="宋体" w:hAnsi="宋体"/>
                <w:color w:val="000000"/>
                <w:szCs w:val="21"/>
              </w:rPr>
            </w:pPr>
            <w:r>
              <w:rPr>
                <w:rFonts w:hint="eastAsia" w:ascii="宋体" w:hAnsi="宋体"/>
                <w:color w:val="000000"/>
                <w:szCs w:val="21"/>
              </w:rPr>
              <w:t>联防联控要求</w:t>
            </w:r>
          </w:p>
          <w:p>
            <w:pPr>
              <w:pStyle w:val="36"/>
              <w:jc w:val="left"/>
              <w:rPr>
                <w:rFonts w:hint="eastAsia" w:ascii="宋体" w:hAnsi="宋体"/>
                <w:color w:val="000000"/>
                <w:szCs w:val="21"/>
              </w:rPr>
            </w:pPr>
            <w:r>
              <w:rPr>
                <w:rFonts w:hint="eastAsia" w:ascii="宋体" w:hAnsi="宋体"/>
                <w:color w:val="000000"/>
                <w:szCs w:val="21"/>
              </w:rPr>
              <w:t>加强成都平原经济区信息共享和联动合作，协力推进产业和能源结构优化调整，加强大气污染源头防控，加强潼遂合作。</w:t>
            </w:r>
          </w:p>
          <w:p>
            <w:pPr>
              <w:pStyle w:val="36"/>
              <w:jc w:val="left"/>
              <w:rPr>
                <w:rFonts w:hint="eastAsia" w:ascii="宋体" w:hAnsi="宋体"/>
                <w:color w:val="000000"/>
                <w:szCs w:val="21"/>
              </w:rPr>
            </w:pPr>
            <w:r>
              <w:rPr>
                <w:rFonts w:hint="eastAsia" w:ascii="宋体" w:hAnsi="宋体"/>
                <w:color w:val="000000"/>
                <w:szCs w:val="21"/>
              </w:rPr>
              <w:t>其他环境风险防控要求</w:t>
            </w:r>
          </w:p>
          <w:p>
            <w:pPr>
              <w:pStyle w:val="36"/>
              <w:jc w:val="left"/>
              <w:rPr>
                <w:rFonts w:hint="eastAsia" w:ascii="宋体" w:hAnsi="宋体"/>
                <w:color w:val="000000"/>
                <w:szCs w:val="21"/>
              </w:rPr>
            </w:pPr>
            <w:r>
              <w:rPr>
                <w:rFonts w:hint="eastAsia" w:ascii="宋体" w:hAnsi="宋体"/>
                <w:color w:val="000000"/>
                <w:szCs w:val="21"/>
              </w:rPr>
              <w:t>1.企业环境风险防控要求：现有涉及五类重金属排放的企业，严控污染物排放，限时整治或搬迁。</w:t>
            </w:r>
          </w:p>
          <w:p>
            <w:pPr>
              <w:pStyle w:val="36"/>
              <w:jc w:val="left"/>
              <w:rPr>
                <w:rFonts w:hint="eastAsia" w:ascii="宋体" w:hAnsi="宋体"/>
                <w:color w:val="000000"/>
                <w:szCs w:val="21"/>
              </w:rPr>
            </w:pPr>
            <w:r>
              <w:rPr>
                <w:rFonts w:hint="eastAsia" w:ascii="宋体" w:hAnsi="宋体"/>
                <w:color w:val="000000"/>
                <w:szCs w:val="21"/>
              </w:rPr>
              <w:t>2.用地环境风险防控要求：（1）工业企业退出用地，须经评估、修复满足相应用地功能后，方可改变用途。（2）列入建设用地土壤污染风险管控和修复名录的地块，不得作为住宅、公共管理与公共服务用地。</w:t>
            </w:r>
          </w:p>
          <w:p>
            <w:pPr>
              <w:pStyle w:val="36"/>
              <w:jc w:val="left"/>
            </w:pPr>
          </w:p>
        </w:tc>
        <w:tc>
          <w:tcPr>
            <w:tcW w:w="1302" w:type="dxa"/>
            <w:shd w:val="clear" w:color="auto" w:fill="auto"/>
            <w:vAlign w:val="center"/>
          </w:tcPr>
          <w:p>
            <w:pPr>
              <w:pStyle w:val="36"/>
            </w:pPr>
            <w:r>
              <w:rPr>
                <w:rFonts w:ascii="宋体" w:hAnsi="宋体"/>
                <w:spacing w:val="-2"/>
                <w:szCs w:val="22"/>
              </w:rPr>
              <w:t>本项目为生态影响类项目，不属于工业企业，建成后无污染物排</w:t>
            </w:r>
            <w:r>
              <w:rPr>
                <w:rFonts w:ascii="宋体" w:hAnsi="宋体"/>
                <w:spacing w:val="-10"/>
                <w:szCs w:val="22"/>
              </w:rPr>
              <w:t>放</w:t>
            </w:r>
          </w:p>
        </w:tc>
        <w:tc>
          <w:tcPr>
            <w:tcW w:w="696" w:type="dxa"/>
            <w:shd w:val="clear" w:color="auto" w:fill="auto"/>
            <w:vAlign w:val="center"/>
          </w:tcPr>
          <w:p>
            <w:pPr>
              <w:pStyle w:val="36"/>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3" w:type="dxa"/>
            <w:vMerge w:val="continue"/>
            <w:vAlign w:val="center"/>
          </w:tcPr>
          <w:p>
            <w:pPr>
              <w:pStyle w:val="36"/>
            </w:pPr>
          </w:p>
        </w:tc>
        <w:tc>
          <w:tcPr>
            <w:tcW w:w="2306" w:type="dxa"/>
            <w:vMerge w:val="continue"/>
            <w:vAlign w:val="center"/>
          </w:tcPr>
          <w:p>
            <w:pPr>
              <w:pStyle w:val="36"/>
            </w:pPr>
          </w:p>
        </w:tc>
        <w:tc>
          <w:tcPr>
            <w:tcW w:w="1874" w:type="dxa"/>
            <w:shd w:val="clear" w:color="auto" w:fill="auto"/>
            <w:vAlign w:val="center"/>
          </w:tcPr>
          <w:p>
            <w:pPr>
              <w:pStyle w:val="36"/>
            </w:pPr>
            <w:r>
              <w:rPr>
                <w:rFonts w:hint="eastAsia"/>
              </w:rPr>
              <w:t>资源开发效率要求</w:t>
            </w:r>
          </w:p>
        </w:tc>
        <w:tc>
          <w:tcPr>
            <w:tcW w:w="7317" w:type="dxa"/>
            <w:shd w:val="clear" w:color="auto" w:fill="auto"/>
            <w:vAlign w:val="center"/>
          </w:tcPr>
          <w:p>
            <w:pPr>
              <w:pStyle w:val="36"/>
              <w:jc w:val="left"/>
              <w:rPr>
                <w:rFonts w:hint="eastAsia" w:ascii="宋体" w:hAnsi="宋体"/>
                <w:color w:val="000000"/>
                <w:szCs w:val="21"/>
              </w:rPr>
            </w:pPr>
            <w:r>
              <w:rPr>
                <w:rFonts w:hint="eastAsia" w:ascii="宋体" w:hAnsi="宋体"/>
                <w:color w:val="000000"/>
                <w:szCs w:val="21"/>
              </w:rPr>
              <w:t>资源开发利用效率要求：</w:t>
            </w:r>
          </w:p>
          <w:p>
            <w:pPr>
              <w:pStyle w:val="36"/>
              <w:jc w:val="left"/>
              <w:rPr>
                <w:rFonts w:hint="eastAsia" w:ascii="宋体" w:hAnsi="宋体"/>
                <w:color w:val="000000"/>
                <w:szCs w:val="21"/>
              </w:rPr>
            </w:pPr>
            <w:r>
              <w:rPr>
                <w:rFonts w:hint="eastAsia" w:ascii="宋体" w:hAnsi="宋体"/>
                <w:color w:val="000000"/>
                <w:szCs w:val="21"/>
              </w:rPr>
              <w:t>水资源利用总量要求</w:t>
            </w:r>
          </w:p>
          <w:p>
            <w:pPr>
              <w:pStyle w:val="36"/>
              <w:jc w:val="left"/>
              <w:rPr>
                <w:rFonts w:hint="eastAsia" w:ascii="宋体" w:hAnsi="宋体"/>
                <w:color w:val="000000"/>
                <w:szCs w:val="21"/>
              </w:rPr>
            </w:pPr>
            <w:r>
              <w:rPr>
                <w:rFonts w:hint="eastAsia" w:ascii="宋体" w:hAnsi="宋体"/>
                <w:color w:val="000000"/>
                <w:szCs w:val="21"/>
              </w:rPr>
              <w:t>到2025年，全国地级及以上缺水城市再生水利用率达到25%。</w:t>
            </w:r>
          </w:p>
          <w:p>
            <w:pPr>
              <w:pStyle w:val="36"/>
              <w:jc w:val="left"/>
              <w:rPr>
                <w:rFonts w:hint="eastAsia" w:ascii="宋体" w:hAnsi="宋体"/>
                <w:color w:val="000000"/>
                <w:szCs w:val="21"/>
              </w:rPr>
            </w:pPr>
            <w:r>
              <w:rPr>
                <w:rFonts w:hint="eastAsia" w:ascii="宋体" w:hAnsi="宋体"/>
                <w:color w:val="000000"/>
                <w:szCs w:val="21"/>
              </w:rPr>
              <w:t>地下水开采要求</w:t>
            </w:r>
          </w:p>
          <w:p>
            <w:pPr>
              <w:pStyle w:val="36"/>
              <w:jc w:val="left"/>
              <w:rPr>
                <w:rFonts w:hint="eastAsia" w:ascii="宋体" w:hAnsi="宋体"/>
                <w:color w:val="000000"/>
                <w:szCs w:val="21"/>
              </w:rPr>
            </w:pPr>
            <w:r>
              <w:rPr>
                <w:rFonts w:hint="eastAsia" w:ascii="宋体" w:hAnsi="宋体"/>
                <w:color w:val="000000"/>
                <w:szCs w:val="21"/>
              </w:rPr>
              <w:t>全面建设节水型社会，达到合理高效用水。</w:t>
            </w:r>
          </w:p>
          <w:p>
            <w:pPr>
              <w:pStyle w:val="36"/>
              <w:jc w:val="left"/>
              <w:rPr>
                <w:rFonts w:hint="eastAsia" w:ascii="宋体" w:hAnsi="宋体"/>
                <w:color w:val="000000"/>
                <w:szCs w:val="21"/>
              </w:rPr>
            </w:pPr>
            <w:r>
              <w:rPr>
                <w:rFonts w:hint="eastAsia" w:ascii="宋体" w:hAnsi="宋体"/>
                <w:color w:val="000000"/>
                <w:szCs w:val="21"/>
              </w:rPr>
              <w:t>能源利用总量及效率要求</w:t>
            </w:r>
          </w:p>
          <w:p>
            <w:pPr>
              <w:pStyle w:val="36"/>
              <w:jc w:val="left"/>
              <w:rPr>
                <w:rFonts w:hint="eastAsia" w:ascii="宋体" w:hAnsi="宋体"/>
                <w:color w:val="000000"/>
                <w:szCs w:val="21"/>
              </w:rPr>
            </w:pPr>
            <w:r>
              <w:rPr>
                <w:rFonts w:hint="eastAsia" w:ascii="宋体" w:hAnsi="宋体"/>
                <w:color w:val="000000"/>
                <w:szCs w:val="21"/>
              </w:rPr>
              <w:t>1.严控使用燃煤等高污染燃料，禁止焚烧垃圾。</w:t>
            </w:r>
          </w:p>
          <w:p>
            <w:pPr>
              <w:pStyle w:val="36"/>
              <w:jc w:val="left"/>
              <w:rPr>
                <w:rFonts w:hint="eastAsia" w:ascii="宋体" w:hAnsi="宋体"/>
                <w:color w:val="000000"/>
                <w:szCs w:val="21"/>
              </w:rPr>
            </w:pPr>
            <w:r>
              <w:rPr>
                <w:rFonts w:hint="eastAsia" w:ascii="宋体" w:hAnsi="宋体"/>
                <w:color w:val="000000"/>
                <w:szCs w:val="21"/>
              </w:rPr>
              <w:t>2.全面淘汰每小时10蒸吨以下的燃煤锅炉；在供气管网覆盖不到的其他地区，改用电、新能源或洁净煤。</w:t>
            </w:r>
          </w:p>
          <w:p>
            <w:pPr>
              <w:pStyle w:val="36"/>
              <w:jc w:val="left"/>
              <w:rPr>
                <w:rFonts w:hint="eastAsia" w:ascii="宋体" w:hAnsi="宋体"/>
                <w:color w:val="000000"/>
                <w:szCs w:val="21"/>
              </w:rPr>
            </w:pPr>
            <w:r>
              <w:rPr>
                <w:rFonts w:hint="eastAsia" w:ascii="宋体" w:hAnsi="宋体"/>
                <w:color w:val="000000"/>
                <w:szCs w:val="21"/>
              </w:rPr>
              <w:t>3.地级以上城市建成区禁止新建每小时20蒸吨以下燃煤锅炉；对20蒸吨及以上燃煤锅炉实施脱硫改造，建设高效脱硫设施；对循环流化床锅炉以外的燃煤发电机组一律安装脱硫设施，对燃煤锅炉和工业锅炉现有除尘设施实施升级改造，确保达到新的排放标准和特别排放限值。</w:t>
            </w:r>
          </w:p>
          <w:p>
            <w:pPr>
              <w:pStyle w:val="36"/>
              <w:jc w:val="left"/>
              <w:rPr>
                <w:rFonts w:hint="eastAsia" w:ascii="宋体" w:hAnsi="宋体"/>
                <w:color w:val="000000"/>
                <w:szCs w:val="21"/>
              </w:rPr>
            </w:pPr>
            <w:r>
              <w:rPr>
                <w:rFonts w:hint="eastAsia" w:ascii="宋体" w:hAnsi="宋体"/>
                <w:color w:val="000000"/>
                <w:szCs w:val="21"/>
              </w:rPr>
              <w:t>禁燃区要求</w:t>
            </w:r>
          </w:p>
          <w:p>
            <w:pPr>
              <w:pStyle w:val="36"/>
              <w:jc w:val="left"/>
              <w:rPr>
                <w:rFonts w:hint="eastAsia" w:ascii="宋体" w:hAnsi="宋体"/>
                <w:color w:val="000000"/>
                <w:szCs w:val="21"/>
              </w:rPr>
            </w:pPr>
            <w:r>
              <w:rPr>
                <w:rFonts w:hint="eastAsia" w:ascii="宋体" w:hAnsi="宋体"/>
                <w:color w:val="000000"/>
                <w:szCs w:val="21"/>
              </w:rPr>
              <w:t>1.禁燃区内禁止燃烧以下高污染燃料：</w:t>
            </w:r>
          </w:p>
          <w:p>
            <w:pPr>
              <w:pStyle w:val="36"/>
              <w:jc w:val="left"/>
              <w:rPr>
                <w:rFonts w:hint="eastAsia" w:ascii="宋体" w:hAnsi="宋体"/>
                <w:color w:val="000000"/>
                <w:szCs w:val="21"/>
              </w:rPr>
            </w:pPr>
            <w:r>
              <w:rPr>
                <w:rFonts w:hint="eastAsia" w:ascii="宋体" w:hAnsi="宋体"/>
                <w:color w:val="000000"/>
                <w:szCs w:val="21"/>
              </w:rPr>
              <w:t>（1）煤炭及其制品（包括原煤、散煤、煤矸石、煤泥、煤 粉、水浆煤、型煤、焦炭、兰炭、油类等常规燃料）。</w:t>
            </w:r>
          </w:p>
          <w:p>
            <w:pPr>
              <w:pStyle w:val="36"/>
              <w:jc w:val="left"/>
              <w:rPr>
                <w:rFonts w:hint="eastAsia" w:ascii="宋体" w:hAnsi="宋体"/>
                <w:color w:val="000000"/>
                <w:szCs w:val="21"/>
              </w:rPr>
            </w:pPr>
            <w:r>
              <w:rPr>
                <w:rFonts w:hint="eastAsia" w:ascii="宋体" w:hAnsi="宋体"/>
                <w:color w:val="000000"/>
                <w:szCs w:val="21"/>
              </w:rPr>
              <w:t>（2）石油焦、油页岩、原油、重油、渣油、煤焦油。</w:t>
            </w:r>
          </w:p>
          <w:p>
            <w:pPr>
              <w:pStyle w:val="36"/>
              <w:jc w:val="left"/>
              <w:rPr>
                <w:rFonts w:hint="eastAsia" w:ascii="宋体" w:hAnsi="宋体"/>
                <w:color w:val="000000"/>
                <w:szCs w:val="21"/>
              </w:rPr>
            </w:pPr>
            <w:r>
              <w:rPr>
                <w:rFonts w:hint="eastAsia" w:ascii="宋体" w:hAnsi="宋体"/>
                <w:color w:val="000000"/>
                <w:szCs w:val="21"/>
              </w:rPr>
              <w:t>（3）非专用锅炉或未配置高效除尘设施的专用锅炉燃用的 生物质成型燃料。</w:t>
            </w:r>
          </w:p>
          <w:p>
            <w:pPr>
              <w:pStyle w:val="36"/>
              <w:jc w:val="left"/>
              <w:rPr>
                <w:rFonts w:hint="eastAsia" w:ascii="宋体" w:hAnsi="宋体"/>
                <w:color w:val="000000"/>
                <w:szCs w:val="21"/>
              </w:rPr>
            </w:pPr>
            <w:r>
              <w:rPr>
                <w:rFonts w:hint="eastAsia" w:ascii="宋体" w:hAnsi="宋体"/>
                <w:color w:val="000000"/>
                <w:szCs w:val="21"/>
              </w:rPr>
              <w:t>2.禁燃区内禁止新建、扩建燃用高污染燃料的锅炉、炉窑、 炉灶等燃烧设施（集中供热、电厂锅炉除外）。</w:t>
            </w:r>
          </w:p>
          <w:p>
            <w:pPr>
              <w:pStyle w:val="36"/>
              <w:jc w:val="left"/>
              <w:rPr>
                <w:rFonts w:hint="eastAsia" w:ascii="宋体" w:hAnsi="宋体"/>
                <w:color w:val="000000"/>
                <w:szCs w:val="21"/>
              </w:rPr>
            </w:pPr>
            <w:r>
              <w:rPr>
                <w:rFonts w:hint="eastAsia" w:ascii="宋体" w:hAnsi="宋体"/>
                <w:color w:val="000000"/>
                <w:szCs w:val="21"/>
              </w:rPr>
              <w:t>3.自2020年1月1日起，禁燃区内禁止销售高污染燃料。</w:t>
            </w:r>
          </w:p>
          <w:p>
            <w:pPr>
              <w:pStyle w:val="36"/>
              <w:jc w:val="left"/>
              <w:rPr>
                <w:rFonts w:hint="eastAsia" w:ascii="宋体" w:hAnsi="宋体"/>
                <w:color w:val="000000"/>
                <w:szCs w:val="21"/>
              </w:rPr>
            </w:pPr>
            <w:r>
              <w:rPr>
                <w:rFonts w:hint="eastAsia" w:ascii="宋体" w:hAnsi="宋体"/>
                <w:color w:val="000000"/>
                <w:szCs w:val="21"/>
              </w:rPr>
              <w:t>4.加强对集中供热、电厂锅炉、10蒸吨/时以上的在用燃煤锅炉以及改用清洁能源前的在用锅炉等燃烧设施的监管，确保达标排放。</w:t>
            </w:r>
          </w:p>
          <w:p>
            <w:pPr>
              <w:pStyle w:val="36"/>
              <w:jc w:val="left"/>
            </w:pPr>
          </w:p>
        </w:tc>
        <w:tc>
          <w:tcPr>
            <w:tcW w:w="1302" w:type="dxa"/>
            <w:shd w:val="clear" w:color="auto" w:fill="auto"/>
            <w:vAlign w:val="center"/>
          </w:tcPr>
          <w:p>
            <w:pPr>
              <w:pStyle w:val="36"/>
            </w:pPr>
            <w:r>
              <w:t>本工程为</w:t>
            </w:r>
            <w:r>
              <w:rPr>
                <w:rFonts w:hint="eastAsia"/>
              </w:rPr>
              <w:t>河湖整治与防洪除涝工程，不涉及地下水的开采</w:t>
            </w:r>
          </w:p>
        </w:tc>
        <w:tc>
          <w:tcPr>
            <w:tcW w:w="696" w:type="dxa"/>
            <w:shd w:val="clear" w:color="auto" w:fill="auto"/>
            <w:vAlign w:val="center"/>
          </w:tcPr>
          <w:p>
            <w:pPr>
              <w:pStyle w:val="36"/>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3" w:type="dxa"/>
            <w:vMerge w:val="continue"/>
            <w:vAlign w:val="center"/>
          </w:tcPr>
          <w:p>
            <w:pPr>
              <w:pStyle w:val="36"/>
            </w:pPr>
          </w:p>
        </w:tc>
        <w:tc>
          <w:tcPr>
            <w:tcW w:w="2306" w:type="dxa"/>
            <w:vMerge w:val="restart"/>
            <w:shd w:val="clear" w:color="auto" w:fill="auto"/>
            <w:vAlign w:val="center"/>
          </w:tcPr>
          <w:p>
            <w:pPr>
              <w:pStyle w:val="36"/>
            </w:pPr>
            <w:r>
              <w:rPr>
                <w:rFonts w:hint="eastAsia"/>
              </w:rPr>
              <w:t>单元级清单管控要求</w:t>
            </w:r>
          </w:p>
        </w:tc>
        <w:tc>
          <w:tcPr>
            <w:tcW w:w="1874" w:type="dxa"/>
            <w:shd w:val="clear" w:color="auto" w:fill="auto"/>
            <w:vAlign w:val="center"/>
          </w:tcPr>
          <w:p>
            <w:pPr>
              <w:pStyle w:val="36"/>
            </w:pPr>
            <w:r>
              <w:rPr>
                <w:rFonts w:hint="eastAsia"/>
              </w:rPr>
              <w:t>空间布局约束</w:t>
            </w:r>
          </w:p>
        </w:tc>
        <w:tc>
          <w:tcPr>
            <w:tcW w:w="7317" w:type="dxa"/>
            <w:shd w:val="clear" w:color="auto" w:fill="auto"/>
            <w:vAlign w:val="center"/>
          </w:tcPr>
          <w:p>
            <w:pPr>
              <w:pStyle w:val="36"/>
              <w:jc w:val="left"/>
              <w:rPr>
                <w:rFonts w:hint="eastAsia" w:ascii="宋体" w:hAnsi="宋体"/>
                <w:szCs w:val="21"/>
              </w:rPr>
            </w:pPr>
            <w:r>
              <w:rPr>
                <w:rFonts w:hint="eastAsia" w:ascii="宋体" w:hAnsi="宋体"/>
                <w:szCs w:val="21"/>
              </w:rPr>
              <w:t>禁止开发建设活动的要求</w:t>
            </w:r>
          </w:p>
          <w:p>
            <w:pPr>
              <w:pStyle w:val="36"/>
              <w:jc w:val="left"/>
              <w:rPr>
                <w:rFonts w:hint="eastAsia" w:ascii="宋体" w:hAnsi="宋体"/>
                <w:szCs w:val="21"/>
              </w:rPr>
            </w:pPr>
            <w:r>
              <w:rPr>
                <w:rFonts w:hint="eastAsia" w:ascii="宋体" w:hAnsi="宋体"/>
                <w:szCs w:val="21"/>
              </w:rPr>
              <w:t>参照遂宁市总体准入要求-城镇重点管控单元</w:t>
            </w:r>
          </w:p>
          <w:p>
            <w:pPr>
              <w:pStyle w:val="36"/>
              <w:jc w:val="left"/>
              <w:rPr>
                <w:rFonts w:hint="eastAsia" w:ascii="宋体" w:hAnsi="宋体"/>
                <w:szCs w:val="21"/>
              </w:rPr>
            </w:pPr>
            <w:r>
              <w:rPr>
                <w:rFonts w:hint="eastAsia" w:ascii="宋体" w:hAnsi="宋体"/>
                <w:szCs w:val="21"/>
              </w:rPr>
              <w:t>限制开发建设活动的要求</w:t>
            </w:r>
          </w:p>
          <w:p>
            <w:pPr>
              <w:pStyle w:val="36"/>
              <w:jc w:val="left"/>
              <w:rPr>
                <w:rFonts w:hint="eastAsia" w:ascii="宋体" w:hAnsi="宋体"/>
                <w:szCs w:val="21"/>
              </w:rPr>
            </w:pPr>
            <w:r>
              <w:rPr>
                <w:rFonts w:hint="eastAsia" w:ascii="宋体" w:hAnsi="宋体"/>
                <w:szCs w:val="21"/>
              </w:rPr>
              <w:t>1.城市发展遵循“西进南连，东延北扩”的用地布局战略</w:t>
            </w:r>
          </w:p>
          <w:p>
            <w:pPr>
              <w:pStyle w:val="36"/>
              <w:jc w:val="left"/>
              <w:rPr>
                <w:rFonts w:hint="eastAsia" w:ascii="宋体" w:hAnsi="宋体"/>
                <w:szCs w:val="21"/>
              </w:rPr>
            </w:pPr>
            <w:r>
              <w:rPr>
                <w:rFonts w:hint="eastAsia" w:ascii="宋体" w:hAnsi="宋体"/>
                <w:szCs w:val="21"/>
              </w:rPr>
              <w:t>2.现有纺织、运输公司大修等二、三类工业企业限制发展，污染物只降不增，适时有序退出</w:t>
            </w:r>
          </w:p>
          <w:p>
            <w:pPr>
              <w:pStyle w:val="36"/>
              <w:jc w:val="left"/>
              <w:rPr>
                <w:rFonts w:hint="eastAsia" w:ascii="宋体" w:hAnsi="宋体"/>
                <w:szCs w:val="21"/>
              </w:rPr>
            </w:pPr>
            <w:r>
              <w:rPr>
                <w:rFonts w:hint="eastAsia" w:ascii="宋体" w:hAnsi="宋体"/>
                <w:szCs w:val="21"/>
              </w:rPr>
              <w:t>3.其他参照遂宁市总体准入要求-城镇重点管控单元</w:t>
            </w:r>
          </w:p>
          <w:p>
            <w:pPr>
              <w:pStyle w:val="36"/>
              <w:jc w:val="left"/>
            </w:pPr>
          </w:p>
        </w:tc>
        <w:tc>
          <w:tcPr>
            <w:tcW w:w="1302" w:type="dxa"/>
            <w:shd w:val="clear" w:color="auto" w:fill="auto"/>
            <w:vAlign w:val="center"/>
          </w:tcPr>
          <w:p>
            <w:pPr>
              <w:pStyle w:val="36"/>
            </w:pPr>
            <w:r>
              <w:rPr>
                <w:rFonts w:ascii="宋体" w:hAnsi="宋体"/>
                <w:spacing w:val="-2"/>
                <w:szCs w:val="22"/>
              </w:rPr>
              <w:t>本项目为生态影响类项目，不属于工业企业，建成后无污染物排</w:t>
            </w:r>
            <w:r>
              <w:rPr>
                <w:rFonts w:ascii="宋体" w:hAnsi="宋体"/>
                <w:spacing w:val="-10"/>
                <w:szCs w:val="22"/>
              </w:rPr>
              <w:t>放</w:t>
            </w:r>
          </w:p>
        </w:tc>
        <w:tc>
          <w:tcPr>
            <w:tcW w:w="696" w:type="dxa"/>
            <w:shd w:val="clear" w:color="auto" w:fill="auto"/>
            <w:vAlign w:val="center"/>
          </w:tcPr>
          <w:p>
            <w:pPr>
              <w:pStyle w:val="36"/>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3" w:type="dxa"/>
            <w:vMerge w:val="continue"/>
            <w:vAlign w:val="center"/>
          </w:tcPr>
          <w:p>
            <w:pPr>
              <w:pStyle w:val="36"/>
            </w:pPr>
          </w:p>
        </w:tc>
        <w:tc>
          <w:tcPr>
            <w:tcW w:w="2306" w:type="dxa"/>
            <w:vMerge w:val="continue"/>
            <w:vAlign w:val="center"/>
          </w:tcPr>
          <w:p>
            <w:pPr>
              <w:pStyle w:val="36"/>
            </w:pPr>
          </w:p>
        </w:tc>
        <w:tc>
          <w:tcPr>
            <w:tcW w:w="1874" w:type="dxa"/>
            <w:shd w:val="clear" w:color="auto" w:fill="auto"/>
            <w:vAlign w:val="center"/>
          </w:tcPr>
          <w:p>
            <w:pPr>
              <w:pStyle w:val="36"/>
            </w:pPr>
            <w:r>
              <w:rPr>
                <w:rFonts w:hint="eastAsia"/>
              </w:rPr>
              <w:t>污染物排放管控</w:t>
            </w:r>
          </w:p>
        </w:tc>
        <w:tc>
          <w:tcPr>
            <w:tcW w:w="7317" w:type="dxa"/>
            <w:shd w:val="clear" w:color="auto" w:fill="auto"/>
            <w:vAlign w:val="center"/>
          </w:tcPr>
          <w:p>
            <w:pPr>
              <w:pStyle w:val="36"/>
              <w:jc w:val="left"/>
              <w:rPr>
                <w:rFonts w:hint="eastAsia" w:ascii="宋体" w:hAnsi="宋体"/>
                <w:szCs w:val="21"/>
              </w:rPr>
            </w:pPr>
            <w:r>
              <w:rPr>
                <w:rFonts w:hint="eastAsia" w:ascii="宋体" w:hAnsi="宋体"/>
                <w:szCs w:val="21"/>
              </w:rPr>
              <w:t>现有源提标升级改造</w:t>
            </w:r>
          </w:p>
          <w:p>
            <w:pPr>
              <w:pStyle w:val="36"/>
              <w:jc w:val="left"/>
              <w:rPr>
                <w:rFonts w:hint="eastAsia" w:ascii="宋体" w:hAnsi="宋体"/>
                <w:szCs w:val="21"/>
              </w:rPr>
            </w:pPr>
            <w:r>
              <w:rPr>
                <w:rFonts w:hint="eastAsia" w:ascii="宋体" w:hAnsi="宋体"/>
                <w:szCs w:val="21"/>
              </w:rPr>
              <w:t>参照遂宁市总体准入要求-城镇重点管控单元</w:t>
            </w:r>
          </w:p>
          <w:p>
            <w:pPr>
              <w:pStyle w:val="36"/>
              <w:jc w:val="left"/>
              <w:rPr>
                <w:rFonts w:hint="eastAsia" w:ascii="宋体" w:hAnsi="宋体"/>
                <w:szCs w:val="21"/>
              </w:rPr>
            </w:pPr>
            <w:r>
              <w:rPr>
                <w:rFonts w:hint="eastAsia" w:ascii="宋体" w:hAnsi="宋体"/>
                <w:szCs w:val="21"/>
              </w:rPr>
              <w:t>新增源等量或倍量替代</w:t>
            </w:r>
          </w:p>
          <w:p>
            <w:pPr>
              <w:pStyle w:val="36"/>
              <w:jc w:val="left"/>
              <w:rPr>
                <w:rFonts w:hint="eastAsia" w:ascii="宋体" w:hAnsi="宋体"/>
                <w:szCs w:val="21"/>
              </w:rPr>
            </w:pPr>
            <w:r>
              <w:rPr>
                <w:rFonts w:hint="eastAsia" w:ascii="宋体" w:hAnsi="宋体"/>
                <w:szCs w:val="21"/>
              </w:rPr>
              <w:t>参照遂宁市总体准入要求-城镇重点管控单元</w:t>
            </w:r>
          </w:p>
          <w:p>
            <w:pPr>
              <w:pStyle w:val="36"/>
              <w:jc w:val="left"/>
            </w:pPr>
          </w:p>
        </w:tc>
        <w:tc>
          <w:tcPr>
            <w:tcW w:w="1302" w:type="dxa"/>
            <w:shd w:val="clear" w:color="auto" w:fill="auto"/>
            <w:vAlign w:val="center"/>
          </w:tcPr>
          <w:p>
            <w:pPr>
              <w:pStyle w:val="36"/>
            </w:pPr>
            <w:r>
              <w:rPr>
                <w:rFonts w:ascii="宋体" w:hAnsi="宋体"/>
                <w:spacing w:val="-2"/>
                <w:szCs w:val="22"/>
              </w:rPr>
              <w:t>本项目为生态影响类项目，不属于工业企业，建成后无污染物排</w:t>
            </w:r>
            <w:r>
              <w:rPr>
                <w:rFonts w:ascii="宋体" w:hAnsi="宋体"/>
                <w:spacing w:val="-10"/>
                <w:szCs w:val="22"/>
              </w:rPr>
              <w:t>放</w:t>
            </w:r>
          </w:p>
        </w:tc>
        <w:tc>
          <w:tcPr>
            <w:tcW w:w="696" w:type="dxa"/>
            <w:shd w:val="clear" w:color="auto" w:fill="auto"/>
            <w:vAlign w:val="center"/>
          </w:tcPr>
          <w:p>
            <w:pPr>
              <w:pStyle w:val="36"/>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3" w:type="dxa"/>
            <w:vMerge w:val="continue"/>
            <w:vAlign w:val="center"/>
          </w:tcPr>
          <w:p>
            <w:pPr>
              <w:pStyle w:val="36"/>
            </w:pPr>
          </w:p>
        </w:tc>
        <w:tc>
          <w:tcPr>
            <w:tcW w:w="2306" w:type="dxa"/>
            <w:vMerge w:val="continue"/>
            <w:vAlign w:val="center"/>
          </w:tcPr>
          <w:p>
            <w:pPr>
              <w:pStyle w:val="36"/>
            </w:pPr>
          </w:p>
        </w:tc>
        <w:tc>
          <w:tcPr>
            <w:tcW w:w="1874" w:type="dxa"/>
            <w:shd w:val="clear" w:color="auto" w:fill="auto"/>
            <w:vAlign w:val="center"/>
          </w:tcPr>
          <w:p>
            <w:pPr>
              <w:pStyle w:val="36"/>
            </w:pPr>
            <w:r>
              <w:rPr>
                <w:rFonts w:hint="eastAsia"/>
              </w:rPr>
              <w:t>环境风险防控</w:t>
            </w:r>
          </w:p>
        </w:tc>
        <w:tc>
          <w:tcPr>
            <w:tcW w:w="7317" w:type="dxa"/>
            <w:shd w:val="clear" w:color="auto" w:fill="auto"/>
            <w:vAlign w:val="center"/>
          </w:tcPr>
          <w:p>
            <w:pPr>
              <w:pStyle w:val="36"/>
              <w:jc w:val="left"/>
              <w:rPr>
                <w:rFonts w:hint="eastAsia" w:ascii="宋体" w:hAnsi="宋体"/>
                <w:szCs w:val="21"/>
              </w:rPr>
            </w:pPr>
            <w:r>
              <w:rPr>
                <w:rFonts w:hint="eastAsia" w:ascii="宋体" w:hAnsi="宋体"/>
                <w:szCs w:val="21"/>
              </w:rPr>
              <w:t>严格管控类农用地管控要求</w:t>
            </w:r>
          </w:p>
          <w:p>
            <w:pPr>
              <w:pStyle w:val="36"/>
              <w:jc w:val="left"/>
              <w:rPr>
                <w:rFonts w:hint="eastAsia" w:ascii="宋体" w:hAnsi="宋体"/>
                <w:szCs w:val="21"/>
              </w:rPr>
            </w:pPr>
            <w:r>
              <w:rPr>
                <w:rFonts w:hint="eastAsia" w:ascii="宋体" w:hAnsi="宋体"/>
                <w:szCs w:val="21"/>
              </w:rPr>
              <w:t>1.有一定危险性仓库用地远离市区，按有关规范选址和建设，留够防护距离。</w:t>
            </w:r>
          </w:p>
          <w:p>
            <w:pPr>
              <w:pStyle w:val="36"/>
              <w:jc w:val="left"/>
              <w:rPr>
                <w:rFonts w:hint="eastAsia" w:ascii="宋体" w:hAnsi="宋体"/>
                <w:szCs w:val="21"/>
              </w:rPr>
            </w:pPr>
            <w:r>
              <w:rPr>
                <w:rFonts w:hint="eastAsia" w:ascii="宋体" w:hAnsi="宋体"/>
                <w:szCs w:val="21"/>
              </w:rPr>
              <w:t>2.城镇开发边界的划定避让永久基本农田红线和生态保护红线，避开蓄滞洪区、地质灾害易发区等。</w:t>
            </w:r>
          </w:p>
          <w:p>
            <w:pPr>
              <w:pStyle w:val="36"/>
              <w:jc w:val="left"/>
              <w:rPr>
                <w:rFonts w:hint="eastAsia" w:ascii="宋体" w:hAnsi="宋体"/>
                <w:szCs w:val="21"/>
              </w:rPr>
            </w:pPr>
            <w:r>
              <w:rPr>
                <w:rFonts w:hint="eastAsia" w:ascii="宋体" w:hAnsi="宋体"/>
                <w:szCs w:val="21"/>
              </w:rPr>
              <w:t>3.其他参照遂宁市总体准入要求-城镇重点管控单元。</w:t>
            </w:r>
          </w:p>
          <w:p>
            <w:pPr>
              <w:pStyle w:val="36"/>
              <w:jc w:val="left"/>
              <w:rPr>
                <w:rFonts w:hint="eastAsia" w:ascii="宋体" w:hAnsi="宋体"/>
                <w:szCs w:val="21"/>
              </w:rPr>
            </w:pPr>
            <w:r>
              <w:rPr>
                <w:rFonts w:hint="eastAsia" w:ascii="宋体" w:hAnsi="宋体"/>
                <w:szCs w:val="21"/>
              </w:rPr>
              <w:t>安全利用类农用地管控要求</w:t>
            </w:r>
          </w:p>
          <w:p>
            <w:pPr>
              <w:pStyle w:val="36"/>
              <w:jc w:val="left"/>
              <w:rPr>
                <w:rFonts w:hint="eastAsia" w:ascii="宋体" w:hAnsi="宋体"/>
                <w:szCs w:val="21"/>
              </w:rPr>
            </w:pPr>
            <w:r>
              <w:rPr>
                <w:rFonts w:hint="eastAsia" w:ascii="宋体" w:hAnsi="宋体"/>
                <w:szCs w:val="21"/>
              </w:rPr>
              <w:t>1.有一定危险性仓库用地远离市区，按有关规范选址和建设，留够防护距离。</w:t>
            </w:r>
          </w:p>
          <w:p>
            <w:pPr>
              <w:pStyle w:val="36"/>
              <w:jc w:val="left"/>
              <w:rPr>
                <w:rFonts w:hint="eastAsia" w:ascii="宋体" w:hAnsi="宋体"/>
                <w:szCs w:val="21"/>
              </w:rPr>
            </w:pPr>
            <w:r>
              <w:rPr>
                <w:rFonts w:hint="eastAsia" w:ascii="宋体" w:hAnsi="宋体"/>
                <w:szCs w:val="21"/>
              </w:rPr>
              <w:t>2.城镇开发边界的划定避让永久基本农田红线和生态保护红线，避开蓄滞洪区、地质灾害易发区等。</w:t>
            </w:r>
          </w:p>
          <w:p>
            <w:pPr>
              <w:pStyle w:val="36"/>
              <w:jc w:val="left"/>
              <w:rPr>
                <w:rFonts w:hint="eastAsia" w:ascii="宋体" w:hAnsi="宋体"/>
                <w:szCs w:val="21"/>
              </w:rPr>
            </w:pPr>
            <w:r>
              <w:rPr>
                <w:rFonts w:hint="eastAsia" w:ascii="宋体" w:hAnsi="宋体"/>
                <w:szCs w:val="21"/>
              </w:rPr>
              <w:t>3.其他参照遂宁市总体准入要求-城镇重点管控单元。</w:t>
            </w:r>
          </w:p>
          <w:p>
            <w:pPr>
              <w:pStyle w:val="36"/>
              <w:jc w:val="left"/>
              <w:rPr>
                <w:rFonts w:hint="eastAsia" w:ascii="宋体" w:hAnsi="宋体"/>
                <w:szCs w:val="21"/>
              </w:rPr>
            </w:pPr>
            <w:r>
              <w:rPr>
                <w:rFonts w:hint="eastAsia" w:ascii="宋体" w:hAnsi="宋体"/>
                <w:szCs w:val="21"/>
              </w:rPr>
              <w:t>污染地块管控要求</w:t>
            </w:r>
          </w:p>
          <w:p>
            <w:pPr>
              <w:pStyle w:val="36"/>
              <w:jc w:val="left"/>
              <w:rPr>
                <w:rFonts w:hint="eastAsia" w:ascii="宋体" w:hAnsi="宋体"/>
                <w:szCs w:val="21"/>
              </w:rPr>
            </w:pPr>
            <w:r>
              <w:rPr>
                <w:rFonts w:hint="eastAsia" w:ascii="宋体" w:hAnsi="宋体"/>
                <w:szCs w:val="21"/>
              </w:rPr>
              <w:t>1.有一定危险性仓库用地远离市区，按有关规范选址和建设，留够防护距离。</w:t>
            </w:r>
          </w:p>
          <w:p>
            <w:pPr>
              <w:pStyle w:val="36"/>
              <w:jc w:val="left"/>
              <w:rPr>
                <w:rFonts w:hint="eastAsia" w:ascii="宋体" w:hAnsi="宋体"/>
                <w:szCs w:val="21"/>
              </w:rPr>
            </w:pPr>
            <w:r>
              <w:rPr>
                <w:rFonts w:hint="eastAsia" w:ascii="宋体" w:hAnsi="宋体"/>
                <w:szCs w:val="21"/>
              </w:rPr>
              <w:t>2.城镇开发边界的划定避让永久基本农田红线和生态保护红线，避开蓄滞洪区、地质灾害易发区等。</w:t>
            </w:r>
          </w:p>
          <w:p>
            <w:pPr>
              <w:pStyle w:val="36"/>
              <w:jc w:val="left"/>
              <w:rPr>
                <w:rFonts w:hint="eastAsia" w:ascii="宋体" w:hAnsi="宋体"/>
                <w:szCs w:val="21"/>
              </w:rPr>
            </w:pPr>
            <w:r>
              <w:rPr>
                <w:rFonts w:hint="eastAsia" w:ascii="宋体" w:hAnsi="宋体"/>
                <w:szCs w:val="21"/>
              </w:rPr>
              <w:t>3.其他参照遂宁市总体准入要求-城镇重点管控单元。</w:t>
            </w:r>
          </w:p>
        </w:tc>
        <w:tc>
          <w:tcPr>
            <w:tcW w:w="1302" w:type="dxa"/>
            <w:shd w:val="clear" w:color="auto" w:fill="auto"/>
            <w:vAlign w:val="center"/>
          </w:tcPr>
          <w:p>
            <w:pPr>
              <w:pStyle w:val="36"/>
            </w:pPr>
            <w:r>
              <w:rPr>
                <w:rFonts w:ascii="宋体" w:hAnsi="宋体"/>
                <w:spacing w:val="-2"/>
                <w:szCs w:val="22"/>
              </w:rPr>
              <w:t>本项目为生态影响类项目，不属于工业企业，建成后无污染物排</w:t>
            </w:r>
            <w:r>
              <w:rPr>
                <w:rFonts w:ascii="宋体" w:hAnsi="宋体"/>
                <w:spacing w:val="-10"/>
                <w:szCs w:val="22"/>
              </w:rPr>
              <w:t>放</w:t>
            </w:r>
          </w:p>
        </w:tc>
        <w:tc>
          <w:tcPr>
            <w:tcW w:w="696" w:type="dxa"/>
            <w:shd w:val="clear" w:color="auto" w:fill="auto"/>
            <w:vAlign w:val="center"/>
          </w:tcPr>
          <w:p>
            <w:pPr>
              <w:pStyle w:val="36"/>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3" w:type="dxa"/>
            <w:vMerge w:val="continue"/>
            <w:vAlign w:val="center"/>
          </w:tcPr>
          <w:p>
            <w:pPr>
              <w:pStyle w:val="36"/>
            </w:pPr>
          </w:p>
        </w:tc>
        <w:tc>
          <w:tcPr>
            <w:tcW w:w="2306" w:type="dxa"/>
            <w:vMerge w:val="continue"/>
            <w:vAlign w:val="center"/>
          </w:tcPr>
          <w:p>
            <w:pPr>
              <w:pStyle w:val="36"/>
            </w:pPr>
          </w:p>
        </w:tc>
        <w:tc>
          <w:tcPr>
            <w:tcW w:w="1874" w:type="dxa"/>
            <w:shd w:val="clear" w:color="auto" w:fill="auto"/>
            <w:vAlign w:val="center"/>
          </w:tcPr>
          <w:p>
            <w:pPr>
              <w:pStyle w:val="36"/>
            </w:pPr>
            <w:r>
              <w:rPr>
                <w:rFonts w:hint="eastAsia"/>
              </w:rPr>
              <w:t>资源开发效率要求</w:t>
            </w:r>
          </w:p>
        </w:tc>
        <w:tc>
          <w:tcPr>
            <w:tcW w:w="7317" w:type="dxa"/>
            <w:shd w:val="clear" w:color="auto" w:fill="auto"/>
            <w:vAlign w:val="center"/>
          </w:tcPr>
          <w:p>
            <w:pPr>
              <w:pStyle w:val="36"/>
              <w:jc w:val="left"/>
              <w:rPr>
                <w:rFonts w:hint="eastAsia" w:ascii="宋体" w:hAnsi="宋体"/>
                <w:szCs w:val="21"/>
              </w:rPr>
            </w:pPr>
            <w:r>
              <w:rPr>
                <w:rFonts w:hint="eastAsia" w:ascii="宋体" w:hAnsi="宋体"/>
                <w:szCs w:val="21"/>
              </w:rPr>
              <w:t>水资源利用效率要求</w:t>
            </w:r>
          </w:p>
          <w:p>
            <w:pPr>
              <w:pStyle w:val="36"/>
              <w:jc w:val="left"/>
              <w:rPr>
                <w:rFonts w:hint="eastAsia" w:ascii="宋体" w:hAnsi="宋体"/>
                <w:szCs w:val="21"/>
              </w:rPr>
            </w:pPr>
            <w:r>
              <w:rPr>
                <w:rFonts w:hint="eastAsia" w:ascii="宋体" w:hAnsi="宋体"/>
                <w:szCs w:val="21"/>
              </w:rPr>
              <w:t>参照遂宁市总体准入要求-城镇重点管控单元</w:t>
            </w:r>
          </w:p>
          <w:p>
            <w:pPr>
              <w:pStyle w:val="36"/>
              <w:jc w:val="left"/>
              <w:rPr>
                <w:rFonts w:hint="eastAsia" w:ascii="宋体" w:hAnsi="宋体"/>
                <w:szCs w:val="21"/>
              </w:rPr>
            </w:pPr>
            <w:r>
              <w:rPr>
                <w:rFonts w:hint="eastAsia" w:ascii="宋体" w:hAnsi="宋体"/>
                <w:szCs w:val="21"/>
              </w:rPr>
              <w:t>地下水开采要求</w:t>
            </w:r>
          </w:p>
          <w:p>
            <w:pPr>
              <w:pStyle w:val="36"/>
              <w:jc w:val="left"/>
              <w:rPr>
                <w:rFonts w:hint="eastAsia" w:ascii="宋体" w:hAnsi="宋体"/>
                <w:szCs w:val="21"/>
              </w:rPr>
            </w:pPr>
            <w:r>
              <w:rPr>
                <w:rFonts w:hint="eastAsia" w:ascii="宋体" w:hAnsi="宋体"/>
                <w:szCs w:val="21"/>
              </w:rPr>
              <w:t>（1）蓬溪县2030年地下水开采控制控制量保持在0.09亿m3以内。（2）全面建设节水型社会，达到合理高效用水。</w:t>
            </w:r>
          </w:p>
          <w:p>
            <w:pPr>
              <w:pStyle w:val="36"/>
              <w:jc w:val="left"/>
              <w:rPr>
                <w:rFonts w:hint="eastAsia" w:ascii="宋体" w:hAnsi="宋体"/>
                <w:szCs w:val="21"/>
              </w:rPr>
            </w:pPr>
            <w:r>
              <w:rPr>
                <w:rFonts w:hint="eastAsia" w:ascii="宋体" w:hAnsi="宋体"/>
                <w:szCs w:val="21"/>
              </w:rPr>
              <w:t>能源利用效率要求</w:t>
            </w:r>
          </w:p>
          <w:p>
            <w:pPr>
              <w:pStyle w:val="36"/>
              <w:jc w:val="left"/>
              <w:rPr>
                <w:rFonts w:hint="eastAsia" w:ascii="宋体" w:hAnsi="宋体"/>
                <w:szCs w:val="21"/>
              </w:rPr>
            </w:pPr>
            <w:r>
              <w:rPr>
                <w:rFonts w:hint="eastAsia" w:ascii="宋体" w:hAnsi="宋体"/>
                <w:szCs w:val="21"/>
              </w:rPr>
              <w:t>参照遂宁市总体准入要求-城镇重点管控单元</w:t>
            </w:r>
          </w:p>
          <w:p>
            <w:pPr>
              <w:pStyle w:val="36"/>
              <w:jc w:val="left"/>
              <w:rPr>
                <w:rFonts w:hint="eastAsia" w:ascii="宋体" w:hAnsi="宋体"/>
                <w:szCs w:val="21"/>
              </w:rPr>
            </w:pPr>
            <w:r>
              <w:rPr>
                <w:rFonts w:hint="eastAsia" w:ascii="宋体" w:hAnsi="宋体"/>
                <w:szCs w:val="21"/>
              </w:rPr>
              <w:t>其他资源利用效率要求</w:t>
            </w:r>
          </w:p>
          <w:p>
            <w:pPr>
              <w:pStyle w:val="36"/>
              <w:jc w:val="left"/>
            </w:pPr>
            <w:r>
              <w:rPr>
                <w:rFonts w:hint="eastAsia" w:ascii="宋体" w:hAnsi="宋体"/>
                <w:szCs w:val="21"/>
              </w:rPr>
              <w:t>禁燃区管控要求：参照遂宁市总体准入要求-城镇重点管控单元</w:t>
            </w:r>
          </w:p>
        </w:tc>
        <w:tc>
          <w:tcPr>
            <w:tcW w:w="1302" w:type="dxa"/>
            <w:shd w:val="clear" w:color="auto" w:fill="auto"/>
            <w:vAlign w:val="center"/>
          </w:tcPr>
          <w:p>
            <w:pPr>
              <w:pStyle w:val="36"/>
            </w:pPr>
            <w:r>
              <w:t>本工程为</w:t>
            </w:r>
            <w:r>
              <w:rPr>
                <w:rFonts w:hint="eastAsia"/>
              </w:rPr>
              <w:t>河湖整治与防洪除涝工程，不涉及地下水的开采</w:t>
            </w:r>
          </w:p>
        </w:tc>
        <w:tc>
          <w:tcPr>
            <w:tcW w:w="696" w:type="dxa"/>
            <w:shd w:val="clear" w:color="auto" w:fill="auto"/>
            <w:vAlign w:val="center"/>
          </w:tcPr>
          <w:p>
            <w:pPr>
              <w:pStyle w:val="36"/>
            </w:pPr>
            <w:r>
              <w:rPr>
                <w:rFonts w:hint="eastAsia"/>
              </w:rPr>
              <w:t>符合</w:t>
            </w:r>
          </w:p>
        </w:tc>
      </w:tr>
    </w:tbl>
    <w:p>
      <w:pPr>
        <w:pStyle w:val="13"/>
        <w:ind w:firstLine="600"/>
        <w:jc w:val="center"/>
        <w:outlineLvl w:val="0"/>
        <w:rPr>
          <w:rFonts w:hint="eastAsia" w:ascii="黑体" w:hAnsi="黑体" w:eastAsia="黑体"/>
          <w:snapToGrid w:val="0"/>
          <w:sz w:val="30"/>
          <w:szCs w:val="30"/>
        </w:rPr>
        <w:sectPr>
          <w:pgSz w:w="16838" w:h="11906" w:orient="landscape"/>
          <w:pgMar w:top="1800" w:right="1440" w:bottom="1800" w:left="1440" w:header="851" w:footer="1077" w:gutter="0"/>
          <w:cols w:space="720" w:num="1"/>
          <w:docGrid w:linePitch="312" w:charSpace="0"/>
        </w:sectPr>
      </w:pPr>
    </w:p>
    <w:p>
      <w:pPr>
        <w:pStyle w:val="13"/>
        <w:ind w:firstLine="600"/>
        <w:jc w:val="center"/>
        <w:outlineLvl w:val="0"/>
        <w:rPr>
          <w:rFonts w:hint="eastAsia" w:ascii="黑体" w:hAnsi="黑体" w:eastAsia="黑体"/>
          <w:snapToGrid w:val="0"/>
          <w:sz w:val="30"/>
          <w:szCs w:val="30"/>
        </w:rPr>
      </w:pPr>
      <w:r>
        <w:rPr>
          <w:rFonts w:hint="eastAsia" w:ascii="黑体" w:hAnsi="黑体" w:eastAsia="黑体"/>
          <w:snapToGrid w:val="0"/>
          <w:sz w:val="30"/>
          <w:szCs w:val="30"/>
        </w:rPr>
        <w:t>二、建设内容</w:t>
      </w:r>
    </w:p>
    <w:tbl>
      <w:tblPr>
        <w:tblStyle w:val="15"/>
        <w:tblW w:w="909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0"/>
        <w:gridCol w:w="838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497" w:hRule="atLeast"/>
          <w:jc w:val="center"/>
        </w:trPr>
        <w:tc>
          <w:tcPr>
            <w:tcW w:w="710" w:type="dxa"/>
            <w:vAlign w:val="center"/>
          </w:tcPr>
          <w:p>
            <w:pPr>
              <w:adjustRightInd w:val="0"/>
              <w:snapToGrid w:val="0"/>
              <w:jc w:val="center"/>
              <w:rPr>
                <w:rFonts w:hint="eastAsia"/>
              </w:rPr>
            </w:pPr>
            <w:r>
              <w:rPr>
                <w:rFonts w:hint="eastAsia"/>
              </w:rPr>
              <w:t>地理位置</w:t>
            </w:r>
          </w:p>
        </w:tc>
        <w:tc>
          <w:tcPr>
            <w:tcW w:w="8380" w:type="dxa"/>
            <w:vAlign w:val="center"/>
          </w:tcPr>
          <w:p>
            <w:pPr>
              <w:pStyle w:val="42"/>
              <w:ind w:firstLine="480"/>
              <w:rPr>
                <w:color w:val="333333"/>
                <w:shd w:val="clear" w:color="auto" w:fill="FFFFFF"/>
              </w:rPr>
            </w:pPr>
            <w:r>
              <w:rPr>
                <w:color w:val="333333"/>
                <w:shd w:val="clear" w:color="auto" w:fill="FFFFFF"/>
              </w:rPr>
              <w:t>蓬溪地处四川中部的嘉陵江与涪江之间的丘陵区，境内水系发达，溪河较多，源短水急。蓬溪县溪河共有198条，长964.8公里。其中10公里以上的15条。河网密度0.77公里/平方公里。水系呈平行状，格网状和树枝状，东南部蓬南镇境内的中和河、东保河和翻身乡、</w:t>
            </w:r>
            <w:r>
              <w:fldChar w:fldCharType="begin"/>
            </w:r>
            <w:r>
              <w:instrText xml:space="preserve"> HYPERLINK "https://baike.sogou.com/lemma/ShowInnerLink.htm?lemmaId=5530399&amp;ss_c=ssc.citiao.link" \t "https://baike.sogou.com/_blank" </w:instrText>
            </w:r>
            <w:r>
              <w:fldChar w:fldCharType="separate"/>
            </w:r>
            <w:r>
              <w:rPr>
                <w:color w:val="333333"/>
                <w:shd w:val="clear" w:color="auto" w:fill="FFFFFF"/>
              </w:rPr>
              <w:t>黄泥乡</w:t>
            </w:r>
            <w:r>
              <w:rPr>
                <w:color w:val="333333"/>
                <w:shd w:val="clear" w:color="auto" w:fill="FFFFFF"/>
              </w:rPr>
              <w:fldChar w:fldCharType="end"/>
            </w:r>
            <w:r>
              <w:rPr>
                <w:color w:val="333333"/>
                <w:shd w:val="clear" w:color="auto" w:fill="FFFFFF"/>
              </w:rPr>
              <w:t>境内部分溪河流入嘉陵江属嘉陵江水系，其余镇乡河流流入涪江，属涪江水系。</w:t>
            </w:r>
          </w:p>
          <w:p>
            <w:pPr>
              <w:adjustRightInd w:val="0"/>
              <w:snapToGrid w:val="0"/>
              <w:ind w:firstLine="480"/>
              <w:jc w:val="center"/>
              <w:rPr>
                <w:rFonts w:hint="eastAsia"/>
              </w:rPr>
            </w:pPr>
            <w:r>
              <w:rPr>
                <w:lang w:bidi="ar"/>
              </w:rPr>
              <w:drawing>
                <wp:inline distT="0" distB="0" distL="0" distR="0">
                  <wp:extent cx="5130800" cy="3797300"/>
                  <wp:effectExtent l="0" t="0" r="0" b="0"/>
                  <wp:docPr id="3" name="图片 1" descr="IMG_256"/>
                  <wp:cNvGraphicFramePr/>
                  <a:graphic xmlns:a="http://schemas.openxmlformats.org/drawingml/2006/main">
                    <a:graphicData uri="http://schemas.openxmlformats.org/drawingml/2006/picture">
                      <pic:pic xmlns:pic="http://schemas.openxmlformats.org/drawingml/2006/picture">
                        <pic:nvPicPr>
                          <pic:cNvPr id="3" name="图片 1" descr="IMG_256"/>
                          <pic:cNvPicPr/>
                        </pic:nvPicPr>
                        <pic:blipFill>
                          <a:blip r:embed="rId9">
                            <a:extLst>
                              <a:ext uri="{28A0092B-C50C-407E-A947-70E740481C1C}">
                                <a14:useLocalDpi xmlns:a14="http://schemas.microsoft.com/office/drawing/2010/main" val="0"/>
                              </a:ext>
                            </a:extLst>
                          </a:blip>
                          <a:srcRect/>
                          <a:stretch>
                            <a:fillRect/>
                          </a:stretch>
                        </pic:blipFill>
                        <pic:spPr>
                          <a:xfrm>
                            <a:off x="0" y="0"/>
                            <a:ext cx="5130800" cy="3797300"/>
                          </a:xfrm>
                          <a:prstGeom prst="rect">
                            <a:avLst/>
                          </a:prstGeom>
                          <a:noFill/>
                          <a:ln>
                            <a:noFill/>
                          </a:ln>
                        </pic:spPr>
                      </pic:pic>
                    </a:graphicData>
                  </a:graphic>
                </wp:inline>
              </w:drawing>
            </w:r>
          </w:p>
          <w:p>
            <w:pPr>
              <w:pStyle w:val="38"/>
              <w:rPr>
                <w:rFonts w:hint="eastAsia"/>
              </w:rPr>
            </w:pPr>
            <w:r>
              <w:rPr>
                <w:rFonts w:hint="eastAsia"/>
                <w:lang w:bidi="ar"/>
              </w:rPr>
              <w:t xml:space="preserve">图2-1 </w:t>
            </w:r>
            <w:r>
              <w:rPr>
                <w:lang w:bidi="ar"/>
              </w:rPr>
              <w:t>工程位置及周边水系图</w:t>
            </w:r>
          </w:p>
          <w:p>
            <w:pPr>
              <w:pStyle w:val="42"/>
              <w:ind w:firstLine="480"/>
              <w:rPr>
                <w:shd w:val="clear" w:color="auto" w:fill="FFFFFF"/>
              </w:rPr>
            </w:pPr>
            <w:r>
              <w:rPr>
                <w:shd w:val="clear" w:color="auto" w:fill="FFFFFF"/>
              </w:rPr>
              <w:t>本工程位于蓬溪县政府南侧现状丘陵地带，县城北侧的水流进入芝溪河后，由东北向西南到达吉祥镇与小潼河汇合后向西流入涪江，项目南侧水利向南汇集进入小潼河后由东向西到达吉祥镇与芝溪河汇合后向西流入涪江。在本工程周边无较大河流通过，目前本项目周边集雨通过县城内建设的排洪涵洞进入北侧芝溪河。</w:t>
            </w:r>
          </w:p>
          <w:p>
            <w:pPr>
              <w:pStyle w:val="42"/>
              <w:ind w:firstLine="480"/>
              <w:rPr>
                <w:shd w:val="clear" w:color="auto" w:fill="FFFFFF"/>
              </w:rPr>
            </w:pPr>
            <w:r>
              <w:rPr>
                <w:shd w:val="clear" w:color="auto" w:fill="FFFFFF"/>
              </w:rPr>
              <w:t>墨砚湖所在区域现为三面高山一面道路（普安大道）围</w:t>
            </w:r>
            <w:r>
              <w:rPr>
                <w:rFonts w:hint="eastAsia"/>
                <w:shd w:val="clear" w:color="auto" w:fill="FFFFFF"/>
                <w:lang w:val="en-US" w:eastAsia="zh-CN"/>
              </w:rPr>
              <w:t>成</w:t>
            </w:r>
            <w:r>
              <w:rPr>
                <w:shd w:val="clear" w:color="auto" w:fill="FFFFFF"/>
              </w:rPr>
              <w:t>的相对低洼地带，集雨范围相对周边独立，集雨面积约2.28km</w:t>
            </w:r>
            <w:r>
              <w:rPr>
                <w:shd w:val="clear" w:color="auto" w:fill="FFFFFF"/>
                <w:vertAlign w:val="superscript"/>
              </w:rPr>
              <w:t>2</w:t>
            </w:r>
            <w:r>
              <w:rPr>
                <w:shd w:val="clear" w:color="auto" w:fill="FFFFFF"/>
              </w:rPr>
              <w:t>，目前该区域内集雨为周边山体降水径流汇集如相对低洼地带，区域内降雨逐渐从南向北汇集，由穿越普安大道下方涵洞排放，最终进入芝溪河。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119" w:hRule="atLeast"/>
          <w:jc w:val="center"/>
        </w:trPr>
        <w:tc>
          <w:tcPr>
            <w:tcW w:w="710" w:type="dxa"/>
            <w:vAlign w:val="center"/>
          </w:tcPr>
          <w:p>
            <w:pPr>
              <w:adjustRightInd w:val="0"/>
              <w:snapToGrid w:val="0"/>
              <w:jc w:val="center"/>
              <w:rPr>
                <w:rFonts w:hint="eastAsia"/>
              </w:rPr>
            </w:pPr>
            <w:r>
              <w:rPr>
                <w:rFonts w:hint="eastAsia"/>
              </w:rPr>
              <w:t>项目组成及规模</w:t>
            </w:r>
          </w:p>
        </w:tc>
        <w:tc>
          <w:tcPr>
            <w:tcW w:w="8380" w:type="dxa"/>
            <w:vAlign w:val="center"/>
          </w:tcPr>
          <w:p>
            <w:pPr>
              <w:pStyle w:val="40"/>
              <w:ind w:firstLine="482"/>
            </w:pPr>
            <w:r>
              <w:t>1、项目由来及必要性</w:t>
            </w:r>
          </w:p>
          <w:p>
            <w:pPr>
              <w:pStyle w:val="42"/>
              <w:ind w:firstLine="480"/>
            </w:pPr>
            <w:r>
              <w:rPr>
                <w:rFonts w:hint="eastAsia"/>
              </w:rPr>
              <w:t>蓬溪县墨砚湖片区多为合流管沟，尺寸偏小、系统错综复杂，淤积现象严重，断头管、管线上下游高程错位等现象，部分管道没有形成完善的排水系统。城市内部排水管网等设施运行能力偏低、老化、淤堵，没有达到应有的排水能力，造成排水不畅，流量过低，在极端天气来临时极易形成内涝。外围河流水系淤塞、断堵情况严重，多余的垃圾和泥土占据了河道大部分空间，导致河流行洪能力大大降低，河水水位在暴雨来临时急速上涨，造成排水口顶托，城市积水无法及时排出，形成内涝。居民生活、餐厨垃圾任意排放，导致雨水口、管道堵塞，过水能力得不到充分发挥</w:t>
            </w:r>
          </w:p>
          <w:p>
            <w:pPr>
              <w:pStyle w:val="42"/>
              <w:ind w:firstLine="480"/>
            </w:pPr>
            <w:r>
              <w:t xml:space="preserve">2012 </w:t>
            </w:r>
            <w:r>
              <w:rPr>
                <w:rFonts w:hint="eastAsia"/>
              </w:rPr>
              <w:t>年</w:t>
            </w:r>
            <w:r>
              <w:t xml:space="preserve"> 11</w:t>
            </w:r>
            <w:r>
              <w:rPr>
                <w:rFonts w:hint="eastAsia"/>
              </w:rPr>
              <w:t>月，党的十八大从新的历史起点出发，做出“大力推进生态文明建设”的战略决策，并提出全面落实“经济建设、政治建设、文化建设、社会建设、生态文明建设”</w:t>
            </w:r>
            <w:r>
              <w:rPr>
                <w:rFonts w:hint="eastAsia"/>
                <w:lang w:eastAsia="zh-CN"/>
              </w:rPr>
              <w:t>“</w:t>
            </w:r>
            <w:r>
              <w:rPr>
                <w:rFonts w:hint="eastAsia"/>
              </w:rPr>
              <w:t>五位一体</w:t>
            </w:r>
            <w:r>
              <w:rPr>
                <w:rFonts w:hint="eastAsia"/>
                <w:lang w:eastAsia="zh-CN"/>
              </w:rPr>
              <w:t>”</w:t>
            </w:r>
            <w:r>
              <w:rPr>
                <w:rFonts w:hint="eastAsia"/>
              </w:rPr>
              <w:t>总体布局是一个有机整体，其中经济建设是根本，政治建设是保证，文化建设是灵魂社会建设是条件，生态文明建设是基础</w:t>
            </w:r>
          </w:p>
          <w:p>
            <w:pPr>
              <w:pStyle w:val="42"/>
              <w:ind w:firstLine="480"/>
            </w:pPr>
            <w:r>
              <w:t xml:space="preserve">2015 </w:t>
            </w:r>
            <w:r>
              <w:rPr>
                <w:rFonts w:hint="eastAsia"/>
              </w:rPr>
              <w:t>年</w:t>
            </w:r>
            <w:r>
              <w:t>5</w:t>
            </w:r>
            <w:r>
              <w:rPr>
                <w:rFonts w:hint="eastAsia"/>
              </w:rPr>
              <w:t>月</w:t>
            </w:r>
            <w:r>
              <w:t>5</w:t>
            </w:r>
            <w:r>
              <w:rPr>
                <w:rFonts w:hint="eastAsia"/>
              </w:rPr>
              <w:t>日，国务院印发《关于加快推进生态文明建设的意见》。生态文明建设是中国特色社会主义事业的重要内容，关系人民福祉，关乎民族未来，事关“两个一百年”奋斗目标和中华民族伟大复兴中国梦的实现。加快推进生态文明建设是加快转变经济发展方式、提高发展质量和效益的内在要求，是坚持以人为本、促进社会和谐的</w:t>
            </w:r>
            <w:r>
              <w:rPr>
                <w:rFonts w:hint="eastAsia"/>
                <w:lang w:val="en-US" w:eastAsia="zh-CN"/>
              </w:rPr>
              <w:t>必</w:t>
            </w:r>
            <w:r>
              <w:rPr>
                <w:rFonts w:hint="eastAsia"/>
              </w:rPr>
              <w:t>然选择，是全面建成小康社会、实现中华民族伟大复兴中国梦的时代抉择，是积极应对气候变化、维护全球生态安全的重大举措要充分认识加快推进生态文明建设的极端重要性和紧迫性，切实增强责任感和使命感，定固树立尊重自然、顺应自然、保护自然的理念，坚持绿水青山就是金山银山，动员党员、全社会积极行动、深入持久地推进生态文明建设，加快形成人与自然和谐</w:t>
            </w:r>
            <w:r>
              <w:rPr>
                <w:rFonts w:hint="eastAsia"/>
                <w:lang w:val="en-US" w:eastAsia="zh-CN"/>
              </w:rPr>
              <w:t>共生</w:t>
            </w:r>
            <w:r>
              <w:rPr>
                <w:rFonts w:hint="eastAsia"/>
              </w:rPr>
              <w:t>的现代化建设新格局，开创社会主义生态文明新时代。</w:t>
            </w:r>
          </w:p>
          <w:p>
            <w:pPr>
              <w:pStyle w:val="42"/>
              <w:ind w:firstLine="480"/>
            </w:pPr>
            <w:r>
              <w:rPr>
                <w:rFonts w:hint="eastAsia"/>
              </w:rPr>
              <w:t>本项目的实施，是对习近平总书记提出的“绿水青山就是金山银山”两山论断的具体实践，是贯彻落实党中央、国务院《关于加快推进生态文明建设的意见》的需要，是实现人民日益增长的美好生活需要。</w:t>
            </w:r>
          </w:p>
          <w:p>
            <w:pPr>
              <w:pStyle w:val="42"/>
              <w:ind w:firstLine="480"/>
            </w:pPr>
            <w:r>
              <w:rPr>
                <w:rFonts w:hint="eastAsia"/>
              </w:rPr>
              <w:t>蓬溪县水资源短缺，海绵城市建设有利于贯彻落实最严格的水资源管理制度，全面推进节水型社会建设，包括全面加强节约用水管理，把节约用水贯穿于经济社会发展和群众生活生产全过程，加快推进节水技术改造。</w:t>
            </w:r>
          </w:p>
          <w:p>
            <w:pPr>
              <w:pStyle w:val="42"/>
              <w:ind w:firstLine="480"/>
            </w:pPr>
            <w:r>
              <w:t>综上，本工程的实施是必要且迫切的。</w:t>
            </w:r>
          </w:p>
          <w:p>
            <w:pPr>
              <w:pStyle w:val="40"/>
              <w:ind w:firstLine="482"/>
            </w:pPr>
            <w:r>
              <w:t>2、工程基本概况</w:t>
            </w:r>
          </w:p>
          <w:p>
            <w:pPr>
              <w:pStyle w:val="42"/>
              <w:ind w:firstLine="480"/>
            </w:pPr>
            <w:r>
              <w:t>项目名称：</w:t>
            </w:r>
            <w:r>
              <w:rPr>
                <w:rFonts w:hint="eastAsia"/>
              </w:rPr>
              <w:t>蓬溪县墨砚湖片区排水防涝建设项目</w:t>
            </w:r>
          </w:p>
          <w:p>
            <w:pPr>
              <w:pStyle w:val="42"/>
              <w:ind w:firstLine="480"/>
            </w:pPr>
            <w:r>
              <w:t>建设地点：</w:t>
            </w:r>
            <w:r>
              <w:rPr>
                <w:rFonts w:hint="eastAsia"/>
              </w:rPr>
              <w:t>四川省遂宁市蓬溪县墨砚湖片区</w:t>
            </w:r>
          </w:p>
          <w:p>
            <w:pPr>
              <w:pStyle w:val="42"/>
              <w:ind w:firstLine="480"/>
            </w:pPr>
            <w:r>
              <w:t>建设单位：</w:t>
            </w:r>
            <w:r>
              <w:rPr>
                <w:rFonts w:hint="eastAsia"/>
              </w:rPr>
              <w:t>蓬溪共创城市建设有限责任公司</w:t>
            </w:r>
          </w:p>
          <w:p>
            <w:pPr>
              <w:pStyle w:val="42"/>
              <w:ind w:firstLine="480"/>
            </w:pPr>
            <w:r>
              <w:t>建设性质：改建</w:t>
            </w:r>
          </w:p>
          <w:p>
            <w:pPr>
              <w:pStyle w:val="40"/>
              <w:ind w:firstLine="482"/>
            </w:pPr>
            <w:r>
              <w:rPr>
                <w:rFonts w:hint="eastAsia"/>
              </w:rPr>
              <w:t>3、项目建设规模</w:t>
            </w:r>
          </w:p>
          <w:p>
            <w:pPr>
              <w:pStyle w:val="42"/>
              <w:ind w:firstLine="480"/>
            </w:pPr>
            <w:r>
              <w:rPr>
                <w:rFonts w:hint="eastAsia"/>
              </w:rPr>
              <w:t>对城市严重低洼积水内涝地区实施排水防涝系统治理，改建容量约</w:t>
            </w:r>
            <w:r>
              <w:t xml:space="preserve"> 30</w:t>
            </w:r>
            <w:r>
              <w:rPr>
                <w:rFonts w:hint="eastAsia"/>
              </w:rPr>
              <w:t>万立方米集水湖泊</w:t>
            </w:r>
            <w:r>
              <w:t>1</w:t>
            </w:r>
            <w:r>
              <w:rPr>
                <w:rFonts w:hint="eastAsia"/>
              </w:rPr>
              <w:t>处，增强城市防洪排涝调蓄能力。新建拦水调蓄闸门</w:t>
            </w:r>
            <w:r>
              <w:t>1</w:t>
            </w:r>
            <w:r>
              <w:rPr>
                <w:rFonts w:hint="eastAsia"/>
              </w:rPr>
              <w:t>座，建排涝箱涵</w:t>
            </w:r>
            <w:r>
              <w:t xml:space="preserve"> 1.62 </w:t>
            </w:r>
            <w:r>
              <w:rPr>
                <w:rFonts w:hint="eastAsia"/>
              </w:rPr>
              <w:t>公里，整治排涝箱涵</w:t>
            </w:r>
            <w:r>
              <w:t xml:space="preserve"> 10 </w:t>
            </w:r>
            <w:r>
              <w:rPr>
                <w:rFonts w:hint="eastAsia"/>
              </w:rPr>
              <w:t>公里，配套管网建设</w:t>
            </w:r>
            <w:r>
              <w:t xml:space="preserve"> 54 </w:t>
            </w:r>
            <w:r>
              <w:rPr>
                <w:rFonts w:hint="eastAsia"/>
              </w:rPr>
              <w:t>公里雨水管网、井及井盖</w:t>
            </w:r>
            <w:r>
              <w:t xml:space="preserve"> 530 </w:t>
            </w:r>
            <w:r>
              <w:rPr>
                <w:rFonts w:hint="eastAsia"/>
              </w:rPr>
              <w:t>座</w:t>
            </w:r>
            <w:r>
              <w:t>/</w:t>
            </w:r>
            <w:r>
              <w:rPr>
                <w:rFonts w:hint="eastAsia"/>
              </w:rPr>
              <w:t>套，管网清淤</w:t>
            </w:r>
            <w:r>
              <w:t xml:space="preserve"> 52</w:t>
            </w:r>
            <w:r>
              <w:rPr>
                <w:rFonts w:hint="eastAsia"/>
              </w:rPr>
              <w:t>公里，雨水井、雨水子</w:t>
            </w:r>
            <w:r>
              <w:t xml:space="preserve"> 820 </w:t>
            </w:r>
            <w:r>
              <w:rPr>
                <w:rFonts w:hint="eastAsia"/>
              </w:rPr>
              <w:t>套及周边渗水工程建设，新建提升泵站</w:t>
            </w:r>
            <w:r>
              <w:t xml:space="preserve"> 1000</w:t>
            </w:r>
            <w:r>
              <w:rPr>
                <w:rFonts w:hint="eastAsia"/>
              </w:rPr>
              <w:t>立方米</w:t>
            </w:r>
            <w:r>
              <w:t>/</w:t>
            </w:r>
            <w:r>
              <w:rPr>
                <w:rFonts w:hint="eastAsia"/>
              </w:rPr>
              <w:t>小时提升泵站</w:t>
            </w:r>
            <w:r>
              <w:t>2</w:t>
            </w:r>
            <w:r>
              <w:rPr>
                <w:rFonts w:hint="eastAsia"/>
              </w:rPr>
              <w:t>座、闸阀配套设施建设及雨水流量监控体系建设一套，含雨水流量监控器、数据采集、视频监控等设施等。集中购置应急抽排装备及设施，主要包括大型移动泵车</w:t>
            </w:r>
            <w:r>
              <w:t>(</w:t>
            </w:r>
            <w:r>
              <w:rPr>
                <w:rFonts w:hint="eastAsia"/>
              </w:rPr>
              <w:t>龙吸水</w:t>
            </w:r>
            <w:r>
              <w:t>)2</w:t>
            </w:r>
            <w:r>
              <w:rPr>
                <w:rFonts w:hint="eastAsia"/>
              </w:rPr>
              <w:t>辆</w:t>
            </w:r>
            <w:r>
              <w:t>(</w:t>
            </w:r>
            <w:r>
              <w:rPr>
                <w:rFonts w:hint="eastAsia"/>
              </w:rPr>
              <w:t>抽水能力</w:t>
            </w:r>
            <w:r>
              <w:t xml:space="preserve"> 1000 </w:t>
            </w:r>
            <w:r>
              <w:rPr>
                <w:rFonts w:hint="eastAsia"/>
              </w:rPr>
              <w:t>立方米</w:t>
            </w:r>
            <w:r>
              <w:t>/</w:t>
            </w:r>
            <w:r>
              <w:rPr>
                <w:rFonts w:hint="eastAsia"/>
              </w:rPr>
              <w:t>小时</w:t>
            </w:r>
            <w:r>
              <w:t>)</w:t>
            </w:r>
            <w:r>
              <w:rPr>
                <w:rFonts w:hint="eastAsia"/>
              </w:rPr>
              <w:t>、大流量潜水泵</w:t>
            </w:r>
            <w:r>
              <w:t>8</w:t>
            </w:r>
            <w:r>
              <w:rPr>
                <w:rFonts w:hint="eastAsia"/>
              </w:rPr>
              <w:t>台</w:t>
            </w:r>
            <w:r>
              <w:t>(</w:t>
            </w:r>
            <w:r>
              <w:rPr>
                <w:rFonts w:hint="eastAsia"/>
              </w:rPr>
              <w:t>每台抽水能力</w:t>
            </w:r>
            <w:r>
              <w:t>300</w:t>
            </w:r>
            <w:r>
              <w:rPr>
                <w:rFonts w:hint="eastAsia"/>
              </w:rPr>
              <w:t>立方米</w:t>
            </w:r>
            <w:r>
              <w:t>/</w:t>
            </w:r>
            <w:r>
              <w:rPr>
                <w:rFonts w:hint="eastAsia"/>
              </w:rPr>
              <w:t>小时</w:t>
            </w:r>
            <w:r>
              <w:t>)</w:t>
            </w:r>
            <w:r>
              <w:rPr>
                <w:rFonts w:hint="eastAsia"/>
              </w:rPr>
              <w:t>，高扬程潜水泵</w:t>
            </w:r>
            <w:r>
              <w:t>5</w:t>
            </w:r>
            <w:r>
              <w:rPr>
                <w:rFonts w:hint="eastAsia"/>
              </w:rPr>
              <w:t>台</w:t>
            </w:r>
            <w:r>
              <w:t>(</w:t>
            </w:r>
            <w:r>
              <w:rPr>
                <w:rFonts w:hint="eastAsia"/>
              </w:rPr>
              <w:t>抽水能力</w:t>
            </w:r>
            <w:r>
              <w:t xml:space="preserve"> 200 </w:t>
            </w:r>
            <w:r>
              <w:rPr>
                <w:rFonts w:hint="eastAsia"/>
              </w:rPr>
              <w:t>立方米</w:t>
            </w:r>
            <w:r>
              <w:t>/</w:t>
            </w:r>
            <w:r>
              <w:rPr>
                <w:rFonts w:hint="eastAsia"/>
              </w:rPr>
              <w:t>小时</w:t>
            </w:r>
            <w:r>
              <w:t>)</w:t>
            </w:r>
            <w:r>
              <w:rPr>
                <w:rFonts w:hint="eastAsia"/>
              </w:rPr>
              <w:t>移动式小型潜水泵</w:t>
            </w:r>
            <w:r>
              <w:t xml:space="preserve"> 10 </w:t>
            </w:r>
            <w:r>
              <w:rPr>
                <w:rFonts w:hint="eastAsia"/>
              </w:rPr>
              <w:t>台</w:t>
            </w:r>
            <w:r>
              <w:t>(</w:t>
            </w:r>
            <w:r>
              <w:rPr>
                <w:rFonts w:hint="eastAsia"/>
              </w:rPr>
              <w:t>抽水能力</w:t>
            </w:r>
            <w:r>
              <w:t xml:space="preserve"> 200 </w:t>
            </w:r>
            <w:r>
              <w:rPr>
                <w:rFonts w:hint="eastAsia"/>
              </w:rPr>
              <w:t>立方米</w:t>
            </w:r>
            <w:r>
              <w:t>/</w:t>
            </w:r>
            <w:r>
              <w:rPr>
                <w:rFonts w:hint="eastAsia"/>
              </w:rPr>
              <w:t>小时</w:t>
            </w:r>
            <w:r>
              <w:t>)50kw</w:t>
            </w:r>
            <w:r>
              <w:rPr>
                <w:rFonts w:hint="eastAsia"/>
              </w:rPr>
              <w:t>移动发电车</w:t>
            </w:r>
            <w:r>
              <w:t>1</w:t>
            </w:r>
            <w:r>
              <w:rPr>
                <w:rFonts w:hint="eastAsia"/>
              </w:rPr>
              <w:t>辆，</w:t>
            </w:r>
            <w:r>
              <w:t xml:space="preserve">6-10kw </w:t>
            </w:r>
            <w:r>
              <w:rPr>
                <w:rFonts w:hint="eastAsia"/>
              </w:rPr>
              <w:t>固定发电机</w:t>
            </w:r>
            <w:r>
              <w:t>5</w:t>
            </w:r>
            <w:r>
              <w:rPr>
                <w:rFonts w:hint="eastAsia"/>
              </w:rPr>
              <w:t>台，阻水板</w:t>
            </w:r>
            <w:r>
              <w:t xml:space="preserve"> 2000</w:t>
            </w:r>
            <w:r>
              <w:rPr>
                <w:rFonts w:hint="eastAsia"/>
              </w:rPr>
              <w:t>米，防水沙袋</w:t>
            </w:r>
            <w:r>
              <w:t xml:space="preserve"> 5000</w:t>
            </w:r>
            <w:r>
              <w:rPr>
                <w:rFonts w:hint="eastAsia"/>
              </w:rPr>
              <w:t>条，</w:t>
            </w:r>
            <w:r>
              <w:t xml:space="preserve">10000 </w:t>
            </w:r>
            <w:r>
              <w:rPr>
                <w:rFonts w:hint="eastAsia"/>
              </w:rPr>
              <w:t>流明强光手电</w:t>
            </w:r>
            <w:r>
              <w:t xml:space="preserve"> 80 </w:t>
            </w:r>
            <w:r>
              <w:rPr>
                <w:rFonts w:hint="eastAsia"/>
              </w:rPr>
              <w:t>部，救生衣</w:t>
            </w:r>
            <w:r>
              <w:t xml:space="preserve"> 100 </w:t>
            </w:r>
            <w:r>
              <w:rPr>
                <w:rFonts w:hint="eastAsia"/>
              </w:rPr>
              <w:t>套等。</w:t>
            </w:r>
          </w:p>
          <w:p>
            <w:pPr>
              <w:pStyle w:val="40"/>
              <w:ind w:firstLine="482"/>
            </w:pPr>
            <w:r>
              <w:rPr>
                <w:rFonts w:hint="eastAsia"/>
              </w:rPr>
              <w:t>4</w:t>
            </w:r>
            <w:r>
              <w:t>、项目组成</w:t>
            </w:r>
          </w:p>
          <w:p>
            <w:pPr>
              <w:pStyle w:val="42"/>
              <w:ind w:firstLine="480"/>
            </w:pPr>
            <w:r>
              <w:t>本次工程主要由主体工程、临时工程、环保工程等组成，工程项目组成表详见下表。</w:t>
            </w:r>
          </w:p>
          <w:p>
            <w:pPr>
              <w:pStyle w:val="38"/>
            </w:pPr>
            <w:r>
              <w:t>表2-1 工程项目组成表</w:t>
            </w:r>
          </w:p>
          <w:tbl>
            <w:tblPr>
              <w:tblStyle w:val="15"/>
              <w:tblW w:w="8164" w:type="dxa"/>
              <w:jc w:val="center"/>
              <w:tblInd w:w="0" w:type="dxa"/>
              <w:tblLayout w:type="fixed"/>
              <w:tblCellMar>
                <w:top w:w="0" w:type="dxa"/>
                <w:left w:w="108" w:type="dxa"/>
                <w:bottom w:w="0" w:type="dxa"/>
                <w:right w:w="108" w:type="dxa"/>
              </w:tblCellMar>
            </w:tblPr>
            <w:tblGrid>
              <w:gridCol w:w="939"/>
              <w:gridCol w:w="892"/>
              <w:gridCol w:w="4063"/>
              <w:gridCol w:w="1010"/>
              <w:gridCol w:w="1260"/>
            </w:tblGrid>
            <w:tr>
              <w:tblPrEx>
                <w:tblLayout w:type="fixed"/>
                <w:tblCellMar>
                  <w:top w:w="0" w:type="dxa"/>
                  <w:left w:w="108" w:type="dxa"/>
                  <w:bottom w:w="0" w:type="dxa"/>
                  <w:right w:w="108" w:type="dxa"/>
                </w:tblCellMar>
              </w:tblPrEx>
              <w:trPr>
                <w:trHeight w:val="822" w:hRule="atLeast"/>
                <w:jc w:val="center"/>
              </w:trPr>
              <w:tc>
                <w:tcPr>
                  <w:tcW w:w="1831" w:type="dxa"/>
                  <w:gridSpan w:val="2"/>
                  <w:vMerge w:val="restart"/>
                  <w:tcBorders>
                    <w:top w:val="single" w:color="auto" w:sz="4" w:space="0"/>
                    <w:bottom w:val="single" w:color="auto" w:sz="4" w:space="0"/>
                    <w:right w:val="single" w:color="auto" w:sz="4" w:space="0"/>
                  </w:tcBorders>
                  <w:shd w:val="clear" w:color="auto" w:fill="auto"/>
                  <w:vAlign w:val="center"/>
                </w:tcPr>
                <w:p>
                  <w:pPr>
                    <w:pStyle w:val="36"/>
                  </w:pPr>
                  <w:r>
                    <w:rPr>
                      <w:rFonts w:hint="eastAsia"/>
                    </w:rPr>
                    <w:t>名称</w:t>
                  </w:r>
                </w:p>
              </w:tc>
              <w:tc>
                <w:tcPr>
                  <w:tcW w:w="406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36"/>
                  </w:pPr>
                  <w:r>
                    <w:rPr>
                      <w:rFonts w:hint="eastAsia"/>
                    </w:rPr>
                    <w:t>建设内容及规模</w:t>
                  </w:r>
                </w:p>
              </w:tc>
              <w:tc>
                <w:tcPr>
                  <w:tcW w:w="2270" w:type="dxa"/>
                  <w:gridSpan w:val="2"/>
                  <w:tcBorders>
                    <w:top w:val="single" w:color="auto" w:sz="4" w:space="0"/>
                    <w:left w:val="nil"/>
                    <w:bottom w:val="single" w:color="auto" w:sz="4" w:space="0"/>
                  </w:tcBorders>
                  <w:shd w:val="clear" w:color="auto" w:fill="auto"/>
                  <w:vAlign w:val="center"/>
                </w:tcPr>
                <w:p>
                  <w:pPr>
                    <w:pStyle w:val="36"/>
                  </w:pPr>
                  <w:r>
                    <w:rPr>
                      <w:rFonts w:hint="eastAsia"/>
                    </w:rPr>
                    <w:t>可能产生的环境问题</w:t>
                  </w:r>
                </w:p>
              </w:tc>
            </w:tr>
            <w:tr>
              <w:tblPrEx>
                <w:tblLayout w:type="fixed"/>
                <w:tblCellMar>
                  <w:top w:w="0" w:type="dxa"/>
                  <w:left w:w="108" w:type="dxa"/>
                  <w:bottom w:w="0" w:type="dxa"/>
                  <w:right w:w="108" w:type="dxa"/>
                </w:tblCellMar>
              </w:tblPrEx>
              <w:trPr>
                <w:trHeight w:val="420" w:hRule="atLeast"/>
                <w:jc w:val="center"/>
              </w:trPr>
              <w:tc>
                <w:tcPr>
                  <w:tcW w:w="1831" w:type="dxa"/>
                  <w:gridSpan w:val="2"/>
                  <w:vMerge w:val="continue"/>
                  <w:tcBorders>
                    <w:top w:val="single" w:color="auto" w:sz="4" w:space="0"/>
                    <w:bottom w:val="single" w:color="auto" w:sz="4" w:space="0"/>
                    <w:right w:val="single" w:color="auto" w:sz="4" w:space="0"/>
                  </w:tcBorders>
                  <w:vAlign w:val="center"/>
                </w:tcPr>
                <w:p>
                  <w:pPr>
                    <w:pStyle w:val="36"/>
                  </w:pPr>
                </w:p>
              </w:tc>
              <w:tc>
                <w:tcPr>
                  <w:tcW w:w="4063" w:type="dxa"/>
                  <w:vMerge w:val="continue"/>
                  <w:tcBorders>
                    <w:top w:val="single" w:color="auto" w:sz="4" w:space="0"/>
                    <w:left w:val="single" w:color="auto" w:sz="4" w:space="0"/>
                    <w:bottom w:val="single" w:color="auto" w:sz="4" w:space="0"/>
                    <w:right w:val="single" w:color="auto" w:sz="4" w:space="0"/>
                  </w:tcBorders>
                  <w:vAlign w:val="center"/>
                </w:tcPr>
                <w:p>
                  <w:pPr>
                    <w:pStyle w:val="36"/>
                  </w:pPr>
                </w:p>
              </w:tc>
              <w:tc>
                <w:tcPr>
                  <w:tcW w:w="1010" w:type="dxa"/>
                  <w:tcBorders>
                    <w:top w:val="nil"/>
                    <w:left w:val="nil"/>
                    <w:bottom w:val="single" w:color="auto" w:sz="4" w:space="0"/>
                    <w:right w:val="single" w:color="auto" w:sz="4" w:space="0"/>
                  </w:tcBorders>
                  <w:shd w:val="clear" w:color="auto" w:fill="auto"/>
                  <w:vAlign w:val="center"/>
                </w:tcPr>
                <w:p>
                  <w:pPr>
                    <w:pStyle w:val="36"/>
                  </w:pPr>
                  <w:r>
                    <w:rPr>
                      <w:rFonts w:hint="eastAsia"/>
                    </w:rPr>
                    <w:t>施工期</w:t>
                  </w:r>
                </w:p>
              </w:tc>
              <w:tc>
                <w:tcPr>
                  <w:tcW w:w="1260" w:type="dxa"/>
                  <w:tcBorders>
                    <w:top w:val="nil"/>
                    <w:left w:val="nil"/>
                    <w:bottom w:val="single" w:color="auto" w:sz="4" w:space="0"/>
                  </w:tcBorders>
                  <w:shd w:val="clear" w:color="auto" w:fill="auto"/>
                  <w:vAlign w:val="center"/>
                </w:tcPr>
                <w:p>
                  <w:pPr>
                    <w:pStyle w:val="36"/>
                  </w:pPr>
                  <w:r>
                    <w:rPr>
                      <w:rFonts w:hint="eastAsia"/>
                    </w:rPr>
                    <w:t>运营期</w:t>
                  </w:r>
                </w:p>
              </w:tc>
            </w:tr>
            <w:tr>
              <w:tblPrEx>
                <w:tblLayout w:type="fixed"/>
                <w:tblCellMar>
                  <w:top w:w="0" w:type="dxa"/>
                  <w:left w:w="108" w:type="dxa"/>
                  <w:bottom w:w="0" w:type="dxa"/>
                  <w:right w:w="108" w:type="dxa"/>
                </w:tblCellMar>
              </w:tblPrEx>
              <w:trPr>
                <w:trHeight w:val="1219" w:hRule="atLeast"/>
                <w:jc w:val="center"/>
              </w:trPr>
              <w:tc>
                <w:tcPr>
                  <w:tcW w:w="939" w:type="dxa"/>
                  <w:vMerge w:val="restart"/>
                  <w:tcBorders>
                    <w:top w:val="nil"/>
                    <w:bottom w:val="single" w:color="auto" w:sz="4" w:space="0"/>
                    <w:right w:val="single" w:color="auto" w:sz="4" w:space="0"/>
                  </w:tcBorders>
                  <w:shd w:val="clear" w:color="auto" w:fill="auto"/>
                  <w:vAlign w:val="center"/>
                </w:tcPr>
                <w:p>
                  <w:pPr>
                    <w:pStyle w:val="36"/>
                  </w:pPr>
                  <w:r>
                    <w:rPr>
                      <w:rFonts w:hint="eastAsia"/>
                    </w:rPr>
                    <w:t>主体工程</w:t>
                  </w:r>
                </w:p>
              </w:tc>
              <w:tc>
                <w:tcPr>
                  <w:tcW w:w="892" w:type="dxa"/>
                  <w:tcBorders>
                    <w:top w:val="nil"/>
                    <w:left w:val="nil"/>
                    <w:bottom w:val="single" w:color="auto" w:sz="4" w:space="0"/>
                    <w:right w:val="single" w:color="auto" w:sz="4" w:space="0"/>
                  </w:tcBorders>
                  <w:shd w:val="clear" w:color="auto" w:fill="auto"/>
                  <w:vAlign w:val="center"/>
                </w:tcPr>
                <w:p>
                  <w:pPr>
                    <w:pStyle w:val="36"/>
                  </w:pPr>
                  <w:r>
                    <w:rPr>
                      <w:rFonts w:hint="eastAsia"/>
                    </w:rPr>
                    <w:t>给排水工程</w:t>
                  </w:r>
                </w:p>
              </w:tc>
              <w:tc>
                <w:tcPr>
                  <w:tcW w:w="4063" w:type="dxa"/>
                  <w:tcBorders>
                    <w:top w:val="nil"/>
                    <w:left w:val="nil"/>
                    <w:bottom w:val="single" w:color="auto" w:sz="4" w:space="0"/>
                    <w:right w:val="single" w:color="auto" w:sz="4" w:space="0"/>
                  </w:tcBorders>
                  <w:shd w:val="clear" w:color="auto" w:fill="auto"/>
                  <w:vAlign w:val="center"/>
                </w:tcPr>
                <w:p>
                  <w:pPr>
                    <w:pStyle w:val="36"/>
                  </w:pPr>
                  <w:r>
                    <w:rPr>
                      <w:rFonts w:hint="eastAsia"/>
                    </w:rPr>
                    <w:t>墨砚湖周边建设1号、5号道路雨水工程及1-5号路道路排水沟，纵三路以东田园部分的雨水及灌溉渠工程，湖体周边建筑场地的地面雨水工程，包括雨水管、山体截水明沟，各类检查井、消能井、沉砂池、雨水口等附属设施。</w:t>
                  </w:r>
                </w:p>
              </w:tc>
              <w:tc>
                <w:tcPr>
                  <w:tcW w:w="1010" w:type="dxa"/>
                  <w:vMerge w:val="restart"/>
                  <w:tcBorders>
                    <w:top w:val="nil"/>
                    <w:left w:val="single" w:color="auto" w:sz="4" w:space="0"/>
                    <w:bottom w:val="single" w:color="auto" w:sz="4" w:space="0"/>
                    <w:right w:val="single" w:color="auto" w:sz="4" w:space="0"/>
                  </w:tcBorders>
                  <w:shd w:val="clear" w:color="auto" w:fill="auto"/>
                  <w:vAlign w:val="center"/>
                </w:tcPr>
                <w:p>
                  <w:pPr>
                    <w:pStyle w:val="36"/>
                  </w:pPr>
                  <w:r>
                    <w:rPr>
                      <w:rFonts w:hint="eastAsia"/>
                    </w:rPr>
                    <w:t>噪声、废气、废水、固废污染、水土流失</w:t>
                  </w:r>
                </w:p>
              </w:tc>
              <w:tc>
                <w:tcPr>
                  <w:tcW w:w="1260" w:type="dxa"/>
                  <w:tcBorders>
                    <w:top w:val="nil"/>
                    <w:left w:val="nil"/>
                    <w:bottom w:val="single" w:color="auto" w:sz="4" w:space="0"/>
                  </w:tcBorders>
                  <w:shd w:val="clear" w:color="auto" w:fill="auto"/>
                  <w:vAlign w:val="center"/>
                </w:tcPr>
                <w:p>
                  <w:pPr>
                    <w:pStyle w:val="36"/>
                  </w:pPr>
                  <w:r>
                    <w:rPr>
                      <w:rFonts w:hint="eastAsia"/>
                    </w:rPr>
                    <w:t>/</w:t>
                  </w:r>
                </w:p>
              </w:tc>
            </w:tr>
            <w:tr>
              <w:tblPrEx>
                <w:tblLayout w:type="fixed"/>
                <w:tblCellMar>
                  <w:top w:w="0" w:type="dxa"/>
                  <w:left w:w="108" w:type="dxa"/>
                  <w:bottom w:w="0" w:type="dxa"/>
                  <w:right w:w="108" w:type="dxa"/>
                </w:tblCellMar>
              </w:tblPrEx>
              <w:trPr>
                <w:trHeight w:val="1219" w:hRule="atLeast"/>
                <w:jc w:val="center"/>
              </w:trPr>
              <w:tc>
                <w:tcPr>
                  <w:tcW w:w="939" w:type="dxa"/>
                  <w:vMerge w:val="continue"/>
                  <w:tcBorders>
                    <w:top w:val="nil"/>
                    <w:bottom w:val="single" w:color="auto" w:sz="4" w:space="0"/>
                    <w:right w:val="single" w:color="auto" w:sz="4" w:space="0"/>
                  </w:tcBorders>
                  <w:vAlign w:val="center"/>
                </w:tcPr>
                <w:p>
                  <w:pPr>
                    <w:pStyle w:val="36"/>
                  </w:pPr>
                </w:p>
              </w:tc>
              <w:tc>
                <w:tcPr>
                  <w:tcW w:w="892" w:type="dxa"/>
                  <w:tcBorders>
                    <w:top w:val="nil"/>
                    <w:left w:val="nil"/>
                    <w:bottom w:val="single" w:color="auto" w:sz="4" w:space="0"/>
                    <w:right w:val="single" w:color="auto" w:sz="4" w:space="0"/>
                  </w:tcBorders>
                  <w:shd w:val="clear" w:color="auto" w:fill="auto"/>
                  <w:vAlign w:val="center"/>
                </w:tcPr>
                <w:p>
                  <w:pPr>
                    <w:pStyle w:val="36"/>
                  </w:pPr>
                  <w:r>
                    <w:rPr>
                      <w:rFonts w:hint="eastAsia"/>
                    </w:rPr>
                    <w:t>泄洪涵洞工程</w:t>
                  </w:r>
                </w:p>
              </w:tc>
              <w:tc>
                <w:tcPr>
                  <w:tcW w:w="4063" w:type="dxa"/>
                  <w:tcBorders>
                    <w:top w:val="nil"/>
                    <w:left w:val="nil"/>
                    <w:bottom w:val="single" w:color="auto" w:sz="4" w:space="0"/>
                    <w:right w:val="single" w:color="auto" w:sz="4" w:space="0"/>
                  </w:tcBorders>
                  <w:shd w:val="clear" w:color="auto" w:fill="auto"/>
                  <w:vAlign w:val="center"/>
                </w:tcPr>
                <w:p>
                  <w:pPr>
                    <w:pStyle w:val="36"/>
                  </w:pPr>
                  <w:r>
                    <w:rPr>
                      <w:rFonts w:hint="eastAsia"/>
                    </w:rPr>
                    <w:t>修复墨砚湖末端现状排洪涵洞；在涵洞进口处设一座起调蓄功能的钢筋砼闸室，闸门采用钢坝闸门。</w:t>
                  </w:r>
                </w:p>
              </w:tc>
              <w:tc>
                <w:tcPr>
                  <w:tcW w:w="1010" w:type="dxa"/>
                  <w:vMerge w:val="continue"/>
                  <w:tcBorders>
                    <w:top w:val="nil"/>
                    <w:left w:val="single" w:color="auto" w:sz="4" w:space="0"/>
                    <w:bottom w:val="single" w:color="auto" w:sz="4" w:space="0"/>
                    <w:right w:val="single" w:color="auto" w:sz="4" w:space="0"/>
                  </w:tcBorders>
                  <w:vAlign w:val="center"/>
                </w:tcPr>
                <w:p>
                  <w:pPr>
                    <w:pStyle w:val="36"/>
                  </w:pPr>
                </w:p>
              </w:tc>
              <w:tc>
                <w:tcPr>
                  <w:tcW w:w="1260" w:type="dxa"/>
                  <w:tcBorders>
                    <w:top w:val="nil"/>
                    <w:left w:val="nil"/>
                    <w:bottom w:val="single" w:color="auto" w:sz="4" w:space="0"/>
                  </w:tcBorders>
                  <w:shd w:val="clear" w:color="auto" w:fill="auto"/>
                  <w:vAlign w:val="center"/>
                </w:tcPr>
                <w:p>
                  <w:pPr>
                    <w:pStyle w:val="36"/>
                  </w:pPr>
                  <w:r>
                    <w:rPr>
                      <w:rFonts w:hint="eastAsia"/>
                    </w:rPr>
                    <w:t>/</w:t>
                  </w:r>
                </w:p>
              </w:tc>
            </w:tr>
            <w:tr>
              <w:tblPrEx>
                <w:tblLayout w:type="fixed"/>
                <w:tblCellMar>
                  <w:top w:w="0" w:type="dxa"/>
                  <w:left w:w="108" w:type="dxa"/>
                  <w:bottom w:w="0" w:type="dxa"/>
                  <w:right w:w="108" w:type="dxa"/>
                </w:tblCellMar>
              </w:tblPrEx>
              <w:trPr>
                <w:trHeight w:val="1219" w:hRule="atLeast"/>
                <w:jc w:val="center"/>
              </w:trPr>
              <w:tc>
                <w:tcPr>
                  <w:tcW w:w="939" w:type="dxa"/>
                  <w:vMerge w:val="continue"/>
                  <w:tcBorders>
                    <w:top w:val="nil"/>
                    <w:bottom w:val="single" w:color="auto" w:sz="4" w:space="0"/>
                    <w:right w:val="single" w:color="auto" w:sz="4" w:space="0"/>
                  </w:tcBorders>
                  <w:vAlign w:val="center"/>
                </w:tcPr>
                <w:p>
                  <w:pPr>
                    <w:pStyle w:val="36"/>
                  </w:pPr>
                </w:p>
              </w:tc>
              <w:tc>
                <w:tcPr>
                  <w:tcW w:w="892" w:type="dxa"/>
                  <w:tcBorders>
                    <w:top w:val="nil"/>
                    <w:left w:val="nil"/>
                    <w:bottom w:val="single" w:color="auto" w:sz="4" w:space="0"/>
                    <w:right w:val="single" w:color="auto" w:sz="4" w:space="0"/>
                  </w:tcBorders>
                  <w:shd w:val="clear" w:color="auto" w:fill="auto"/>
                  <w:vAlign w:val="center"/>
                </w:tcPr>
                <w:p>
                  <w:pPr>
                    <w:pStyle w:val="36"/>
                  </w:pPr>
                  <w:r>
                    <w:rPr>
                      <w:rFonts w:hint="eastAsia"/>
                    </w:rPr>
                    <w:t>堤坝工程</w:t>
                  </w:r>
                </w:p>
              </w:tc>
              <w:tc>
                <w:tcPr>
                  <w:tcW w:w="4063" w:type="dxa"/>
                  <w:tcBorders>
                    <w:top w:val="nil"/>
                    <w:left w:val="nil"/>
                    <w:bottom w:val="single" w:color="auto" w:sz="4" w:space="0"/>
                    <w:right w:val="single" w:color="auto" w:sz="4" w:space="0"/>
                  </w:tcBorders>
                  <w:shd w:val="clear" w:color="auto" w:fill="auto"/>
                  <w:vAlign w:val="center"/>
                </w:tcPr>
                <w:p>
                  <w:pPr>
                    <w:pStyle w:val="36"/>
                  </w:pPr>
                  <w:r>
                    <w:rPr>
                      <w:rFonts w:hint="eastAsia"/>
                    </w:rPr>
                    <w:t>修复现状墨砚湖上游洪家渡水塘堤坝，修建混凝土重力坝长83m，顶宽3m，最大坝高7.7m，坝上设一处带闸泄水排放涵洞，对软弱坝基采用CFG桩复合地基处理。</w:t>
                  </w:r>
                </w:p>
              </w:tc>
              <w:tc>
                <w:tcPr>
                  <w:tcW w:w="1010" w:type="dxa"/>
                  <w:vMerge w:val="continue"/>
                  <w:tcBorders>
                    <w:top w:val="nil"/>
                    <w:left w:val="single" w:color="auto" w:sz="4" w:space="0"/>
                    <w:bottom w:val="single" w:color="auto" w:sz="4" w:space="0"/>
                    <w:right w:val="single" w:color="auto" w:sz="4" w:space="0"/>
                  </w:tcBorders>
                  <w:vAlign w:val="center"/>
                </w:tcPr>
                <w:p>
                  <w:pPr>
                    <w:pStyle w:val="36"/>
                  </w:pPr>
                </w:p>
              </w:tc>
              <w:tc>
                <w:tcPr>
                  <w:tcW w:w="1260" w:type="dxa"/>
                  <w:tcBorders>
                    <w:top w:val="nil"/>
                    <w:left w:val="nil"/>
                    <w:bottom w:val="single" w:color="auto" w:sz="4" w:space="0"/>
                  </w:tcBorders>
                  <w:shd w:val="clear" w:color="auto" w:fill="auto"/>
                  <w:vAlign w:val="center"/>
                </w:tcPr>
                <w:p>
                  <w:pPr>
                    <w:pStyle w:val="36"/>
                  </w:pPr>
                  <w:r>
                    <w:rPr>
                      <w:rFonts w:hint="eastAsia"/>
                    </w:rPr>
                    <w:t>/</w:t>
                  </w:r>
                </w:p>
              </w:tc>
            </w:tr>
            <w:tr>
              <w:tblPrEx>
                <w:tblLayout w:type="fixed"/>
                <w:tblCellMar>
                  <w:top w:w="0" w:type="dxa"/>
                  <w:left w:w="108" w:type="dxa"/>
                  <w:bottom w:w="0" w:type="dxa"/>
                  <w:right w:w="108" w:type="dxa"/>
                </w:tblCellMar>
              </w:tblPrEx>
              <w:trPr>
                <w:trHeight w:val="1219" w:hRule="atLeast"/>
                <w:jc w:val="center"/>
              </w:trPr>
              <w:tc>
                <w:tcPr>
                  <w:tcW w:w="939" w:type="dxa"/>
                  <w:vMerge w:val="continue"/>
                  <w:tcBorders>
                    <w:top w:val="nil"/>
                    <w:bottom w:val="single" w:color="auto" w:sz="4" w:space="0"/>
                    <w:right w:val="single" w:color="auto" w:sz="4" w:space="0"/>
                  </w:tcBorders>
                  <w:vAlign w:val="center"/>
                </w:tcPr>
                <w:p>
                  <w:pPr>
                    <w:pStyle w:val="36"/>
                  </w:pPr>
                </w:p>
              </w:tc>
              <w:tc>
                <w:tcPr>
                  <w:tcW w:w="892" w:type="dxa"/>
                  <w:tcBorders>
                    <w:top w:val="nil"/>
                    <w:left w:val="nil"/>
                    <w:bottom w:val="single" w:color="auto" w:sz="4" w:space="0"/>
                    <w:right w:val="single" w:color="auto" w:sz="4" w:space="0"/>
                  </w:tcBorders>
                  <w:shd w:val="clear" w:color="auto" w:fill="auto"/>
                  <w:vAlign w:val="center"/>
                </w:tcPr>
                <w:p>
                  <w:pPr>
                    <w:pStyle w:val="36"/>
                  </w:pPr>
                  <w:r>
                    <w:rPr>
                      <w:rFonts w:hint="eastAsia"/>
                      <w:lang w:bidi="ar"/>
                    </w:rPr>
                    <w:t>取水工程</w:t>
                  </w:r>
                </w:p>
              </w:tc>
              <w:tc>
                <w:tcPr>
                  <w:tcW w:w="4063" w:type="dxa"/>
                  <w:tcBorders>
                    <w:top w:val="nil"/>
                    <w:left w:val="nil"/>
                    <w:bottom w:val="single" w:color="auto" w:sz="4" w:space="0"/>
                    <w:right w:val="single" w:color="auto" w:sz="4" w:space="0"/>
                  </w:tcBorders>
                  <w:shd w:val="clear" w:color="auto" w:fill="auto"/>
                  <w:vAlign w:val="center"/>
                </w:tcPr>
                <w:p>
                  <w:pPr>
                    <w:pStyle w:val="36"/>
                  </w:pPr>
                  <w:r>
                    <w:rPr>
                      <w:rFonts w:hint="eastAsia"/>
                      <w:lang w:bidi="ar"/>
                    </w:rPr>
                    <w:t>于赤大支渠洪家湾倒虹管上游沉砂池取水进入洪家渡水塘，取水管道采两根DN400球墨铸铁管，总长114m，2座阀门井，并设置多个混凝土支墩</w:t>
                  </w:r>
                </w:p>
              </w:tc>
              <w:tc>
                <w:tcPr>
                  <w:tcW w:w="1010" w:type="dxa"/>
                  <w:vMerge w:val="continue"/>
                  <w:tcBorders>
                    <w:top w:val="nil"/>
                    <w:left w:val="single" w:color="auto" w:sz="4" w:space="0"/>
                    <w:bottom w:val="single" w:color="auto" w:sz="4" w:space="0"/>
                    <w:right w:val="single" w:color="auto" w:sz="4" w:space="0"/>
                  </w:tcBorders>
                  <w:vAlign w:val="center"/>
                </w:tcPr>
                <w:p>
                  <w:pPr>
                    <w:pStyle w:val="36"/>
                  </w:pPr>
                </w:p>
              </w:tc>
              <w:tc>
                <w:tcPr>
                  <w:tcW w:w="1260" w:type="dxa"/>
                  <w:tcBorders>
                    <w:top w:val="nil"/>
                    <w:left w:val="nil"/>
                    <w:bottom w:val="single" w:color="auto" w:sz="4" w:space="0"/>
                  </w:tcBorders>
                  <w:shd w:val="clear" w:color="auto" w:fill="auto"/>
                  <w:vAlign w:val="center"/>
                </w:tcPr>
                <w:p>
                  <w:pPr>
                    <w:pStyle w:val="36"/>
                  </w:pPr>
                  <w:r>
                    <w:rPr>
                      <w:rFonts w:hint="eastAsia"/>
                    </w:rPr>
                    <w:t>/</w:t>
                  </w:r>
                </w:p>
              </w:tc>
            </w:tr>
            <w:tr>
              <w:tblPrEx>
                <w:tblLayout w:type="fixed"/>
                <w:tblCellMar>
                  <w:top w:w="0" w:type="dxa"/>
                  <w:left w:w="108" w:type="dxa"/>
                  <w:bottom w:w="0" w:type="dxa"/>
                  <w:right w:w="108" w:type="dxa"/>
                </w:tblCellMar>
              </w:tblPrEx>
              <w:trPr>
                <w:trHeight w:val="1219" w:hRule="atLeast"/>
                <w:jc w:val="center"/>
              </w:trPr>
              <w:tc>
                <w:tcPr>
                  <w:tcW w:w="939" w:type="dxa"/>
                  <w:vMerge w:val="continue"/>
                  <w:tcBorders>
                    <w:top w:val="nil"/>
                    <w:bottom w:val="single" w:color="auto" w:sz="4" w:space="0"/>
                    <w:right w:val="single" w:color="auto" w:sz="4" w:space="0"/>
                  </w:tcBorders>
                  <w:vAlign w:val="center"/>
                </w:tcPr>
                <w:p>
                  <w:pPr>
                    <w:pStyle w:val="36"/>
                  </w:pPr>
                </w:p>
              </w:tc>
              <w:tc>
                <w:tcPr>
                  <w:tcW w:w="892" w:type="dxa"/>
                  <w:tcBorders>
                    <w:top w:val="nil"/>
                    <w:left w:val="nil"/>
                    <w:bottom w:val="single" w:color="auto" w:sz="4" w:space="0"/>
                    <w:right w:val="single" w:color="auto" w:sz="4" w:space="0"/>
                  </w:tcBorders>
                  <w:shd w:val="clear" w:color="auto" w:fill="auto"/>
                  <w:vAlign w:val="center"/>
                </w:tcPr>
                <w:p>
                  <w:pPr>
                    <w:pStyle w:val="36"/>
                  </w:pPr>
                  <w:r>
                    <w:rPr>
                      <w:rFonts w:hint="eastAsia"/>
                    </w:rPr>
                    <w:t>墨砚湖护岸工程</w:t>
                  </w:r>
                </w:p>
              </w:tc>
              <w:tc>
                <w:tcPr>
                  <w:tcW w:w="4063" w:type="dxa"/>
                  <w:tcBorders>
                    <w:top w:val="nil"/>
                    <w:left w:val="nil"/>
                    <w:bottom w:val="single" w:color="auto" w:sz="4" w:space="0"/>
                    <w:right w:val="single" w:color="auto" w:sz="4" w:space="0"/>
                  </w:tcBorders>
                  <w:shd w:val="clear" w:color="auto" w:fill="auto"/>
                  <w:vAlign w:val="center"/>
                </w:tcPr>
                <w:p>
                  <w:pPr>
                    <w:pStyle w:val="36"/>
                  </w:pPr>
                  <w:r>
                    <w:rPr>
                      <w:rFonts w:hint="eastAsia"/>
                    </w:rPr>
                    <w:t>调蓄湖体区域内土石方工程149万m³，初期蓄水40万m³及沿湖挡墙驳岸工程</w:t>
                  </w:r>
                </w:p>
              </w:tc>
              <w:tc>
                <w:tcPr>
                  <w:tcW w:w="1010" w:type="dxa"/>
                  <w:vMerge w:val="continue"/>
                  <w:tcBorders>
                    <w:top w:val="nil"/>
                    <w:left w:val="single" w:color="auto" w:sz="4" w:space="0"/>
                    <w:bottom w:val="single" w:color="auto" w:sz="4" w:space="0"/>
                    <w:right w:val="single" w:color="auto" w:sz="4" w:space="0"/>
                  </w:tcBorders>
                  <w:vAlign w:val="center"/>
                </w:tcPr>
                <w:p>
                  <w:pPr>
                    <w:pStyle w:val="36"/>
                  </w:pPr>
                </w:p>
              </w:tc>
              <w:tc>
                <w:tcPr>
                  <w:tcW w:w="1260" w:type="dxa"/>
                  <w:tcBorders>
                    <w:top w:val="nil"/>
                    <w:left w:val="nil"/>
                    <w:bottom w:val="single" w:color="auto" w:sz="4" w:space="0"/>
                  </w:tcBorders>
                  <w:shd w:val="clear" w:color="auto" w:fill="auto"/>
                  <w:vAlign w:val="center"/>
                </w:tcPr>
                <w:p>
                  <w:pPr>
                    <w:pStyle w:val="36"/>
                  </w:pPr>
                  <w:r>
                    <w:rPr>
                      <w:rFonts w:hint="eastAsia"/>
                    </w:rPr>
                    <w:t>/</w:t>
                  </w:r>
                </w:p>
              </w:tc>
            </w:tr>
            <w:tr>
              <w:tblPrEx>
                <w:tblLayout w:type="fixed"/>
                <w:tblCellMar>
                  <w:top w:w="0" w:type="dxa"/>
                  <w:left w:w="108" w:type="dxa"/>
                  <w:bottom w:w="0" w:type="dxa"/>
                  <w:right w:w="108" w:type="dxa"/>
                </w:tblCellMar>
              </w:tblPrEx>
              <w:trPr>
                <w:trHeight w:val="1219" w:hRule="atLeast"/>
                <w:jc w:val="center"/>
              </w:trPr>
              <w:tc>
                <w:tcPr>
                  <w:tcW w:w="939" w:type="dxa"/>
                  <w:vMerge w:val="continue"/>
                  <w:tcBorders>
                    <w:top w:val="nil"/>
                    <w:bottom w:val="single" w:color="auto" w:sz="4" w:space="0"/>
                    <w:right w:val="single" w:color="auto" w:sz="4" w:space="0"/>
                  </w:tcBorders>
                  <w:vAlign w:val="center"/>
                </w:tcPr>
                <w:p>
                  <w:pPr>
                    <w:pStyle w:val="36"/>
                  </w:pPr>
                </w:p>
              </w:tc>
              <w:tc>
                <w:tcPr>
                  <w:tcW w:w="892" w:type="dxa"/>
                  <w:tcBorders>
                    <w:top w:val="nil"/>
                    <w:left w:val="nil"/>
                    <w:bottom w:val="single" w:color="auto" w:sz="4" w:space="0"/>
                    <w:right w:val="single" w:color="auto" w:sz="4" w:space="0"/>
                  </w:tcBorders>
                  <w:shd w:val="clear" w:color="auto" w:fill="auto"/>
                  <w:vAlign w:val="center"/>
                </w:tcPr>
                <w:p>
                  <w:pPr>
                    <w:pStyle w:val="36"/>
                  </w:pPr>
                  <w:r>
                    <w:rPr>
                      <w:rFonts w:hint="eastAsia"/>
                    </w:rPr>
                    <w:t>湖体水生态工程</w:t>
                  </w:r>
                </w:p>
              </w:tc>
              <w:tc>
                <w:tcPr>
                  <w:tcW w:w="4063" w:type="dxa"/>
                  <w:tcBorders>
                    <w:top w:val="nil"/>
                    <w:left w:val="nil"/>
                    <w:bottom w:val="single" w:color="auto" w:sz="4" w:space="0"/>
                    <w:right w:val="single" w:color="auto" w:sz="4" w:space="0"/>
                  </w:tcBorders>
                  <w:shd w:val="clear" w:color="auto" w:fill="auto"/>
                  <w:vAlign w:val="center"/>
                </w:tcPr>
                <w:p>
                  <w:pPr>
                    <w:pStyle w:val="36"/>
                  </w:pPr>
                  <w:r>
                    <w:rPr>
                      <w:rFonts w:hint="eastAsia"/>
                    </w:rPr>
                    <w:t>改建容量约30万立方米调蓄湖1处，包括湖底19.5万m²防渗处理，18.3万m²湖底基底改良及相关的水生态配套设备设施</w:t>
                  </w:r>
                </w:p>
              </w:tc>
              <w:tc>
                <w:tcPr>
                  <w:tcW w:w="1010" w:type="dxa"/>
                  <w:vMerge w:val="continue"/>
                  <w:tcBorders>
                    <w:top w:val="nil"/>
                    <w:left w:val="single" w:color="auto" w:sz="4" w:space="0"/>
                    <w:bottom w:val="single" w:color="auto" w:sz="4" w:space="0"/>
                    <w:right w:val="single" w:color="auto" w:sz="4" w:space="0"/>
                  </w:tcBorders>
                  <w:vAlign w:val="center"/>
                </w:tcPr>
                <w:p>
                  <w:pPr>
                    <w:pStyle w:val="36"/>
                  </w:pPr>
                </w:p>
              </w:tc>
              <w:tc>
                <w:tcPr>
                  <w:tcW w:w="1260" w:type="dxa"/>
                  <w:tcBorders>
                    <w:top w:val="nil"/>
                    <w:left w:val="nil"/>
                    <w:bottom w:val="single" w:color="auto" w:sz="4" w:space="0"/>
                  </w:tcBorders>
                  <w:shd w:val="clear" w:color="auto" w:fill="auto"/>
                  <w:vAlign w:val="center"/>
                </w:tcPr>
                <w:p>
                  <w:pPr>
                    <w:pStyle w:val="36"/>
                  </w:pPr>
                  <w:r>
                    <w:rPr>
                      <w:rFonts w:hint="eastAsia"/>
                    </w:rPr>
                    <w:t>/</w:t>
                  </w:r>
                </w:p>
              </w:tc>
            </w:tr>
            <w:tr>
              <w:tblPrEx>
                <w:tblLayout w:type="fixed"/>
                <w:tblCellMar>
                  <w:top w:w="0" w:type="dxa"/>
                  <w:left w:w="108" w:type="dxa"/>
                  <w:bottom w:w="0" w:type="dxa"/>
                  <w:right w:w="108" w:type="dxa"/>
                </w:tblCellMar>
              </w:tblPrEx>
              <w:trPr>
                <w:trHeight w:val="1219" w:hRule="atLeast"/>
                <w:jc w:val="center"/>
              </w:trPr>
              <w:tc>
                <w:tcPr>
                  <w:tcW w:w="939" w:type="dxa"/>
                  <w:vMerge w:val="continue"/>
                  <w:tcBorders>
                    <w:top w:val="nil"/>
                    <w:bottom w:val="single" w:color="auto" w:sz="4" w:space="0"/>
                    <w:right w:val="single" w:color="auto" w:sz="4" w:space="0"/>
                  </w:tcBorders>
                  <w:vAlign w:val="center"/>
                </w:tcPr>
                <w:p>
                  <w:pPr>
                    <w:pStyle w:val="36"/>
                  </w:pPr>
                </w:p>
              </w:tc>
              <w:tc>
                <w:tcPr>
                  <w:tcW w:w="892" w:type="dxa"/>
                  <w:tcBorders>
                    <w:top w:val="nil"/>
                    <w:left w:val="nil"/>
                    <w:bottom w:val="single" w:color="auto" w:sz="4" w:space="0"/>
                    <w:right w:val="single" w:color="auto" w:sz="4" w:space="0"/>
                  </w:tcBorders>
                  <w:shd w:val="clear" w:color="auto" w:fill="auto"/>
                  <w:vAlign w:val="center"/>
                </w:tcPr>
                <w:p>
                  <w:pPr>
                    <w:pStyle w:val="36"/>
                  </w:pPr>
                  <w:r>
                    <w:rPr>
                      <w:rFonts w:hint="eastAsia"/>
                    </w:rPr>
                    <w:t>60m大街排水改造项目</w:t>
                  </w:r>
                </w:p>
              </w:tc>
              <w:tc>
                <w:tcPr>
                  <w:tcW w:w="4063" w:type="dxa"/>
                  <w:tcBorders>
                    <w:top w:val="nil"/>
                    <w:left w:val="nil"/>
                    <w:bottom w:val="single" w:color="auto" w:sz="4" w:space="0"/>
                    <w:right w:val="single" w:color="auto" w:sz="4" w:space="0"/>
                  </w:tcBorders>
                  <w:shd w:val="clear" w:color="auto" w:fill="auto"/>
                  <w:vAlign w:val="center"/>
                </w:tcPr>
                <w:p>
                  <w:pPr>
                    <w:pStyle w:val="36"/>
                  </w:pPr>
                  <w:r>
                    <w:rPr>
                      <w:rFonts w:hint="eastAsia"/>
                    </w:rPr>
                    <w:t>建设道路雨水管道及其附属设施。其中包括新建D800~D1600雨水管，排入现状雨水渠。建设d300雨水联络管雨水口、检查井等附属设施。管线敷设时破除、恢复路面，路面加铺沥青。</w:t>
                  </w:r>
                </w:p>
              </w:tc>
              <w:tc>
                <w:tcPr>
                  <w:tcW w:w="1010" w:type="dxa"/>
                  <w:vMerge w:val="continue"/>
                  <w:tcBorders>
                    <w:top w:val="nil"/>
                    <w:left w:val="single" w:color="auto" w:sz="4" w:space="0"/>
                    <w:bottom w:val="single" w:color="auto" w:sz="4" w:space="0"/>
                    <w:right w:val="single" w:color="auto" w:sz="4" w:space="0"/>
                  </w:tcBorders>
                  <w:vAlign w:val="center"/>
                </w:tcPr>
                <w:p>
                  <w:pPr>
                    <w:pStyle w:val="36"/>
                  </w:pPr>
                </w:p>
              </w:tc>
              <w:tc>
                <w:tcPr>
                  <w:tcW w:w="1260" w:type="dxa"/>
                  <w:tcBorders>
                    <w:top w:val="nil"/>
                    <w:left w:val="nil"/>
                    <w:bottom w:val="single" w:color="auto" w:sz="4" w:space="0"/>
                  </w:tcBorders>
                  <w:shd w:val="clear" w:color="auto" w:fill="auto"/>
                  <w:vAlign w:val="center"/>
                </w:tcPr>
                <w:p>
                  <w:pPr>
                    <w:pStyle w:val="36"/>
                  </w:pPr>
                  <w:r>
                    <w:rPr>
                      <w:rFonts w:hint="eastAsia"/>
                    </w:rPr>
                    <w:t>/</w:t>
                  </w:r>
                </w:p>
              </w:tc>
            </w:tr>
            <w:tr>
              <w:tblPrEx>
                <w:tblLayout w:type="fixed"/>
                <w:tblCellMar>
                  <w:top w:w="0" w:type="dxa"/>
                  <w:left w:w="108" w:type="dxa"/>
                  <w:bottom w:w="0" w:type="dxa"/>
                  <w:right w:w="108" w:type="dxa"/>
                </w:tblCellMar>
              </w:tblPrEx>
              <w:trPr>
                <w:trHeight w:val="1219" w:hRule="atLeast"/>
                <w:jc w:val="center"/>
              </w:trPr>
              <w:tc>
                <w:tcPr>
                  <w:tcW w:w="939" w:type="dxa"/>
                  <w:vMerge w:val="continue"/>
                  <w:tcBorders>
                    <w:top w:val="nil"/>
                    <w:bottom w:val="single" w:color="auto" w:sz="4" w:space="0"/>
                    <w:right w:val="single" w:color="auto" w:sz="4" w:space="0"/>
                  </w:tcBorders>
                  <w:vAlign w:val="center"/>
                </w:tcPr>
                <w:p>
                  <w:pPr>
                    <w:pStyle w:val="36"/>
                  </w:pPr>
                </w:p>
              </w:tc>
              <w:tc>
                <w:tcPr>
                  <w:tcW w:w="892" w:type="dxa"/>
                  <w:tcBorders>
                    <w:top w:val="nil"/>
                    <w:left w:val="nil"/>
                    <w:bottom w:val="single" w:color="auto" w:sz="4" w:space="0"/>
                    <w:right w:val="single" w:color="auto" w:sz="4" w:space="0"/>
                  </w:tcBorders>
                  <w:shd w:val="clear" w:color="auto" w:fill="auto"/>
                  <w:vAlign w:val="center"/>
                </w:tcPr>
                <w:p>
                  <w:pPr>
                    <w:pStyle w:val="36"/>
                  </w:pPr>
                  <w:r>
                    <w:rPr>
                      <w:rFonts w:hint="eastAsia"/>
                    </w:rPr>
                    <w:t>迎宾大道片区排水改造项目</w:t>
                  </w:r>
                </w:p>
              </w:tc>
              <w:tc>
                <w:tcPr>
                  <w:tcW w:w="4063" w:type="dxa"/>
                  <w:tcBorders>
                    <w:top w:val="nil"/>
                    <w:left w:val="nil"/>
                    <w:bottom w:val="single" w:color="auto" w:sz="4" w:space="0"/>
                    <w:right w:val="single" w:color="auto" w:sz="4" w:space="0"/>
                  </w:tcBorders>
                  <w:shd w:val="clear" w:color="auto" w:fill="auto"/>
                  <w:vAlign w:val="center"/>
                </w:tcPr>
                <w:p>
                  <w:pPr>
                    <w:pStyle w:val="36"/>
                  </w:pPr>
                  <w:r>
                    <w:rPr>
                      <w:rFonts w:hint="eastAsia"/>
                    </w:rPr>
                    <w:t>建设道路雨水管道及其附属设施。其中包括新建D800~D1000雨水管。建设d300雨水联络管、雨水口、检查井等附属设施。管线敷设时破除、恢复路面，路面加铺沥青</w:t>
                  </w:r>
                </w:p>
              </w:tc>
              <w:tc>
                <w:tcPr>
                  <w:tcW w:w="1010" w:type="dxa"/>
                  <w:vMerge w:val="continue"/>
                  <w:tcBorders>
                    <w:top w:val="nil"/>
                    <w:left w:val="single" w:color="auto" w:sz="4" w:space="0"/>
                    <w:bottom w:val="single" w:color="auto" w:sz="4" w:space="0"/>
                    <w:right w:val="single" w:color="auto" w:sz="4" w:space="0"/>
                  </w:tcBorders>
                  <w:vAlign w:val="center"/>
                </w:tcPr>
                <w:p>
                  <w:pPr>
                    <w:pStyle w:val="36"/>
                  </w:pPr>
                </w:p>
              </w:tc>
              <w:tc>
                <w:tcPr>
                  <w:tcW w:w="1260" w:type="dxa"/>
                  <w:tcBorders>
                    <w:top w:val="nil"/>
                    <w:left w:val="nil"/>
                    <w:bottom w:val="single" w:color="auto" w:sz="4" w:space="0"/>
                  </w:tcBorders>
                  <w:shd w:val="clear" w:color="auto" w:fill="auto"/>
                  <w:vAlign w:val="center"/>
                </w:tcPr>
                <w:p>
                  <w:pPr>
                    <w:pStyle w:val="36"/>
                  </w:pPr>
                  <w:r>
                    <w:rPr>
                      <w:rFonts w:hint="eastAsia"/>
                    </w:rPr>
                    <w:t>/</w:t>
                  </w:r>
                </w:p>
              </w:tc>
            </w:tr>
            <w:tr>
              <w:tblPrEx>
                <w:tblLayout w:type="fixed"/>
                <w:tblCellMar>
                  <w:top w:w="0" w:type="dxa"/>
                  <w:left w:w="108" w:type="dxa"/>
                  <w:bottom w:w="0" w:type="dxa"/>
                  <w:right w:w="108" w:type="dxa"/>
                </w:tblCellMar>
              </w:tblPrEx>
              <w:trPr>
                <w:trHeight w:val="2190" w:hRule="atLeast"/>
                <w:jc w:val="center"/>
              </w:trPr>
              <w:tc>
                <w:tcPr>
                  <w:tcW w:w="939" w:type="dxa"/>
                  <w:vMerge w:val="continue"/>
                  <w:tcBorders>
                    <w:top w:val="nil"/>
                    <w:bottom w:val="single" w:color="auto" w:sz="4" w:space="0"/>
                    <w:right w:val="single" w:color="auto" w:sz="4" w:space="0"/>
                  </w:tcBorders>
                  <w:vAlign w:val="center"/>
                </w:tcPr>
                <w:p>
                  <w:pPr>
                    <w:pStyle w:val="36"/>
                  </w:pPr>
                </w:p>
              </w:tc>
              <w:tc>
                <w:tcPr>
                  <w:tcW w:w="892" w:type="dxa"/>
                  <w:tcBorders>
                    <w:top w:val="nil"/>
                    <w:left w:val="nil"/>
                    <w:bottom w:val="single" w:color="auto" w:sz="4" w:space="0"/>
                    <w:right w:val="single" w:color="auto" w:sz="4" w:space="0"/>
                  </w:tcBorders>
                  <w:shd w:val="clear" w:color="auto" w:fill="auto"/>
                  <w:vAlign w:val="center"/>
                </w:tcPr>
                <w:p>
                  <w:pPr>
                    <w:pStyle w:val="36"/>
                  </w:pPr>
                  <w:r>
                    <w:rPr>
                      <w:rFonts w:hint="eastAsia"/>
                    </w:rPr>
                    <w:t>蜀北下路排水改造工程</w:t>
                  </w:r>
                </w:p>
              </w:tc>
              <w:tc>
                <w:tcPr>
                  <w:tcW w:w="4063" w:type="dxa"/>
                  <w:tcBorders>
                    <w:top w:val="nil"/>
                    <w:left w:val="nil"/>
                    <w:bottom w:val="single" w:color="auto" w:sz="4" w:space="0"/>
                    <w:right w:val="single" w:color="auto" w:sz="4" w:space="0"/>
                  </w:tcBorders>
                  <w:shd w:val="clear" w:color="auto" w:fill="auto"/>
                  <w:vAlign w:val="center"/>
                </w:tcPr>
                <w:p>
                  <w:pPr>
                    <w:pStyle w:val="36"/>
                  </w:pPr>
                  <w:r>
                    <w:rPr>
                      <w:rFonts w:hint="eastAsia"/>
                    </w:rPr>
                    <w:t>1、新建雨水管及其附属设施，解决沿线内涝点位，沿线雨水口重建，检查井拆除重建；</w:t>
                  </w:r>
                  <w:r>
                    <w:rPr>
                      <w:rFonts w:hint="eastAsia"/>
                    </w:rPr>
                    <w:br w:type="textWrapping"/>
                  </w:r>
                  <w:r>
                    <w:rPr>
                      <w:rFonts w:hint="eastAsia"/>
                    </w:rPr>
                    <w:t>2、映月街口新建D600雨水管，改造雨污合流管。</w:t>
                  </w:r>
                  <w:r>
                    <w:rPr>
                      <w:rFonts w:hint="eastAsia"/>
                    </w:rPr>
                    <w:br w:type="textWrapping"/>
                  </w:r>
                  <w:r>
                    <w:rPr>
                      <w:rFonts w:hint="eastAsia"/>
                    </w:rPr>
                    <w:t>3、修复改造广福路口箱涵及明渠，明渠顶增设防撞护栏，部分段箱涵加盖。其中明渠改造段长350m，箱涵改造段长50m。</w:t>
                  </w:r>
                </w:p>
              </w:tc>
              <w:tc>
                <w:tcPr>
                  <w:tcW w:w="1010" w:type="dxa"/>
                  <w:vMerge w:val="continue"/>
                  <w:tcBorders>
                    <w:top w:val="nil"/>
                    <w:left w:val="single" w:color="auto" w:sz="4" w:space="0"/>
                    <w:bottom w:val="single" w:color="auto" w:sz="4" w:space="0"/>
                    <w:right w:val="single" w:color="auto" w:sz="4" w:space="0"/>
                  </w:tcBorders>
                  <w:vAlign w:val="center"/>
                </w:tcPr>
                <w:p>
                  <w:pPr>
                    <w:pStyle w:val="36"/>
                  </w:pPr>
                </w:p>
              </w:tc>
              <w:tc>
                <w:tcPr>
                  <w:tcW w:w="1260" w:type="dxa"/>
                  <w:tcBorders>
                    <w:top w:val="nil"/>
                    <w:left w:val="nil"/>
                    <w:bottom w:val="single" w:color="auto" w:sz="4" w:space="0"/>
                  </w:tcBorders>
                  <w:shd w:val="clear" w:color="auto" w:fill="auto"/>
                  <w:vAlign w:val="center"/>
                </w:tcPr>
                <w:p>
                  <w:pPr>
                    <w:pStyle w:val="36"/>
                  </w:pPr>
                  <w:r>
                    <w:rPr>
                      <w:rFonts w:hint="eastAsia"/>
                    </w:rPr>
                    <w:t>/</w:t>
                  </w:r>
                </w:p>
              </w:tc>
            </w:tr>
            <w:tr>
              <w:tblPrEx>
                <w:tblLayout w:type="fixed"/>
                <w:tblCellMar>
                  <w:top w:w="0" w:type="dxa"/>
                  <w:left w:w="108" w:type="dxa"/>
                  <w:bottom w:w="0" w:type="dxa"/>
                  <w:right w:w="108" w:type="dxa"/>
                </w:tblCellMar>
              </w:tblPrEx>
              <w:trPr>
                <w:trHeight w:val="2640" w:hRule="atLeast"/>
                <w:jc w:val="center"/>
              </w:trPr>
              <w:tc>
                <w:tcPr>
                  <w:tcW w:w="939" w:type="dxa"/>
                  <w:vMerge w:val="continue"/>
                  <w:tcBorders>
                    <w:top w:val="nil"/>
                    <w:bottom w:val="single" w:color="auto" w:sz="4" w:space="0"/>
                    <w:right w:val="single" w:color="auto" w:sz="4" w:space="0"/>
                  </w:tcBorders>
                  <w:vAlign w:val="center"/>
                </w:tcPr>
                <w:p>
                  <w:pPr>
                    <w:pStyle w:val="36"/>
                  </w:pPr>
                </w:p>
              </w:tc>
              <w:tc>
                <w:tcPr>
                  <w:tcW w:w="892" w:type="dxa"/>
                  <w:tcBorders>
                    <w:top w:val="nil"/>
                    <w:left w:val="nil"/>
                    <w:bottom w:val="single" w:color="auto" w:sz="4" w:space="0"/>
                    <w:right w:val="single" w:color="auto" w:sz="4" w:space="0"/>
                  </w:tcBorders>
                  <w:shd w:val="clear" w:color="auto" w:fill="auto"/>
                  <w:vAlign w:val="center"/>
                </w:tcPr>
                <w:p>
                  <w:pPr>
                    <w:pStyle w:val="36"/>
                  </w:pPr>
                  <w:r>
                    <w:rPr>
                      <w:rFonts w:hint="eastAsia"/>
                    </w:rPr>
                    <w:t>客运站片区排洪通道项目</w:t>
                  </w:r>
                </w:p>
              </w:tc>
              <w:tc>
                <w:tcPr>
                  <w:tcW w:w="4063" w:type="dxa"/>
                  <w:tcBorders>
                    <w:top w:val="nil"/>
                    <w:left w:val="nil"/>
                    <w:bottom w:val="single" w:color="auto" w:sz="4" w:space="0"/>
                    <w:right w:val="single" w:color="auto" w:sz="4" w:space="0"/>
                  </w:tcBorders>
                  <w:shd w:val="clear" w:color="auto" w:fill="auto"/>
                  <w:vAlign w:val="center"/>
                </w:tcPr>
                <w:p>
                  <w:pPr>
                    <w:pStyle w:val="36"/>
                  </w:pPr>
                  <w:r>
                    <w:rPr>
                      <w:rFonts w:hint="eastAsia"/>
                    </w:rPr>
                    <w:t>1、新建学苑路延长段排洪箱涵，采用钢筋砼结构，净空断面2000×2500，全长501m，排入下游现状涵洞。采取明挖施工，含地基处理及临时基坑支护。</w:t>
                  </w:r>
                  <w:r>
                    <w:rPr>
                      <w:rFonts w:hint="eastAsia"/>
                    </w:rPr>
                    <w:br w:type="textWrapping"/>
                  </w:r>
                  <w:r>
                    <w:rPr>
                      <w:rFonts w:hint="eastAsia"/>
                    </w:rPr>
                    <w:t>2、新建学苑路D1000雨水管160m，同步改造建设雨水支管D500，建设d300雨水联络管、雨水口、检查井等附属设施。管线明挖沟槽敷设破除、恢复路面，路面加铺沥青。</w:t>
                  </w:r>
                  <w:r>
                    <w:rPr>
                      <w:rFonts w:hint="eastAsia"/>
                    </w:rPr>
                    <w:br w:type="textWrapping"/>
                  </w:r>
                  <w:r>
                    <w:rPr>
                      <w:rFonts w:hint="eastAsia"/>
                    </w:rPr>
                    <w:t>3、新建客运站周边雨水管，建设d300雨水联络管、雨水口、检查井等附属设施。管线明挖沟槽敷设破除、恢复路面，路面加铺沥青。</w:t>
                  </w:r>
                </w:p>
              </w:tc>
              <w:tc>
                <w:tcPr>
                  <w:tcW w:w="1010" w:type="dxa"/>
                  <w:vMerge w:val="continue"/>
                  <w:tcBorders>
                    <w:top w:val="nil"/>
                    <w:left w:val="single" w:color="auto" w:sz="4" w:space="0"/>
                    <w:bottom w:val="single" w:color="auto" w:sz="4" w:space="0"/>
                    <w:right w:val="single" w:color="auto" w:sz="4" w:space="0"/>
                  </w:tcBorders>
                  <w:vAlign w:val="center"/>
                </w:tcPr>
                <w:p>
                  <w:pPr>
                    <w:pStyle w:val="36"/>
                  </w:pPr>
                </w:p>
              </w:tc>
              <w:tc>
                <w:tcPr>
                  <w:tcW w:w="1260" w:type="dxa"/>
                  <w:tcBorders>
                    <w:top w:val="nil"/>
                    <w:left w:val="nil"/>
                    <w:bottom w:val="single" w:color="auto" w:sz="4" w:space="0"/>
                  </w:tcBorders>
                  <w:shd w:val="clear" w:color="auto" w:fill="auto"/>
                  <w:vAlign w:val="center"/>
                </w:tcPr>
                <w:p>
                  <w:pPr>
                    <w:pStyle w:val="36"/>
                  </w:pPr>
                  <w:r>
                    <w:rPr>
                      <w:rFonts w:hint="eastAsia"/>
                    </w:rPr>
                    <w:t>/</w:t>
                  </w:r>
                </w:p>
              </w:tc>
            </w:tr>
            <w:tr>
              <w:tblPrEx>
                <w:tblLayout w:type="fixed"/>
                <w:tblCellMar>
                  <w:top w:w="0" w:type="dxa"/>
                  <w:left w:w="108" w:type="dxa"/>
                  <w:bottom w:w="0" w:type="dxa"/>
                  <w:right w:w="108" w:type="dxa"/>
                </w:tblCellMar>
              </w:tblPrEx>
              <w:trPr>
                <w:trHeight w:val="2760" w:hRule="atLeast"/>
                <w:jc w:val="center"/>
              </w:trPr>
              <w:tc>
                <w:tcPr>
                  <w:tcW w:w="939" w:type="dxa"/>
                  <w:vMerge w:val="continue"/>
                  <w:tcBorders>
                    <w:top w:val="nil"/>
                    <w:bottom w:val="single" w:color="auto" w:sz="4" w:space="0"/>
                    <w:right w:val="single" w:color="auto" w:sz="4" w:space="0"/>
                  </w:tcBorders>
                  <w:vAlign w:val="center"/>
                </w:tcPr>
                <w:p>
                  <w:pPr>
                    <w:pStyle w:val="36"/>
                  </w:pPr>
                </w:p>
              </w:tc>
              <w:tc>
                <w:tcPr>
                  <w:tcW w:w="892" w:type="dxa"/>
                  <w:tcBorders>
                    <w:top w:val="nil"/>
                    <w:left w:val="nil"/>
                    <w:bottom w:val="single" w:color="auto" w:sz="4" w:space="0"/>
                    <w:right w:val="single" w:color="auto" w:sz="4" w:space="0"/>
                  </w:tcBorders>
                  <w:shd w:val="clear" w:color="auto" w:fill="auto"/>
                  <w:vAlign w:val="center"/>
                </w:tcPr>
                <w:p>
                  <w:pPr>
                    <w:pStyle w:val="36"/>
                  </w:pPr>
                  <w:r>
                    <w:rPr>
                      <w:rFonts w:hint="eastAsia"/>
                    </w:rPr>
                    <w:t>蜀北中路排水改造项目</w:t>
                  </w:r>
                </w:p>
              </w:tc>
              <w:tc>
                <w:tcPr>
                  <w:tcW w:w="4063" w:type="dxa"/>
                  <w:tcBorders>
                    <w:top w:val="nil"/>
                    <w:left w:val="nil"/>
                    <w:bottom w:val="single" w:color="auto" w:sz="4" w:space="0"/>
                    <w:right w:val="single" w:color="auto" w:sz="4" w:space="0"/>
                  </w:tcBorders>
                  <w:shd w:val="clear" w:color="auto" w:fill="auto"/>
                  <w:vAlign w:val="center"/>
                </w:tcPr>
                <w:p>
                  <w:pPr>
                    <w:pStyle w:val="36"/>
                  </w:pPr>
                  <w:r>
                    <w:rPr>
                      <w:rFonts w:hint="eastAsia"/>
                    </w:rPr>
                    <w:t>1、沿线道路改造造成的雨水口重建，检查井拆除重建，部分路段新增管线，现状箱涵改造修复(加检查井筒)，施工区域给排水管线保护等。建设d300雨水联络管、雨水口、检查井等附属设施。排水设施改造时破除、恢复沥青路面及人行道。</w:t>
                  </w:r>
                  <w:r>
                    <w:rPr>
                      <w:rFonts w:hint="eastAsia"/>
                    </w:rPr>
                    <w:br w:type="textWrapping"/>
                  </w:r>
                  <w:r>
                    <w:rPr>
                      <w:rFonts w:hint="eastAsia"/>
                    </w:rPr>
                    <w:t>2、新建雨水管通道，解决成龙街至蒋家湾道路沿线地块内涝问题。建设d300雨水联络管、雨水口、检查井等附属设施。部分段采用顶管施工。</w:t>
                  </w:r>
                </w:p>
              </w:tc>
              <w:tc>
                <w:tcPr>
                  <w:tcW w:w="1010" w:type="dxa"/>
                  <w:vMerge w:val="continue"/>
                  <w:tcBorders>
                    <w:top w:val="nil"/>
                    <w:left w:val="single" w:color="auto" w:sz="4" w:space="0"/>
                    <w:bottom w:val="single" w:color="auto" w:sz="4" w:space="0"/>
                    <w:right w:val="single" w:color="auto" w:sz="4" w:space="0"/>
                  </w:tcBorders>
                  <w:vAlign w:val="center"/>
                </w:tcPr>
                <w:p>
                  <w:pPr>
                    <w:pStyle w:val="36"/>
                  </w:pPr>
                </w:p>
              </w:tc>
              <w:tc>
                <w:tcPr>
                  <w:tcW w:w="1260" w:type="dxa"/>
                  <w:tcBorders>
                    <w:top w:val="nil"/>
                    <w:left w:val="nil"/>
                    <w:bottom w:val="single" w:color="auto" w:sz="4" w:space="0"/>
                  </w:tcBorders>
                  <w:shd w:val="clear" w:color="auto" w:fill="auto"/>
                  <w:vAlign w:val="center"/>
                </w:tcPr>
                <w:p>
                  <w:pPr>
                    <w:pStyle w:val="36"/>
                  </w:pPr>
                  <w:r>
                    <w:rPr>
                      <w:rFonts w:hint="eastAsia"/>
                    </w:rPr>
                    <w:t>/</w:t>
                  </w:r>
                </w:p>
              </w:tc>
            </w:tr>
            <w:tr>
              <w:tblPrEx>
                <w:tblLayout w:type="fixed"/>
                <w:tblCellMar>
                  <w:top w:w="0" w:type="dxa"/>
                  <w:left w:w="108" w:type="dxa"/>
                  <w:bottom w:w="0" w:type="dxa"/>
                  <w:right w:w="108" w:type="dxa"/>
                </w:tblCellMar>
              </w:tblPrEx>
              <w:trPr>
                <w:trHeight w:val="1219" w:hRule="atLeast"/>
                <w:jc w:val="center"/>
              </w:trPr>
              <w:tc>
                <w:tcPr>
                  <w:tcW w:w="939" w:type="dxa"/>
                  <w:vMerge w:val="continue"/>
                  <w:tcBorders>
                    <w:top w:val="nil"/>
                    <w:bottom w:val="single" w:color="auto" w:sz="4" w:space="0"/>
                    <w:right w:val="single" w:color="auto" w:sz="4" w:space="0"/>
                  </w:tcBorders>
                  <w:vAlign w:val="center"/>
                </w:tcPr>
                <w:p>
                  <w:pPr>
                    <w:pStyle w:val="36"/>
                  </w:pPr>
                </w:p>
              </w:tc>
              <w:tc>
                <w:tcPr>
                  <w:tcW w:w="892" w:type="dxa"/>
                  <w:tcBorders>
                    <w:top w:val="nil"/>
                    <w:left w:val="nil"/>
                    <w:bottom w:val="single" w:color="auto" w:sz="4" w:space="0"/>
                    <w:right w:val="single" w:color="auto" w:sz="4" w:space="0"/>
                  </w:tcBorders>
                  <w:shd w:val="clear" w:color="auto" w:fill="auto"/>
                  <w:vAlign w:val="center"/>
                </w:tcPr>
                <w:p>
                  <w:pPr>
                    <w:pStyle w:val="36"/>
                  </w:pPr>
                  <w:r>
                    <w:rPr>
                      <w:rFonts w:hint="eastAsia"/>
                    </w:rPr>
                    <w:t>普宁街排洪通道项目</w:t>
                  </w:r>
                </w:p>
              </w:tc>
              <w:tc>
                <w:tcPr>
                  <w:tcW w:w="4063" w:type="dxa"/>
                  <w:tcBorders>
                    <w:top w:val="nil"/>
                    <w:left w:val="nil"/>
                    <w:bottom w:val="single" w:color="auto" w:sz="4" w:space="0"/>
                    <w:right w:val="single" w:color="auto" w:sz="4" w:space="0"/>
                  </w:tcBorders>
                  <w:shd w:val="clear" w:color="auto" w:fill="auto"/>
                  <w:vAlign w:val="center"/>
                </w:tcPr>
                <w:p>
                  <w:pPr>
                    <w:pStyle w:val="36"/>
                  </w:pPr>
                  <w:r>
                    <w:rPr>
                      <w:rFonts w:hint="eastAsia"/>
                    </w:rPr>
                    <w:t>对普宁街现状雨水管内涝点节点改造，新建雨水口及雨水联络管。</w:t>
                  </w:r>
                </w:p>
              </w:tc>
              <w:tc>
                <w:tcPr>
                  <w:tcW w:w="1010" w:type="dxa"/>
                  <w:vMerge w:val="continue"/>
                  <w:tcBorders>
                    <w:top w:val="nil"/>
                    <w:left w:val="single" w:color="auto" w:sz="4" w:space="0"/>
                    <w:bottom w:val="single" w:color="auto" w:sz="4" w:space="0"/>
                    <w:right w:val="single" w:color="auto" w:sz="4" w:space="0"/>
                  </w:tcBorders>
                  <w:vAlign w:val="center"/>
                </w:tcPr>
                <w:p>
                  <w:pPr>
                    <w:pStyle w:val="36"/>
                  </w:pPr>
                </w:p>
              </w:tc>
              <w:tc>
                <w:tcPr>
                  <w:tcW w:w="1260" w:type="dxa"/>
                  <w:tcBorders>
                    <w:top w:val="nil"/>
                    <w:left w:val="nil"/>
                    <w:bottom w:val="single" w:color="auto" w:sz="4" w:space="0"/>
                  </w:tcBorders>
                  <w:shd w:val="clear" w:color="auto" w:fill="auto"/>
                  <w:vAlign w:val="center"/>
                </w:tcPr>
                <w:p>
                  <w:pPr>
                    <w:pStyle w:val="36"/>
                  </w:pPr>
                  <w:r>
                    <w:rPr>
                      <w:rFonts w:hint="eastAsia"/>
                    </w:rPr>
                    <w:t>/</w:t>
                  </w:r>
                </w:p>
              </w:tc>
            </w:tr>
            <w:tr>
              <w:tblPrEx>
                <w:tblLayout w:type="fixed"/>
                <w:tblCellMar>
                  <w:top w:w="0" w:type="dxa"/>
                  <w:left w:w="108" w:type="dxa"/>
                  <w:bottom w:w="0" w:type="dxa"/>
                  <w:right w:w="108" w:type="dxa"/>
                </w:tblCellMar>
              </w:tblPrEx>
              <w:trPr>
                <w:trHeight w:val="1219" w:hRule="atLeast"/>
                <w:jc w:val="center"/>
              </w:trPr>
              <w:tc>
                <w:tcPr>
                  <w:tcW w:w="939" w:type="dxa"/>
                  <w:vMerge w:val="continue"/>
                  <w:tcBorders>
                    <w:top w:val="nil"/>
                    <w:bottom w:val="single" w:color="auto" w:sz="4" w:space="0"/>
                    <w:right w:val="single" w:color="auto" w:sz="4" w:space="0"/>
                  </w:tcBorders>
                  <w:vAlign w:val="center"/>
                </w:tcPr>
                <w:p>
                  <w:pPr>
                    <w:pStyle w:val="36"/>
                  </w:pPr>
                </w:p>
              </w:tc>
              <w:tc>
                <w:tcPr>
                  <w:tcW w:w="892" w:type="dxa"/>
                  <w:tcBorders>
                    <w:top w:val="nil"/>
                    <w:left w:val="nil"/>
                    <w:bottom w:val="single" w:color="auto" w:sz="4" w:space="0"/>
                    <w:right w:val="single" w:color="auto" w:sz="4" w:space="0"/>
                  </w:tcBorders>
                  <w:shd w:val="clear" w:color="auto" w:fill="auto"/>
                  <w:vAlign w:val="center"/>
                </w:tcPr>
                <w:p>
                  <w:pPr>
                    <w:pStyle w:val="36"/>
                  </w:pPr>
                  <w:r>
                    <w:rPr>
                      <w:rFonts w:hint="eastAsia"/>
                    </w:rPr>
                    <w:t>来龙山闸坝工程</w:t>
                  </w:r>
                </w:p>
              </w:tc>
              <w:tc>
                <w:tcPr>
                  <w:tcW w:w="4063" w:type="dxa"/>
                  <w:tcBorders>
                    <w:top w:val="nil"/>
                    <w:left w:val="nil"/>
                    <w:bottom w:val="single" w:color="auto" w:sz="4" w:space="0"/>
                    <w:right w:val="single" w:color="auto" w:sz="4" w:space="0"/>
                  </w:tcBorders>
                  <w:shd w:val="clear" w:color="auto" w:fill="auto"/>
                  <w:vAlign w:val="center"/>
                </w:tcPr>
                <w:p>
                  <w:pPr>
                    <w:pStyle w:val="36"/>
                  </w:pPr>
                  <w:r>
                    <w:rPr>
                      <w:rFonts w:hint="eastAsia"/>
                    </w:rPr>
                    <w:t>于芝溪河来龙山污水厂下游新建调蓄闸一处，增强蓄洪能力，保护蓬溪县城区防洪安全。闸室总宽约50m，防洪标准为 20 年一遇，含河堤改造、临时导流等工程。</w:t>
                  </w:r>
                </w:p>
              </w:tc>
              <w:tc>
                <w:tcPr>
                  <w:tcW w:w="1010" w:type="dxa"/>
                  <w:vMerge w:val="continue"/>
                  <w:tcBorders>
                    <w:top w:val="nil"/>
                    <w:left w:val="single" w:color="auto" w:sz="4" w:space="0"/>
                    <w:bottom w:val="single" w:color="auto" w:sz="4" w:space="0"/>
                    <w:right w:val="single" w:color="auto" w:sz="4" w:space="0"/>
                  </w:tcBorders>
                  <w:vAlign w:val="center"/>
                </w:tcPr>
                <w:p>
                  <w:pPr>
                    <w:pStyle w:val="36"/>
                  </w:pPr>
                </w:p>
              </w:tc>
              <w:tc>
                <w:tcPr>
                  <w:tcW w:w="1260" w:type="dxa"/>
                  <w:tcBorders>
                    <w:top w:val="nil"/>
                    <w:left w:val="nil"/>
                    <w:bottom w:val="single" w:color="auto" w:sz="4" w:space="0"/>
                  </w:tcBorders>
                  <w:shd w:val="clear" w:color="auto" w:fill="auto"/>
                  <w:vAlign w:val="center"/>
                </w:tcPr>
                <w:p>
                  <w:pPr>
                    <w:pStyle w:val="36"/>
                  </w:pPr>
                  <w:r>
                    <w:rPr>
                      <w:rFonts w:hint="eastAsia"/>
                    </w:rPr>
                    <w:t>/</w:t>
                  </w:r>
                </w:p>
              </w:tc>
            </w:tr>
            <w:tr>
              <w:tblPrEx>
                <w:tblLayout w:type="fixed"/>
                <w:tblCellMar>
                  <w:top w:w="0" w:type="dxa"/>
                  <w:left w:w="108" w:type="dxa"/>
                  <w:bottom w:w="0" w:type="dxa"/>
                  <w:right w:w="108" w:type="dxa"/>
                </w:tblCellMar>
              </w:tblPrEx>
              <w:trPr>
                <w:trHeight w:val="1219" w:hRule="atLeast"/>
                <w:jc w:val="center"/>
              </w:trPr>
              <w:tc>
                <w:tcPr>
                  <w:tcW w:w="939" w:type="dxa"/>
                  <w:vMerge w:val="continue"/>
                  <w:tcBorders>
                    <w:top w:val="nil"/>
                    <w:bottom w:val="single" w:color="auto" w:sz="4" w:space="0"/>
                    <w:right w:val="single" w:color="auto" w:sz="4" w:space="0"/>
                  </w:tcBorders>
                  <w:vAlign w:val="center"/>
                </w:tcPr>
                <w:p>
                  <w:pPr>
                    <w:pStyle w:val="36"/>
                  </w:pPr>
                </w:p>
              </w:tc>
              <w:tc>
                <w:tcPr>
                  <w:tcW w:w="892" w:type="dxa"/>
                  <w:tcBorders>
                    <w:top w:val="nil"/>
                    <w:left w:val="nil"/>
                    <w:bottom w:val="single" w:color="auto" w:sz="4" w:space="0"/>
                    <w:right w:val="single" w:color="auto" w:sz="4" w:space="0"/>
                  </w:tcBorders>
                  <w:shd w:val="clear" w:color="auto" w:fill="auto"/>
                  <w:vAlign w:val="center"/>
                </w:tcPr>
                <w:p>
                  <w:pPr>
                    <w:pStyle w:val="36"/>
                  </w:pPr>
                  <w:r>
                    <w:rPr>
                      <w:rFonts w:hint="eastAsia"/>
                    </w:rPr>
                    <w:t>碧山庙村拱堰改造工程</w:t>
                  </w:r>
                </w:p>
              </w:tc>
              <w:tc>
                <w:tcPr>
                  <w:tcW w:w="4063" w:type="dxa"/>
                  <w:tcBorders>
                    <w:top w:val="nil"/>
                    <w:left w:val="nil"/>
                    <w:bottom w:val="single" w:color="auto" w:sz="4" w:space="0"/>
                    <w:right w:val="single" w:color="auto" w:sz="4" w:space="0"/>
                  </w:tcBorders>
                  <w:shd w:val="clear" w:color="auto" w:fill="auto"/>
                  <w:vAlign w:val="center"/>
                </w:tcPr>
                <w:p>
                  <w:pPr>
                    <w:pStyle w:val="36"/>
                  </w:pPr>
                  <w:r>
                    <w:rPr>
                      <w:rFonts w:hint="eastAsia"/>
                    </w:rPr>
                    <w:t>改造芝溪河碧山庙村拱堰，调整拱堰蓄水高度，改善芝溪河流域生态面貌，提升城市防洪抗涝能力。含河堤改造、临时导流等工程。</w:t>
                  </w:r>
                </w:p>
              </w:tc>
              <w:tc>
                <w:tcPr>
                  <w:tcW w:w="1010" w:type="dxa"/>
                  <w:vMerge w:val="continue"/>
                  <w:tcBorders>
                    <w:top w:val="nil"/>
                    <w:left w:val="single" w:color="auto" w:sz="4" w:space="0"/>
                    <w:bottom w:val="single" w:color="auto" w:sz="4" w:space="0"/>
                    <w:right w:val="single" w:color="auto" w:sz="4" w:space="0"/>
                  </w:tcBorders>
                  <w:vAlign w:val="center"/>
                </w:tcPr>
                <w:p>
                  <w:pPr>
                    <w:pStyle w:val="36"/>
                  </w:pPr>
                </w:p>
              </w:tc>
              <w:tc>
                <w:tcPr>
                  <w:tcW w:w="1260" w:type="dxa"/>
                  <w:tcBorders>
                    <w:top w:val="nil"/>
                    <w:left w:val="nil"/>
                    <w:bottom w:val="single" w:color="auto" w:sz="4" w:space="0"/>
                  </w:tcBorders>
                  <w:shd w:val="clear" w:color="auto" w:fill="auto"/>
                  <w:vAlign w:val="center"/>
                </w:tcPr>
                <w:p>
                  <w:pPr>
                    <w:pStyle w:val="36"/>
                  </w:pPr>
                  <w:r>
                    <w:rPr>
                      <w:rFonts w:hint="eastAsia"/>
                    </w:rPr>
                    <w:t>/</w:t>
                  </w:r>
                </w:p>
              </w:tc>
            </w:tr>
            <w:tr>
              <w:tblPrEx>
                <w:tblLayout w:type="fixed"/>
                <w:tblCellMar>
                  <w:top w:w="0" w:type="dxa"/>
                  <w:left w:w="108" w:type="dxa"/>
                  <w:bottom w:w="0" w:type="dxa"/>
                  <w:right w:w="108" w:type="dxa"/>
                </w:tblCellMar>
              </w:tblPrEx>
              <w:trPr>
                <w:trHeight w:val="1219" w:hRule="atLeast"/>
                <w:jc w:val="center"/>
              </w:trPr>
              <w:tc>
                <w:tcPr>
                  <w:tcW w:w="939" w:type="dxa"/>
                  <w:vMerge w:val="continue"/>
                  <w:tcBorders>
                    <w:top w:val="nil"/>
                    <w:bottom w:val="single" w:color="auto" w:sz="4" w:space="0"/>
                    <w:right w:val="single" w:color="auto" w:sz="4" w:space="0"/>
                  </w:tcBorders>
                  <w:vAlign w:val="center"/>
                </w:tcPr>
                <w:p>
                  <w:pPr>
                    <w:pStyle w:val="36"/>
                  </w:pPr>
                </w:p>
              </w:tc>
              <w:tc>
                <w:tcPr>
                  <w:tcW w:w="892" w:type="dxa"/>
                  <w:tcBorders>
                    <w:top w:val="nil"/>
                    <w:left w:val="nil"/>
                    <w:bottom w:val="single" w:color="auto" w:sz="4" w:space="0"/>
                    <w:right w:val="single" w:color="auto" w:sz="4" w:space="0"/>
                  </w:tcBorders>
                  <w:shd w:val="clear" w:color="auto" w:fill="auto"/>
                  <w:vAlign w:val="center"/>
                </w:tcPr>
                <w:p>
                  <w:pPr>
                    <w:pStyle w:val="36"/>
                  </w:pPr>
                  <w:r>
                    <w:rPr>
                      <w:rFonts w:hint="eastAsia"/>
                    </w:rPr>
                    <w:t>县城内涝整治及管网修复项目</w:t>
                  </w:r>
                </w:p>
              </w:tc>
              <w:tc>
                <w:tcPr>
                  <w:tcW w:w="4063" w:type="dxa"/>
                  <w:tcBorders>
                    <w:top w:val="nil"/>
                    <w:left w:val="nil"/>
                    <w:bottom w:val="single" w:color="auto" w:sz="4" w:space="0"/>
                    <w:right w:val="single" w:color="auto" w:sz="4" w:space="0"/>
                  </w:tcBorders>
                  <w:shd w:val="clear" w:color="auto" w:fill="auto"/>
                  <w:vAlign w:val="center"/>
                </w:tcPr>
                <w:p>
                  <w:pPr>
                    <w:pStyle w:val="36"/>
                  </w:pPr>
                  <w:r>
                    <w:rPr>
                      <w:rFonts w:hint="eastAsia"/>
                    </w:rPr>
                    <w:t>对县城现状雨水管网进行检测、修复。通过新建、改建雨水管网，解决县城多个内涝点位。集中购置应急抽排装备及设施，主要包括大型移动泵车、大流量潜水泵，高扬程潜水泵，移动式小型潜水泵、移动发电车等。</w:t>
                  </w:r>
                </w:p>
              </w:tc>
              <w:tc>
                <w:tcPr>
                  <w:tcW w:w="1010" w:type="dxa"/>
                  <w:vMerge w:val="continue"/>
                  <w:tcBorders>
                    <w:top w:val="nil"/>
                    <w:left w:val="single" w:color="auto" w:sz="4" w:space="0"/>
                    <w:bottom w:val="single" w:color="auto" w:sz="4" w:space="0"/>
                    <w:right w:val="single" w:color="auto" w:sz="4" w:space="0"/>
                  </w:tcBorders>
                  <w:vAlign w:val="center"/>
                </w:tcPr>
                <w:p>
                  <w:pPr>
                    <w:pStyle w:val="36"/>
                  </w:pPr>
                </w:p>
              </w:tc>
              <w:tc>
                <w:tcPr>
                  <w:tcW w:w="1260" w:type="dxa"/>
                  <w:tcBorders>
                    <w:top w:val="nil"/>
                    <w:left w:val="nil"/>
                    <w:bottom w:val="single" w:color="auto" w:sz="4" w:space="0"/>
                  </w:tcBorders>
                  <w:shd w:val="clear" w:color="auto" w:fill="auto"/>
                  <w:vAlign w:val="center"/>
                </w:tcPr>
                <w:p>
                  <w:pPr>
                    <w:pStyle w:val="36"/>
                  </w:pPr>
                  <w:r>
                    <w:rPr>
                      <w:rFonts w:hint="eastAsia"/>
                    </w:rPr>
                    <w:t>/</w:t>
                  </w:r>
                </w:p>
              </w:tc>
            </w:tr>
            <w:tr>
              <w:tblPrEx>
                <w:tblLayout w:type="fixed"/>
                <w:tblCellMar>
                  <w:top w:w="0" w:type="dxa"/>
                  <w:left w:w="108" w:type="dxa"/>
                  <w:bottom w:w="0" w:type="dxa"/>
                  <w:right w:w="108" w:type="dxa"/>
                </w:tblCellMar>
              </w:tblPrEx>
              <w:trPr>
                <w:trHeight w:val="1219" w:hRule="atLeast"/>
                <w:jc w:val="center"/>
              </w:trPr>
              <w:tc>
                <w:tcPr>
                  <w:tcW w:w="939" w:type="dxa"/>
                  <w:vMerge w:val="continue"/>
                  <w:tcBorders>
                    <w:top w:val="nil"/>
                    <w:bottom w:val="single" w:color="auto" w:sz="4" w:space="0"/>
                    <w:right w:val="single" w:color="auto" w:sz="4" w:space="0"/>
                  </w:tcBorders>
                  <w:vAlign w:val="center"/>
                </w:tcPr>
                <w:p>
                  <w:pPr>
                    <w:pStyle w:val="36"/>
                  </w:pPr>
                </w:p>
              </w:tc>
              <w:tc>
                <w:tcPr>
                  <w:tcW w:w="892" w:type="dxa"/>
                  <w:tcBorders>
                    <w:top w:val="nil"/>
                    <w:left w:val="nil"/>
                    <w:bottom w:val="single" w:color="auto" w:sz="4" w:space="0"/>
                    <w:right w:val="single" w:color="auto" w:sz="4" w:space="0"/>
                  </w:tcBorders>
                  <w:shd w:val="clear" w:color="auto" w:fill="auto"/>
                  <w:vAlign w:val="center"/>
                </w:tcPr>
                <w:p>
                  <w:pPr>
                    <w:pStyle w:val="36"/>
                  </w:pPr>
                  <w:r>
                    <w:rPr>
                      <w:rFonts w:hint="eastAsia"/>
                    </w:rPr>
                    <w:t>上游片区排水改造工程</w:t>
                  </w:r>
                </w:p>
              </w:tc>
              <w:tc>
                <w:tcPr>
                  <w:tcW w:w="4063" w:type="dxa"/>
                  <w:tcBorders>
                    <w:top w:val="nil"/>
                    <w:left w:val="nil"/>
                    <w:bottom w:val="single" w:color="auto" w:sz="4" w:space="0"/>
                    <w:right w:val="single" w:color="auto" w:sz="4" w:space="0"/>
                  </w:tcBorders>
                  <w:shd w:val="clear" w:color="auto" w:fill="auto"/>
                  <w:vAlign w:val="center"/>
                </w:tcPr>
                <w:p>
                  <w:pPr>
                    <w:pStyle w:val="36"/>
                  </w:pPr>
                  <w:r>
                    <w:rPr>
                      <w:rFonts w:hint="eastAsia"/>
                    </w:rPr>
                    <w:t>新建及改建上游片区梨园路、忠孝路北段、聚财路等道路雨水管道及其附属设施。新建d600~d1500雨水管，建设d300雨水联络管、雨水口、检查井等附属设施。拆除恢复管道、道路及配套附属设施。</w:t>
                  </w:r>
                </w:p>
              </w:tc>
              <w:tc>
                <w:tcPr>
                  <w:tcW w:w="1010" w:type="dxa"/>
                  <w:vMerge w:val="continue"/>
                  <w:tcBorders>
                    <w:top w:val="nil"/>
                    <w:left w:val="single" w:color="auto" w:sz="4" w:space="0"/>
                    <w:bottom w:val="single" w:color="auto" w:sz="4" w:space="0"/>
                    <w:right w:val="single" w:color="auto" w:sz="4" w:space="0"/>
                  </w:tcBorders>
                  <w:vAlign w:val="center"/>
                </w:tcPr>
                <w:p>
                  <w:pPr>
                    <w:pStyle w:val="36"/>
                  </w:pPr>
                </w:p>
              </w:tc>
              <w:tc>
                <w:tcPr>
                  <w:tcW w:w="1260" w:type="dxa"/>
                  <w:tcBorders>
                    <w:top w:val="nil"/>
                    <w:left w:val="nil"/>
                    <w:bottom w:val="single" w:color="auto" w:sz="4" w:space="0"/>
                  </w:tcBorders>
                  <w:shd w:val="clear" w:color="auto" w:fill="auto"/>
                  <w:vAlign w:val="center"/>
                </w:tcPr>
                <w:p>
                  <w:pPr>
                    <w:pStyle w:val="36"/>
                  </w:pPr>
                  <w:r>
                    <w:rPr>
                      <w:rFonts w:hint="eastAsia"/>
                    </w:rPr>
                    <w:t>/</w:t>
                  </w:r>
                </w:p>
              </w:tc>
            </w:tr>
            <w:tr>
              <w:tblPrEx>
                <w:tblLayout w:type="fixed"/>
                <w:tblCellMar>
                  <w:top w:w="0" w:type="dxa"/>
                  <w:left w:w="108" w:type="dxa"/>
                  <w:bottom w:w="0" w:type="dxa"/>
                  <w:right w:w="108" w:type="dxa"/>
                </w:tblCellMar>
              </w:tblPrEx>
              <w:trPr>
                <w:trHeight w:val="1219" w:hRule="atLeast"/>
                <w:jc w:val="center"/>
              </w:trPr>
              <w:tc>
                <w:tcPr>
                  <w:tcW w:w="939" w:type="dxa"/>
                  <w:vMerge w:val="continue"/>
                  <w:tcBorders>
                    <w:top w:val="nil"/>
                    <w:bottom w:val="single" w:color="auto" w:sz="4" w:space="0"/>
                    <w:right w:val="single" w:color="auto" w:sz="4" w:space="0"/>
                  </w:tcBorders>
                  <w:vAlign w:val="center"/>
                </w:tcPr>
                <w:p>
                  <w:pPr>
                    <w:pStyle w:val="36"/>
                  </w:pPr>
                </w:p>
              </w:tc>
              <w:tc>
                <w:tcPr>
                  <w:tcW w:w="892" w:type="dxa"/>
                  <w:tcBorders>
                    <w:top w:val="nil"/>
                    <w:left w:val="nil"/>
                    <w:bottom w:val="single" w:color="auto" w:sz="4" w:space="0"/>
                    <w:right w:val="single" w:color="auto" w:sz="4" w:space="0"/>
                  </w:tcBorders>
                  <w:shd w:val="clear" w:color="auto" w:fill="auto"/>
                  <w:vAlign w:val="center"/>
                </w:tcPr>
                <w:p>
                  <w:pPr>
                    <w:pStyle w:val="36"/>
                  </w:pPr>
                  <w:r>
                    <w:rPr>
                      <w:rFonts w:hint="eastAsia"/>
                    </w:rPr>
                    <w:t>普安大道周边道路排水工程</w:t>
                  </w:r>
                </w:p>
              </w:tc>
              <w:tc>
                <w:tcPr>
                  <w:tcW w:w="4063" w:type="dxa"/>
                  <w:tcBorders>
                    <w:top w:val="nil"/>
                    <w:left w:val="nil"/>
                    <w:bottom w:val="single" w:color="auto" w:sz="4" w:space="0"/>
                    <w:right w:val="single" w:color="auto" w:sz="4" w:space="0"/>
                  </w:tcBorders>
                  <w:shd w:val="clear" w:color="auto" w:fill="auto"/>
                  <w:vAlign w:val="center"/>
                </w:tcPr>
                <w:p>
                  <w:pPr>
                    <w:pStyle w:val="36"/>
                  </w:pPr>
                  <w:r>
                    <w:rPr>
                      <w:rFonts w:hint="eastAsia"/>
                    </w:rPr>
                    <w:t>新建普安大道周边学苑路、锦凤路及纵二路等道路雨水管道及其附属设施。d600~d2000雨水管，建设d300雨水联络管、雨水口、检查井等附属设施。拆除恢复管道、道路及配套附属设施。</w:t>
                  </w:r>
                </w:p>
              </w:tc>
              <w:tc>
                <w:tcPr>
                  <w:tcW w:w="1010" w:type="dxa"/>
                  <w:vMerge w:val="continue"/>
                  <w:tcBorders>
                    <w:top w:val="nil"/>
                    <w:left w:val="single" w:color="auto" w:sz="4" w:space="0"/>
                    <w:bottom w:val="single" w:color="auto" w:sz="4" w:space="0"/>
                    <w:right w:val="single" w:color="auto" w:sz="4" w:space="0"/>
                  </w:tcBorders>
                  <w:vAlign w:val="center"/>
                </w:tcPr>
                <w:p>
                  <w:pPr>
                    <w:pStyle w:val="36"/>
                  </w:pPr>
                </w:p>
              </w:tc>
              <w:tc>
                <w:tcPr>
                  <w:tcW w:w="1260" w:type="dxa"/>
                  <w:tcBorders>
                    <w:top w:val="nil"/>
                    <w:left w:val="nil"/>
                    <w:bottom w:val="single" w:color="auto" w:sz="4" w:space="0"/>
                  </w:tcBorders>
                  <w:shd w:val="clear" w:color="auto" w:fill="auto"/>
                  <w:vAlign w:val="center"/>
                </w:tcPr>
                <w:p>
                  <w:pPr>
                    <w:pStyle w:val="36"/>
                  </w:pPr>
                  <w:r>
                    <w:rPr>
                      <w:rFonts w:hint="eastAsia"/>
                    </w:rPr>
                    <w:t>/</w:t>
                  </w:r>
                </w:p>
              </w:tc>
            </w:tr>
            <w:tr>
              <w:tblPrEx>
                <w:tblLayout w:type="fixed"/>
                <w:tblCellMar>
                  <w:top w:w="0" w:type="dxa"/>
                  <w:left w:w="108" w:type="dxa"/>
                  <w:bottom w:w="0" w:type="dxa"/>
                  <w:right w:w="108" w:type="dxa"/>
                </w:tblCellMar>
              </w:tblPrEx>
              <w:trPr>
                <w:trHeight w:val="3480" w:hRule="atLeast"/>
                <w:jc w:val="center"/>
              </w:trPr>
              <w:tc>
                <w:tcPr>
                  <w:tcW w:w="939" w:type="dxa"/>
                  <w:vMerge w:val="restart"/>
                  <w:tcBorders>
                    <w:top w:val="nil"/>
                    <w:bottom w:val="single" w:color="auto" w:sz="4" w:space="0"/>
                    <w:right w:val="single" w:color="auto" w:sz="4" w:space="0"/>
                  </w:tcBorders>
                  <w:shd w:val="clear" w:color="auto" w:fill="auto"/>
                  <w:vAlign w:val="center"/>
                </w:tcPr>
                <w:p>
                  <w:pPr>
                    <w:pStyle w:val="36"/>
                  </w:pPr>
                  <w:r>
                    <w:rPr>
                      <w:rFonts w:hint="eastAsia"/>
                    </w:rPr>
                    <w:t>环保工程</w:t>
                  </w:r>
                </w:p>
              </w:tc>
              <w:tc>
                <w:tcPr>
                  <w:tcW w:w="892" w:type="dxa"/>
                  <w:tcBorders>
                    <w:top w:val="nil"/>
                    <w:left w:val="nil"/>
                    <w:bottom w:val="single" w:color="auto" w:sz="4" w:space="0"/>
                    <w:right w:val="single" w:color="auto" w:sz="4" w:space="0"/>
                  </w:tcBorders>
                  <w:shd w:val="clear" w:color="auto" w:fill="auto"/>
                  <w:vAlign w:val="center"/>
                </w:tcPr>
                <w:p>
                  <w:pPr>
                    <w:pStyle w:val="36"/>
                  </w:pPr>
                  <w:r>
                    <w:rPr>
                      <w:rFonts w:hint="eastAsia"/>
                    </w:rPr>
                    <w:t>施工废气</w:t>
                  </w:r>
                </w:p>
              </w:tc>
              <w:tc>
                <w:tcPr>
                  <w:tcW w:w="4063" w:type="dxa"/>
                  <w:tcBorders>
                    <w:top w:val="nil"/>
                    <w:left w:val="nil"/>
                    <w:bottom w:val="single" w:color="auto" w:sz="4" w:space="0"/>
                    <w:right w:val="single" w:color="auto" w:sz="4" w:space="0"/>
                  </w:tcBorders>
                  <w:shd w:val="clear" w:color="auto" w:fill="auto"/>
                  <w:vAlign w:val="center"/>
                </w:tcPr>
                <w:p>
                  <w:pPr>
                    <w:pStyle w:val="36"/>
                  </w:pPr>
                  <w:r>
                    <w:rPr>
                      <w:rFonts w:hint="eastAsia"/>
                    </w:rPr>
                    <w:t>严格执行“六必须、六不准”和“六个百分之百”管控措施；</w:t>
                  </w:r>
                </w:p>
                <w:p>
                  <w:pPr>
                    <w:pStyle w:val="36"/>
                  </w:pPr>
                  <w:r>
                    <w:rPr>
                      <w:rFonts w:hint="eastAsia"/>
                    </w:rPr>
                    <w:t>施工现场不得设置现场搅拌混凝土；</w:t>
                  </w:r>
                </w:p>
                <w:p>
                  <w:pPr>
                    <w:pStyle w:val="36"/>
                  </w:pPr>
                  <w:r>
                    <w:rPr>
                      <w:rFonts w:hint="eastAsia"/>
                    </w:rPr>
                    <w:t>车辆装载高度应低于车厢上沿，不得超高超载；</w:t>
                  </w:r>
                </w:p>
                <w:p>
                  <w:pPr>
                    <w:pStyle w:val="36"/>
                  </w:pPr>
                  <w:r>
                    <w:rPr>
                      <w:rFonts w:hint="eastAsia"/>
                    </w:rPr>
                    <w:t>坚持文明装卸，运输车辆装卸完货后应清洁车厢；</w:t>
                  </w:r>
                </w:p>
                <w:p>
                  <w:pPr>
                    <w:pStyle w:val="36"/>
                  </w:pPr>
                  <w:r>
                    <w:rPr>
                      <w:rFonts w:hint="eastAsia"/>
                    </w:rPr>
                    <w:t>施工现场禁止焚烧沥青、油毡、橡胶、垃圾等易产生有毒有害烟尘和恶臭气体的物质；</w:t>
                  </w:r>
                  <w:r>
                    <w:rPr>
                      <w:rFonts w:hint="eastAsia"/>
                    </w:rPr>
                    <w:br w:type="textWrapping"/>
                  </w:r>
                  <w:r>
                    <w:rPr>
                      <w:rFonts w:hint="eastAsia"/>
                    </w:rPr>
                    <w:t>优选施工单位，做到文明施工，土方的挖掘、堆放要规范有序；</w:t>
                  </w:r>
                  <w:r>
                    <w:rPr>
                      <w:rFonts w:hint="eastAsia"/>
                    </w:rPr>
                    <w:br w:type="textWrapping"/>
                  </w:r>
                  <w:r>
                    <w:rPr>
                      <w:rFonts w:hint="eastAsia"/>
                    </w:rPr>
                    <w:t>选择满足国家规定排放标准的施工机械；</w:t>
                  </w:r>
                  <w:r>
                    <w:rPr>
                      <w:rFonts w:hint="eastAsia"/>
                    </w:rPr>
                    <w:br w:type="textWrapping"/>
                  </w:r>
                  <w:r>
                    <w:rPr>
                      <w:rFonts w:hint="eastAsia"/>
                    </w:rPr>
                    <w:t>加强施工机械和车辆的维护和保养；</w:t>
                  </w:r>
                  <w:r>
                    <w:rPr>
                      <w:rFonts w:hint="eastAsia"/>
                    </w:rPr>
                    <w:br w:type="textWrapping"/>
                  </w:r>
                  <w:r>
                    <w:rPr>
                      <w:rFonts w:hint="eastAsia"/>
                    </w:rPr>
                    <w:t>施工现场设置围挡，现在设置喷淋设施及水管，安排专人对施工现场洒水清洁；</w:t>
                  </w:r>
                  <w:r>
                    <w:rPr>
                      <w:rFonts w:hint="eastAsia"/>
                    </w:rPr>
                    <w:br w:type="textWrapping"/>
                  </w:r>
                </w:p>
              </w:tc>
              <w:tc>
                <w:tcPr>
                  <w:tcW w:w="1010" w:type="dxa"/>
                  <w:tcBorders>
                    <w:top w:val="nil"/>
                    <w:left w:val="nil"/>
                    <w:bottom w:val="single" w:color="auto" w:sz="4" w:space="0"/>
                    <w:right w:val="single" w:color="auto" w:sz="4" w:space="0"/>
                  </w:tcBorders>
                  <w:shd w:val="clear" w:color="auto" w:fill="auto"/>
                  <w:vAlign w:val="center"/>
                </w:tcPr>
                <w:p>
                  <w:pPr>
                    <w:pStyle w:val="36"/>
                  </w:pPr>
                  <w:r>
                    <w:rPr>
                      <w:rFonts w:hint="eastAsia"/>
                    </w:rPr>
                    <w:t>废气</w:t>
                  </w:r>
                </w:p>
              </w:tc>
              <w:tc>
                <w:tcPr>
                  <w:tcW w:w="1260" w:type="dxa"/>
                  <w:tcBorders>
                    <w:top w:val="nil"/>
                    <w:left w:val="nil"/>
                    <w:bottom w:val="single" w:color="auto" w:sz="4" w:space="0"/>
                  </w:tcBorders>
                  <w:shd w:val="clear" w:color="auto" w:fill="auto"/>
                  <w:vAlign w:val="center"/>
                </w:tcPr>
                <w:p>
                  <w:pPr>
                    <w:pStyle w:val="36"/>
                  </w:pPr>
                  <w:r>
                    <w:rPr>
                      <w:rFonts w:hint="eastAsia"/>
                    </w:rPr>
                    <w:t>/</w:t>
                  </w:r>
                </w:p>
              </w:tc>
            </w:tr>
            <w:tr>
              <w:tblPrEx>
                <w:tblLayout w:type="fixed"/>
                <w:tblCellMar>
                  <w:top w:w="0" w:type="dxa"/>
                  <w:left w:w="108" w:type="dxa"/>
                  <w:bottom w:w="0" w:type="dxa"/>
                  <w:right w:w="108" w:type="dxa"/>
                </w:tblCellMar>
              </w:tblPrEx>
              <w:trPr>
                <w:trHeight w:val="1999" w:hRule="atLeast"/>
                <w:jc w:val="center"/>
              </w:trPr>
              <w:tc>
                <w:tcPr>
                  <w:tcW w:w="939" w:type="dxa"/>
                  <w:vMerge w:val="continue"/>
                  <w:tcBorders>
                    <w:top w:val="nil"/>
                    <w:bottom w:val="single" w:color="auto" w:sz="4" w:space="0"/>
                    <w:right w:val="single" w:color="auto" w:sz="4" w:space="0"/>
                  </w:tcBorders>
                  <w:vAlign w:val="center"/>
                </w:tcPr>
                <w:p>
                  <w:pPr>
                    <w:pStyle w:val="36"/>
                  </w:pPr>
                </w:p>
              </w:tc>
              <w:tc>
                <w:tcPr>
                  <w:tcW w:w="892" w:type="dxa"/>
                  <w:tcBorders>
                    <w:top w:val="nil"/>
                    <w:left w:val="nil"/>
                    <w:bottom w:val="single" w:color="auto" w:sz="4" w:space="0"/>
                    <w:right w:val="single" w:color="auto" w:sz="4" w:space="0"/>
                  </w:tcBorders>
                  <w:shd w:val="clear" w:color="auto" w:fill="auto"/>
                  <w:vAlign w:val="center"/>
                </w:tcPr>
                <w:p>
                  <w:pPr>
                    <w:pStyle w:val="36"/>
                  </w:pPr>
                  <w:r>
                    <w:rPr>
                      <w:rFonts w:hint="eastAsia"/>
                    </w:rPr>
                    <w:t>施工废水</w:t>
                  </w:r>
                </w:p>
              </w:tc>
              <w:tc>
                <w:tcPr>
                  <w:tcW w:w="4063" w:type="dxa"/>
                  <w:tcBorders>
                    <w:top w:val="nil"/>
                    <w:left w:val="nil"/>
                    <w:bottom w:val="single" w:color="auto" w:sz="4" w:space="0"/>
                    <w:right w:val="single" w:color="auto" w:sz="4" w:space="0"/>
                  </w:tcBorders>
                  <w:shd w:val="clear" w:color="auto" w:fill="auto"/>
                  <w:vAlign w:val="center"/>
                </w:tcPr>
                <w:p>
                  <w:pPr>
                    <w:pStyle w:val="36"/>
                  </w:pPr>
                  <w:r>
                    <w:rPr>
                      <w:rFonts w:hint="eastAsia"/>
                    </w:rPr>
                    <w:t>施工人员生活污水依托工程段附近公厕化粪池收集</w:t>
                  </w:r>
                  <w:r>
                    <w:rPr>
                      <w:rFonts w:hint="eastAsia"/>
                      <w:lang w:val="en-US" w:eastAsia="zh-CN"/>
                    </w:rPr>
                    <w:t>点</w:t>
                  </w:r>
                  <w:r>
                    <w:rPr>
                      <w:rFonts w:hint="eastAsia"/>
                    </w:rPr>
                    <w:t>排入场镇污水管网，经工业园污水处理厂处理后达标排入芝溪河。</w:t>
                  </w:r>
                  <w:r>
                    <w:rPr>
                      <w:rFonts w:hint="eastAsia"/>
                    </w:rPr>
                    <w:br w:type="textWrapping"/>
                  </w:r>
                  <w:r>
                    <w:rPr>
                      <w:rFonts w:hint="eastAsia"/>
                    </w:rPr>
                    <w:t>施工废水通过隔油沉淀池处理后回用于车辆冲洗或洒水降尘。</w:t>
                  </w:r>
                </w:p>
              </w:tc>
              <w:tc>
                <w:tcPr>
                  <w:tcW w:w="1010" w:type="dxa"/>
                  <w:tcBorders>
                    <w:top w:val="nil"/>
                    <w:left w:val="nil"/>
                    <w:bottom w:val="single" w:color="auto" w:sz="4" w:space="0"/>
                    <w:right w:val="single" w:color="auto" w:sz="4" w:space="0"/>
                  </w:tcBorders>
                  <w:shd w:val="clear" w:color="auto" w:fill="auto"/>
                  <w:vAlign w:val="center"/>
                </w:tcPr>
                <w:p>
                  <w:pPr>
                    <w:pStyle w:val="36"/>
                  </w:pPr>
                  <w:r>
                    <w:rPr>
                      <w:rFonts w:hint="eastAsia"/>
                    </w:rPr>
                    <w:t>废水</w:t>
                  </w:r>
                </w:p>
              </w:tc>
              <w:tc>
                <w:tcPr>
                  <w:tcW w:w="1260" w:type="dxa"/>
                  <w:tcBorders>
                    <w:top w:val="nil"/>
                    <w:left w:val="nil"/>
                    <w:bottom w:val="single" w:color="auto" w:sz="4" w:space="0"/>
                  </w:tcBorders>
                  <w:shd w:val="clear" w:color="auto" w:fill="auto"/>
                  <w:vAlign w:val="center"/>
                </w:tcPr>
                <w:p>
                  <w:pPr>
                    <w:pStyle w:val="36"/>
                  </w:pPr>
                  <w:r>
                    <w:rPr>
                      <w:rFonts w:hint="eastAsia"/>
                    </w:rPr>
                    <w:t>/</w:t>
                  </w:r>
                </w:p>
              </w:tc>
            </w:tr>
            <w:tr>
              <w:tblPrEx>
                <w:tblLayout w:type="fixed"/>
                <w:tblCellMar>
                  <w:top w:w="0" w:type="dxa"/>
                  <w:left w:w="108" w:type="dxa"/>
                  <w:bottom w:w="0" w:type="dxa"/>
                  <w:right w:w="108" w:type="dxa"/>
                </w:tblCellMar>
              </w:tblPrEx>
              <w:trPr>
                <w:trHeight w:val="780" w:hRule="atLeast"/>
                <w:jc w:val="center"/>
              </w:trPr>
              <w:tc>
                <w:tcPr>
                  <w:tcW w:w="939" w:type="dxa"/>
                  <w:vMerge w:val="continue"/>
                  <w:tcBorders>
                    <w:top w:val="nil"/>
                    <w:bottom w:val="single" w:color="auto" w:sz="4" w:space="0"/>
                    <w:right w:val="single" w:color="auto" w:sz="4" w:space="0"/>
                  </w:tcBorders>
                  <w:vAlign w:val="center"/>
                </w:tcPr>
                <w:p>
                  <w:pPr>
                    <w:pStyle w:val="36"/>
                  </w:pPr>
                </w:p>
              </w:tc>
              <w:tc>
                <w:tcPr>
                  <w:tcW w:w="892" w:type="dxa"/>
                  <w:tcBorders>
                    <w:top w:val="nil"/>
                    <w:left w:val="nil"/>
                    <w:bottom w:val="single" w:color="auto" w:sz="4" w:space="0"/>
                    <w:right w:val="single" w:color="auto" w:sz="4" w:space="0"/>
                  </w:tcBorders>
                  <w:shd w:val="clear" w:color="auto" w:fill="auto"/>
                  <w:vAlign w:val="center"/>
                </w:tcPr>
                <w:p>
                  <w:pPr>
                    <w:pStyle w:val="36"/>
                  </w:pPr>
                  <w:r>
                    <w:rPr>
                      <w:rFonts w:hint="eastAsia"/>
                    </w:rPr>
                    <w:t>噪声</w:t>
                  </w:r>
                </w:p>
              </w:tc>
              <w:tc>
                <w:tcPr>
                  <w:tcW w:w="4063" w:type="dxa"/>
                  <w:tcBorders>
                    <w:top w:val="nil"/>
                    <w:left w:val="nil"/>
                    <w:bottom w:val="single" w:color="auto" w:sz="4" w:space="0"/>
                    <w:right w:val="single" w:color="auto" w:sz="4" w:space="0"/>
                  </w:tcBorders>
                  <w:shd w:val="clear" w:color="auto" w:fill="auto"/>
                  <w:vAlign w:val="center"/>
                </w:tcPr>
                <w:p>
                  <w:pPr>
                    <w:pStyle w:val="36"/>
                  </w:pPr>
                  <w:r>
                    <w:rPr>
                      <w:rFonts w:hint="eastAsia"/>
                    </w:rPr>
                    <w:t>选用低噪声设备、加强机械维修保养、施工机械合理布局、合理安排施工时间、文明施工等</w:t>
                  </w:r>
                </w:p>
              </w:tc>
              <w:tc>
                <w:tcPr>
                  <w:tcW w:w="1010" w:type="dxa"/>
                  <w:tcBorders>
                    <w:top w:val="nil"/>
                    <w:left w:val="nil"/>
                    <w:bottom w:val="single" w:color="auto" w:sz="4" w:space="0"/>
                    <w:right w:val="single" w:color="auto" w:sz="4" w:space="0"/>
                  </w:tcBorders>
                  <w:shd w:val="clear" w:color="auto" w:fill="auto"/>
                  <w:vAlign w:val="center"/>
                </w:tcPr>
                <w:p>
                  <w:pPr>
                    <w:pStyle w:val="36"/>
                  </w:pPr>
                  <w:r>
                    <w:rPr>
                      <w:rFonts w:hint="eastAsia"/>
                    </w:rPr>
                    <w:t>噪声</w:t>
                  </w:r>
                </w:p>
              </w:tc>
              <w:tc>
                <w:tcPr>
                  <w:tcW w:w="1260" w:type="dxa"/>
                  <w:tcBorders>
                    <w:top w:val="nil"/>
                    <w:left w:val="nil"/>
                    <w:bottom w:val="single" w:color="auto" w:sz="4" w:space="0"/>
                  </w:tcBorders>
                  <w:shd w:val="clear" w:color="auto" w:fill="auto"/>
                  <w:vAlign w:val="center"/>
                </w:tcPr>
                <w:p>
                  <w:pPr>
                    <w:pStyle w:val="36"/>
                  </w:pPr>
                  <w:r>
                    <w:rPr>
                      <w:rFonts w:hint="eastAsia"/>
                    </w:rPr>
                    <w:t>/</w:t>
                  </w:r>
                </w:p>
              </w:tc>
            </w:tr>
            <w:tr>
              <w:tblPrEx>
                <w:tblLayout w:type="fixed"/>
                <w:tblCellMar>
                  <w:top w:w="0" w:type="dxa"/>
                  <w:left w:w="108" w:type="dxa"/>
                  <w:bottom w:w="0" w:type="dxa"/>
                  <w:right w:w="108" w:type="dxa"/>
                </w:tblCellMar>
              </w:tblPrEx>
              <w:trPr>
                <w:trHeight w:val="2022" w:hRule="atLeast"/>
                <w:jc w:val="center"/>
              </w:trPr>
              <w:tc>
                <w:tcPr>
                  <w:tcW w:w="939" w:type="dxa"/>
                  <w:vMerge w:val="continue"/>
                  <w:tcBorders>
                    <w:top w:val="nil"/>
                    <w:bottom w:val="single" w:color="auto" w:sz="4" w:space="0"/>
                    <w:right w:val="single" w:color="auto" w:sz="4" w:space="0"/>
                  </w:tcBorders>
                  <w:vAlign w:val="center"/>
                </w:tcPr>
                <w:p>
                  <w:pPr>
                    <w:pStyle w:val="36"/>
                  </w:pPr>
                </w:p>
              </w:tc>
              <w:tc>
                <w:tcPr>
                  <w:tcW w:w="892" w:type="dxa"/>
                  <w:tcBorders>
                    <w:top w:val="nil"/>
                    <w:left w:val="nil"/>
                    <w:bottom w:val="single" w:color="auto" w:sz="4" w:space="0"/>
                    <w:right w:val="single" w:color="auto" w:sz="4" w:space="0"/>
                  </w:tcBorders>
                  <w:shd w:val="clear" w:color="auto" w:fill="auto"/>
                  <w:vAlign w:val="center"/>
                </w:tcPr>
                <w:p>
                  <w:pPr>
                    <w:pStyle w:val="36"/>
                  </w:pPr>
                  <w:r>
                    <w:rPr>
                      <w:rFonts w:hint="eastAsia"/>
                    </w:rPr>
                    <w:t>固废</w:t>
                  </w:r>
                </w:p>
              </w:tc>
              <w:tc>
                <w:tcPr>
                  <w:tcW w:w="4063" w:type="dxa"/>
                  <w:tcBorders>
                    <w:top w:val="nil"/>
                    <w:left w:val="nil"/>
                    <w:bottom w:val="single" w:color="auto" w:sz="4" w:space="0"/>
                    <w:right w:val="single" w:color="auto" w:sz="4" w:space="0"/>
                  </w:tcBorders>
                  <w:shd w:val="clear" w:color="auto" w:fill="auto"/>
                  <w:vAlign w:val="center"/>
                </w:tcPr>
                <w:p>
                  <w:pPr>
                    <w:pStyle w:val="36"/>
                  </w:pPr>
                  <w:r>
                    <w:rPr>
                      <w:rFonts w:hint="eastAsia"/>
                    </w:rPr>
                    <w:t>①建筑垃圾分类收集，可以再次利用的回收利用，不能回收的则统一清运至指定弃渣场；</w:t>
                  </w:r>
                  <w:r>
                    <w:rPr>
                      <w:rFonts w:hint="eastAsia"/>
                    </w:rPr>
                    <w:br w:type="textWrapping"/>
                  </w:r>
                  <w:r>
                    <w:rPr>
                      <w:rFonts w:hint="eastAsia"/>
                    </w:rPr>
                    <w:t>②含油污泥及沉淀池污泥收集后委托有资质的单位进行处理；</w:t>
                  </w:r>
                  <w:r>
                    <w:rPr>
                      <w:rFonts w:hint="eastAsia"/>
                    </w:rPr>
                    <w:br w:type="textWrapping"/>
                  </w:r>
                  <w:r>
                    <w:rPr>
                      <w:rFonts w:hint="eastAsia"/>
                    </w:rPr>
                    <w:t>③生活垃圾设置垃圾收集桶，由环卫部门进行统—收集处理。</w:t>
                  </w:r>
                </w:p>
              </w:tc>
              <w:tc>
                <w:tcPr>
                  <w:tcW w:w="1010" w:type="dxa"/>
                  <w:tcBorders>
                    <w:top w:val="nil"/>
                    <w:left w:val="nil"/>
                    <w:bottom w:val="single" w:color="auto" w:sz="4" w:space="0"/>
                    <w:right w:val="single" w:color="auto" w:sz="4" w:space="0"/>
                  </w:tcBorders>
                  <w:shd w:val="clear" w:color="auto" w:fill="auto"/>
                  <w:vAlign w:val="center"/>
                </w:tcPr>
                <w:p>
                  <w:pPr>
                    <w:pStyle w:val="36"/>
                  </w:pPr>
                  <w:r>
                    <w:rPr>
                      <w:rFonts w:hint="eastAsia"/>
                    </w:rPr>
                    <w:t>固废</w:t>
                  </w:r>
                </w:p>
              </w:tc>
              <w:tc>
                <w:tcPr>
                  <w:tcW w:w="1260" w:type="dxa"/>
                  <w:tcBorders>
                    <w:top w:val="nil"/>
                    <w:left w:val="nil"/>
                    <w:bottom w:val="single" w:color="auto" w:sz="4" w:space="0"/>
                  </w:tcBorders>
                  <w:shd w:val="clear" w:color="auto" w:fill="auto"/>
                  <w:vAlign w:val="center"/>
                </w:tcPr>
                <w:p>
                  <w:pPr>
                    <w:pStyle w:val="36"/>
                  </w:pPr>
                  <w:r>
                    <w:rPr>
                      <w:rFonts w:hint="eastAsia"/>
                    </w:rPr>
                    <w:t>!</w:t>
                  </w:r>
                </w:p>
              </w:tc>
            </w:tr>
            <w:tr>
              <w:tblPrEx>
                <w:tblLayout w:type="fixed"/>
                <w:tblCellMar>
                  <w:top w:w="0" w:type="dxa"/>
                  <w:left w:w="108" w:type="dxa"/>
                  <w:bottom w:w="0" w:type="dxa"/>
                  <w:right w:w="108" w:type="dxa"/>
                </w:tblCellMar>
              </w:tblPrEx>
              <w:trPr>
                <w:trHeight w:val="1805" w:hRule="atLeast"/>
                <w:jc w:val="center"/>
              </w:trPr>
              <w:tc>
                <w:tcPr>
                  <w:tcW w:w="939" w:type="dxa"/>
                  <w:tcBorders>
                    <w:top w:val="nil"/>
                    <w:bottom w:val="single" w:color="auto" w:sz="4" w:space="0"/>
                    <w:right w:val="single" w:color="auto" w:sz="4" w:space="0"/>
                  </w:tcBorders>
                  <w:shd w:val="clear" w:color="auto" w:fill="auto"/>
                  <w:vAlign w:val="bottom"/>
                </w:tcPr>
                <w:p>
                  <w:pPr>
                    <w:pStyle w:val="36"/>
                    <w:rPr>
                      <w:rFonts w:hint="eastAsia" w:ascii="等线" w:hAnsi="等线" w:eastAsia="等线"/>
                    </w:rPr>
                  </w:pPr>
                </w:p>
              </w:tc>
              <w:tc>
                <w:tcPr>
                  <w:tcW w:w="892" w:type="dxa"/>
                  <w:tcBorders>
                    <w:top w:val="nil"/>
                    <w:left w:val="nil"/>
                    <w:bottom w:val="single" w:color="auto" w:sz="4" w:space="0"/>
                    <w:right w:val="single" w:color="auto" w:sz="4" w:space="0"/>
                  </w:tcBorders>
                  <w:shd w:val="clear" w:color="auto" w:fill="auto"/>
                  <w:vAlign w:val="center"/>
                </w:tcPr>
                <w:p>
                  <w:pPr>
                    <w:pStyle w:val="36"/>
                  </w:pPr>
                  <w:r>
                    <w:rPr>
                      <w:rFonts w:hint="eastAsia"/>
                    </w:rPr>
                    <w:t>生态保护</w:t>
                  </w:r>
                </w:p>
              </w:tc>
              <w:tc>
                <w:tcPr>
                  <w:tcW w:w="4063" w:type="dxa"/>
                  <w:tcBorders>
                    <w:top w:val="nil"/>
                    <w:left w:val="nil"/>
                    <w:bottom w:val="single" w:color="auto" w:sz="4" w:space="0"/>
                    <w:right w:val="single" w:color="auto" w:sz="4" w:space="0"/>
                  </w:tcBorders>
                  <w:shd w:val="clear" w:color="auto" w:fill="auto"/>
                  <w:vAlign w:val="center"/>
                </w:tcPr>
                <w:p>
                  <w:pPr>
                    <w:pStyle w:val="36"/>
                  </w:pPr>
                  <w:r>
                    <w:rPr>
                      <w:rFonts w:hint="eastAsia"/>
                    </w:rPr>
                    <w:t>优化施工布设，减少临时占地，尽可能减少地表扰动和植被破坏；</w:t>
                  </w:r>
                  <w:r>
                    <w:rPr>
                      <w:rFonts w:hint="eastAsia"/>
                    </w:rPr>
                    <w:br w:type="textWrapping"/>
                  </w:r>
                  <w:r>
                    <w:rPr>
                      <w:rFonts w:hint="eastAsia"/>
                    </w:rPr>
                    <w:t>合理安排施工工序、分区施工；</w:t>
                  </w:r>
                  <w:r>
                    <w:rPr>
                      <w:rFonts w:hint="eastAsia"/>
                    </w:rPr>
                    <w:br w:type="textWrapping"/>
                  </w:r>
                  <w:r>
                    <w:rPr>
                      <w:rFonts w:hint="eastAsia"/>
                    </w:rPr>
                    <w:t>清淤工程尽可能在枯水期施工，减少扰动；</w:t>
                  </w:r>
                  <w:r>
                    <w:rPr>
                      <w:rFonts w:hint="eastAsia"/>
                    </w:rPr>
                    <w:br w:type="textWrapping"/>
                  </w:r>
                  <w:r>
                    <w:rPr>
                      <w:rFonts w:hint="eastAsia"/>
                    </w:rPr>
                    <w:t>严格控制施工红线，禁止乱挖乱弃；严格控制行车范围，禁止车辆下道行驶，严格控制施工扰动范围；</w:t>
                  </w:r>
                  <w:r>
                    <w:rPr>
                      <w:rFonts w:hint="eastAsia"/>
                    </w:rPr>
                    <w:br w:type="textWrapping"/>
                  </w:r>
                  <w:r>
                    <w:rPr>
                      <w:rFonts w:hint="eastAsia"/>
                    </w:rPr>
                    <w:t>严禁将生活污水、施工废水排入芝溪河，严禁将生活垃圾和施工弃渣丢弃至芝溪河；</w:t>
                  </w:r>
                  <w:r>
                    <w:rPr>
                      <w:rFonts w:hint="eastAsia"/>
                    </w:rPr>
                    <w:br w:type="textWrapping"/>
                  </w:r>
                  <w:r>
                    <w:rPr>
                      <w:rFonts w:hint="eastAsia"/>
                    </w:rPr>
                    <w:t>施工前开展环境保护培训及普法宣传；</w:t>
                  </w:r>
                  <w:r>
                    <w:rPr>
                      <w:rFonts w:hint="eastAsia"/>
                    </w:rPr>
                    <w:br w:type="textWrapping"/>
                  </w:r>
                  <w:r>
                    <w:rPr>
                      <w:rFonts w:hint="eastAsia"/>
                    </w:rPr>
                    <w:t>设置警示标牌、保护宣传标牌；</w:t>
                  </w:r>
                  <w:r>
                    <w:rPr>
                      <w:rFonts w:hint="eastAsia"/>
                    </w:rPr>
                    <w:br w:type="textWrapping"/>
                  </w:r>
                  <w:r>
                    <w:rPr>
                      <w:rFonts w:hint="eastAsia"/>
                    </w:rPr>
                    <w:t>设置临时排水沟，对施工范围内绿化带采取临时挡护、遮盖的措施，施工完毕后对临时占地根据区域规划要求进行人工植草绿化治理和恢复。</w:t>
                  </w:r>
                </w:p>
              </w:tc>
              <w:tc>
                <w:tcPr>
                  <w:tcW w:w="1010" w:type="dxa"/>
                  <w:tcBorders>
                    <w:top w:val="nil"/>
                    <w:left w:val="nil"/>
                    <w:bottom w:val="single" w:color="auto" w:sz="4" w:space="0"/>
                    <w:right w:val="single" w:color="auto" w:sz="4" w:space="0"/>
                  </w:tcBorders>
                  <w:shd w:val="clear" w:color="auto" w:fill="auto"/>
                  <w:vAlign w:val="center"/>
                </w:tcPr>
                <w:p>
                  <w:pPr>
                    <w:pStyle w:val="36"/>
                  </w:pPr>
                  <w:r>
                    <w:rPr>
                      <w:rFonts w:hint="eastAsia"/>
                    </w:rPr>
                    <w:t>水土流</w:t>
                  </w:r>
                  <w:r>
                    <w:rPr>
                      <w:rFonts w:hint="eastAsia"/>
                    </w:rPr>
                    <w:br w:type="textWrapping"/>
                  </w:r>
                  <w:r>
                    <w:rPr>
                      <w:rFonts w:hint="eastAsia"/>
                    </w:rPr>
                    <w:t>失、植被破坏、生境占用等</w:t>
                  </w:r>
                </w:p>
              </w:tc>
              <w:tc>
                <w:tcPr>
                  <w:tcW w:w="1260" w:type="dxa"/>
                  <w:tcBorders>
                    <w:top w:val="nil"/>
                    <w:left w:val="nil"/>
                    <w:bottom w:val="single" w:color="auto" w:sz="4" w:space="0"/>
                  </w:tcBorders>
                  <w:shd w:val="clear" w:color="auto" w:fill="auto"/>
                  <w:textDirection w:val="tbRlV"/>
                  <w:vAlign w:val="center"/>
                </w:tcPr>
                <w:p>
                  <w:pPr>
                    <w:pStyle w:val="36"/>
                  </w:pPr>
                  <w:r>
                    <w:rPr>
                      <w:rFonts w:hint="eastAsia"/>
                    </w:rPr>
                    <w:t>/</w:t>
                  </w:r>
                </w:p>
              </w:tc>
            </w:tr>
            <w:tr>
              <w:tblPrEx>
                <w:tblLayout w:type="fixed"/>
                <w:tblCellMar>
                  <w:top w:w="0" w:type="dxa"/>
                  <w:left w:w="108" w:type="dxa"/>
                  <w:bottom w:w="0" w:type="dxa"/>
                  <w:right w:w="108" w:type="dxa"/>
                </w:tblCellMar>
              </w:tblPrEx>
              <w:trPr>
                <w:trHeight w:val="540" w:hRule="atLeast"/>
                <w:jc w:val="center"/>
              </w:trPr>
              <w:tc>
                <w:tcPr>
                  <w:tcW w:w="939" w:type="dxa"/>
                  <w:vMerge w:val="restart"/>
                  <w:tcBorders>
                    <w:top w:val="nil"/>
                    <w:bottom w:val="single" w:color="auto" w:sz="4" w:space="0"/>
                    <w:right w:val="single" w:color="auto" w:sz="4" w:space="0"/>
                  </w:tcBorders>
                  <w:shd w:val="clear" w:color="auto" w:fill="auto"/>
                  <w:vAlign w:val="center"/>
                </w:tcPr>
                <w:p>
                  <w:pPr>
                    <w:pStyle w:val="36"/>
                  </w:pPr>
                  <w:r>
                    <w:rPr>
                      <w:rFonts w:hint="eastAsia"/>
                    </w:rPr>
                    <w:t>依托工程</w:t>
                  </w:r>
                </w:p>
              </w:tc>
              <w:tc>
                <w:tcPr>
                  <w:tcW w:w="892" w:type="dxa"/>
                  <w:tcBorders>
                    <w:top w:val="nil"/>
                    <w:left w:val="nil"/>
                    <w:bottom w:val="single" w:color="auto" w:sz="4" w:space="0"/>
                    <w:right w:val="single" w:color="auto" w:sz="4" w:space="0"/>
                  </w:tcBorders>
                  <w:shd w:val="clear" w:color="auto" w:fill="auto"/>
                  <w:vAlign w:val="center"/>
                </w:tcPr>
                <w:p>
                  <w:pPr>
                    <w:pStyle w:val="36"/>
                  </w:pPr>
                  <w:r>
                    <w:rPr>
                      <w:rFonts w:hint="eastAsia"/>
                    </w:rPr>
                    <w:t>供电设施</w:t>
                  </w:r>
                </w:p>
              </w:tc>
              <w:tc>
                <w:tcPr>
                  <w:tcW w:w="4063" w:type="dxa"/>
                  <w:tcBorders>
                    <w:top w:val="nil"/>
                    <w:left w:val="nil"/>
                    <w:bottom w:val="single" w:color="auto" w:sz="4" w:space="0"/>
                    <w:right w:val="single" w:color="auto" w:sz="4" w:space="0"/>
                  </w:tcBorders>
                  <w:shd w:val="clear" w:color="auto" w:fill="auto"/>
                  <w:vAlign w:val="center"/>
                </w:tcPr>
                <w:p>
                  <w:pPr>
                    <w:pStyle w:val="36"/>
                  </w:pPr>
                  <w:r>
                    <w:rPr>
                      <w:rFonts w:hint="eastAsia"/>
                    </w:rPr>
                    <w:t>围堰工程施工均采用油动机械，导流、河段抽排需要施工用电由就近市政电源接入并设置 1 台800KV. A变压器。</w:t>
                  </w:r>
                </w:p>
              </w:tc>
              <w:tc>
                <w:tcPr>
                  <w:tcW w:w="1010" w:type="dxa"/>
                  <w:tcBorders>
                    <w:top w:val="nil"/>
                    <w:left w:val="nil"/>
                    <w:bottom w:val="single" w:color="auto" w:sz="4" w:space="0"/>
                    <w:right w:val="single" w:color="auto" w:sz="4" w:space="0"/>
                  </w:tcBorders>
                  <w:shd w:val="clear" w:color="auto" w:fill="auto"/>
                  <w:vAlign w:val="center"/>
                </w:tcPr>
                <w:p>
                  <w:pPr>
                    <w:pStyle w:val="36"/>
                  </w:pPr>
                  <w:r>
                    <w:rPr>
                      <w:rFonts w:hint="eastAsia"/>
                    </w:rPr>
                    <w:t>/</w:t>
                  </w:r>
                </w:p>
              </w:tc>
              <w:tc>
                <w:tcPr>
                  <w:tcW w:w="1260" w:type="dxa"/>
                  <w:tcBorders>
                    <w:top w:val="nil"/>
                    <w:left w:val="nil"/>
                    <w:bottom w:val="single" w:color="auto" w:sz="4" w:space="0"/>
                  </w:tcBorders>
                  <w:shd w:val="clear" w:color="auto" w:fill="auto"/>
                  <w:vAlign w:val="center"/>
                </w:tcPr>
                <w:p>
                  <w:pPr>
                    <w:pStyle w:val="36"/>
                  </w:pPr>
                  <w:r>
                    <w:rPr>
                      <w:rFonts w:hint="eastAsia"/>
                    </w:rPr>
                    <w:t>/</w:t>
                  </w:r>
                </w:p>
              </w:tc>
            </w:tr>
            <w:tr>
              <w:tblPrEx>
                <w:tblLayout w:type="fixed"/>
                <w:tblCellMar>
                  <w:top w:w="0" w:type="dxa"/>
                  <w:left w:w="108" w:type="dxa"/>
                  <w:bottom w:w="0" w:type="dxa"/>
                  <w:right w:w="108" w:type="dxa"/>
                </w:tblCellMar>
              </w:tblPrEx>
              <w:trPr>
                <w:trHeight w:val="285" w:hRule="atLeast"/>
                <w:jc w:val="center"/>
              </w:trPr>
              <w:tc>
                <w:tcPr>
                  <w:tcW w:w="939" w:type="dxa"/>
                  <w:vMerge w:val="continue"/>
                  <w:tcBorders>
                    <w:top w:val="nil"/>
                    <w:bottom w:val="single" w:color="auto" w:sz="4" w:space="0"/>
                    <w:right w:val="single" w:color="auto" w:sz="4" w:space="0"/>
                  </w:tcBorders>
                  <w:vAlign w:val="center"/>
                </w:tcPr>
                <w:p>
                  <w:pPr>
                    <w:pStyle w:val="36"/>
                  </w:pPr>
                </w:p>
              </w:tc>
              <w:tc>
                <w:tcPr>
                  <w:tcW w:w="892" w:type="dxa"/>
                  <w:tcBorders>
                    <w:top w:val="nil"/>
                    <w:left w:val="nil"/>
                    <w:bottom w:val="single" w:color="auto" w:sz="4" w:space="0"/>
                    <w:right w:val="single" w:color="auto" w:sz="4" w:space="0"/>
                  </w:tcBorders>
                  <w:shd w:val="clear" w:color="auto" w:fill="auto"/>
                  <w:vAlign w:val="center"/>
                </w:tcPr>
                <w:p>
                  <w:pPr>
                    <w:pStyle w:val="36"/>
                  </w:pPr>
                  <w:r>
                    <w:rPr>
                      <w:rFonts w:hint="eastAsia"/>
                    </w:rPr>
                    <w:t>供水设施</w:t>
                  </w:r>
                </w:p>
              </w:tc>
              <w:tc>
                <w:tcPr>
                  <w:tcW w:w="4063" w:type="dxa"/>
                  <w:tcBorders>
                    <w:top w:val="nil"/>
                    <w:left w:val="nil"/>
                    <w:bottom w:val="single" w:color="auto" w:sz="4" w:space="0"/>
                    <w:right w:val="single" w:color="auto" w:sz="4" w:space="0"/>
                  </w:tcBorders>
                  <w:shd w:val="clear" w:color="auto" w:fill="auto"/>
                  <w:vAlign w:val="center"/>
                </w:tcPr>
                <w:p>
                  <w:pPr>
                    <w:pStyle w:val="36"/>
                  </w:pPr>
                  <w:r>
                    <w:rPr>
                      <w:rFonts w:hint="eastAsia"/>
                    </w:rPr>
                    <w:t>施工生产用水取自芝溪河，生活用水接当地自来水。</w:t>
                  </w:r>
                </w:p>
              </w:tc>
              <w:tc>
                <w:tcPr>
                  <w:tcW w:w="1010" w:type="dxa"/>
                  <w:tcBorders>
                    <w:top w:val="nil"/>
                    <w:left w:val="nil"/>
                    <w:bottom w:val="single" w:color="auto" w:sz="4" w:space="0"/>
                    <w:right w:val="single" w:color="auto" w:sz="4" w:space="0"/>
                  </w:tcBorders>
                  <w:shd w:val="clear" w:color="auto" w:fill="auto"/>
                  <w:vAlign w:val="center"/>
                </w:tcPr>
                <w:p>
                  <w:pPr>
                    <w:pStyle w:val="36"/>
                  </w:pPr>
                  <w:r>
                    <w:rPr>
                      <w:rFonts w:hint="eastAsia"/>
                    </w:rPr>
                    <w:t>/</w:t>
                  </w:r>
                </w:p>
              </w:tc>
              <w:tc>
                <w:tcPr>
                  <w:tcW w:w="1260" w:type="dxa"/>
                  <w:tcBorders>
                    <w:top w:val="nil"/>
                    <w:left w:val="nil"/>
                    <w:bottom w:val="single" w:color="auto" w:sz="4" w:space="0"/>
                  </w:tcBorders>
                  <w:shd w:val="clear" w:color="auto" w:fill="auto"/>
                  <w:vAlign w:val="center"/>
                </w:tcPr>
                <w:p>
                  <w:pPr>
                    <w:pStyle w:val="36"/>
                  </w:pPr>
                  <w:r>
                    <w:rPr>
                      <w:rFonts w:hint="eastAsia"/>
                    </w:rPr>
                    <w:t>/</w:t>
                  </w:r>
                </w:p>
              </w:tc>
            </w:tr>
            <w:tr>
              <w:tblPrEx>
                <w:tblLayout w:type="fixed"/>
                <w:tblCellMar>
                  <w:top w:w="0" w:type="dxa"/>
                  <w:left w:w="108" w:type="dxa"/>
                  <w:bottom w:w="0" w:type="dxa"/>
                  <w:right w:w="108" w:type="dxa"/>
                </w:tblCellMar>
              </w:tblPrEx>
              <w:trPr>
                <w:trHeight w:val="1080" w:hRule="atLeast"/>
                <w:jc w:val="center"/>
              </w:trPr>
              <w:tc>
                <w:tcPr>
                  <w:tcW w:w="939" w:type="dxa"/>
                  <w:vMerge w:val="restart"/>
                  <w:tcBorders>
                    <w:top w:val="nil"/>
                    <w:bottom w:val="single" w:color="auto" w:sz="4" w:space="0"/>
                    <w:right w:val="single" w:color="auto" w:sz="4" w:space="0"/>
                  </w:tcBorders>
                  <w:shd w:val="clear" w:color="auto" w:fill="auto"/>
                  <w:vAlign w:val="center"/>
                </w:tcPr>
                <w:p>
                  <w:pPr>
                    <w:pStyle w:val="36"/>
                  </w:pPr>
                  <w:r>
                    <w:rPr>
                      <w:rFonts w:hint="eastAsia"/>
                    </w:rPr>
                    <w:t>临时工程</w:t>
                  </w:r>
                </w:p>
              </w:tc>
              <w:tc>
                <w:tcPr>
                  <w:tcW w:w="892" w:type="dxa"/>
                  <w:tcBorders>
                    <w:top w:val="nil"/>
                    <w:left w:val="nil"/>
                    <w:bottom w:val="single" w:color="auto" w:sz="4" w:space="0"/>
                    <w:right w:val="single" w:color="auto" w:sz="4" w:space="0"/>
                  </w:tcBorders>
                  <w:shd w:val="clear" w:color="auto" w:fill="auto"/>
                  <w:vAlign w:val="center"/>
                </w:tcPr>
                <w:p>
                  <w:pPr>
                    <w:pStyle w:val="36"/>
                  </w:pPr>
                  <w:r>
                    <w:rPr>
                      <w:rFonts w:hint="eastAsia"/>
                    </w:rPr>
                    <w:t>施工场地</w:t>
                  </w:r>
                </w:p>
              </w:tc>
              <w:tc>
                <w:tcPr>
                  <w:tcW w:w="4063" w:type="dxa"/>
                  <w:tcBorders>
                    <w:top w:val="nil"/>
                    <w:left w:val="nil"/>
                    <w:bottom w:val="single" w:color="auto" w:sz="4" w:space="0"/>
                    <w:right w:val="single" w:color="auto" w:sz="4" w:space="0"/>
                  </w:tcBorders>
                  <w:shd w:val="clear" w:color="auto" w:fill="auto"/>
                  <w:vAlign w:val="center"/>
                </w:tcPr>
                <w:p>
                  <w:pPr>
                    <w:pStyle w:val="36"/>
                  </w:pPr>
                  <w:r>
                    <w:rPr>
                      <w:rFonts w:hint="eastAsia"/>
                    </w:rPr>
                    <w:t>本项目不设置搅拌站和预制场，项目所需混凝土等材料全部外购。在现场封闭区域内搭设1处施工营地 (包括1间管理办公用房50m²，1间安全值班室30m²)，1间水泵控制室40m²，施工工区占地共计 120m²。</w:t>
                  </w:r>
                </w:p>
              </w:tc>
              <w:tc>
                <w:tcPr>
                  <w:tcW w:w="1010" w:type="dxa"/>
                  <w:tcBorders>
                    <w:top w:val="nil"/>
                    <w:left w:val="nil"/>
                    <w:bottom w:val="single" w:color="auto" w:sz="4" w:space="0"/>
                    <w:right w:val="single" w:color="auto" w:sz="4" w:space="0"/>
                  </w:tcBorders>
                  <w:shd w:val="clear" w:color="auto" w:fill="auto"/>
                  <w:vAlign w:val="center"/>
                </w:tcPr>
                <w:p>
                  <w:pPr>
                    <w:pStyle w:val="36"/>
                  </w:pPr>
                  <w:r>
                    <w:rPr>
                      <w:rFonts w:hint="eastAsia"/>
                    </w:rPr>
                    <w:t>废气、废水 、噪声、固废</w:t>
                  </w:r>
                </w:p>
              </w:tc>
              <w:tc>
                <w:tcPr>
                  <w:tcW w:w="1260" w:type="dxa"/>
                  <w:vMerge w:val="restart"/>
                  <w:tcBorders>
                    <w:top w:val="nil"/>
                    <w:left w:val="single" w:color="auto" w:sz="4" w:space="0"/>
                    <w:bottom w:val="single" w:color="auto" w:sz="4" w:space="0"/>
                  </w:tcBorders>
                  <w:shd w:val="clear" w:color="auto" w:fill="auto"/>
                  <w:vAlign w:val="center"/>
                </w:tcPr>
                <w:p>
                  <w:pPr>
                    <w:pStyle w:val="36"/>
                  </w:pPr>
                  <w:r>
                    <w:rPr>
                      <w:rFonts w:hint="eastAsia"/>
                    </w:rPr>
                    <w:t>迹地恢复后,水土 流失量微小</w:t>
                  </w:r>
                </w:p>
              </w:tc>
            </w:tr>
            <w:tr>
              <w:tblPrEx>
                <w:tblLayout w:type="fixed"/>
                <w:tblCellMar>
                  <w:top w:w="0" w:type="dxa"/>
                  <w:left w:w="108" w:type="dxa"/>
                  <w:bottom w:w="0" w:type="dxa"/>
                  <w:right w:w="108" w:type="dxa"/>
                </w:tblCellMar>
              </w:tblPrEx>
              <w:trPr>
                <w:trHeight w:val="540" w:hRule="atLeast"/>
                <w:jc w:val="center"/>
              </w:trPr>
              <w:tc>
                <w:tcPr>
                  <w:tcW w:w="939" w:type="dxa"/>
                  <w:vMerge w:val="continue"/>
                  <w:tcBorders>
                    <w:top w:val="nil"/>
                    <w:bottom w:val="single" w:color="auto" w:sz="4" w:space="0"/>
                    <w:right w:val="single" w:color="auto" w:sz="4" w:space="0"/>
                  </w:tcBorders>
                  <w:vAlign w:val="center"/>
                </w:tcPr>
                <w:p>
                  <w:pPr>
                    <w:pStyle w:val="36"/>
                  </w:pPr>
                </w:p>
              </w:tc>
              <w:tc>
                <w:tcPr>
                  <w:tcW w:w="892" w:type="dxa"/>
                  <w:tcBorders>
                    <w:top w:val="nil"/>
                    <w:left w:val="nil"/>
                    <w:bottom w:val="single" w:color="auto" w:sz="4" w:space="0"/>
                    <w:right w:val="single" w:color="auto" w:sz="4" w:space="0"/>
                  </w:tcBorders>
                  <w:shd w:val="clear" w:color="auto" w:fill="auto"/>
                  <w:vAlign w:val="center"/>
                </w:tcPr>
                <w:p>
                  <w:pPr>
                    <w:pStyle w:val="36"/>
                  </w:pPr>
                  <w:r>
                    <w:rPr>
                      <w:rFonts w:hint="eastAsia"/>
                    </w:rPr>
                    <w:t>施工机修</w:t>
                  </w:r>
                </w:p>
              </w:tc>
              <w:tc>
                <w:tcPr>
                  <w:tcW w:w="4063" w:type="dxa"/>
                  <w:tcBorders>
                    <w:top w:val="nil"/>
                    <w:left w:val="nil"/>
                    <w:bottom w:val="single" w:color="auto" w:sz="4" w:space="0"/>
                    <w:right w:val="single" w:color="auto" w:sz="4" w:space="0"/>
                  </w:tcBorders>
                  <w:shd w:val="clear" w:color="auto" w:fill="auto"/>
                  <w:vAlign w:val="center"/>
                </w:tcPr>
                <w:p>
                  <w:pPr>
                    <w:pStyle w:val="36"/>
                  </w:pPr>
                  <w:r>
                    <w:rPr>
                      <w:rFonts w:hint="eastAsia"/>
                    </w:rPr>
                    <w:t>本项目施工机械维修均外委，不在场内设置机修站。</w:t>
                  </w:r>
                </w:p>
              </w:tc>
              <w:tc>
                <w:tcPr>
                  <w:tcW w:w="1010" w:type="dxa"/>
                  <w:tcBorders>
                    <w:top w:val="nil"/>
                    <w:left w:val="nil"/>
                    <w:bottom w:val="single" w:color="auto" w:sz="4" w:space="0"/>
                    <w:right w:val="single" w:color="auto" w:sz="4" w:space="0"/>
                  </w:tcBorders>
                  <w:shd w:val="clear" w:color="auto" w:fill="auto"/>
                  <w:vAlign w:val="center"/>
                </w:tcPr>
                <w:p>
                  <w:pPr>
                    <w:pStyle w:val="36"/>
                  </w:pPr>
                  <w:r>
                    <w:rPr>
                      <w:rFonts w:hint="eastAsia"/>
                    </w:rPr>
                    <w:t>/</w:t>
                  </w:r>
                </w:p>
              </w:tc>
              <w:tc>
                <w:tcPr>
                  <w:tcW w:w="1260" w:type="dxa"/>
                  <w:vMerge w:val="continue"/>
                  <w:tcBorders>
                    <w:top w:val="nil"/>
                    <w:left w:val="single" w:color="auto" w:sz="4" w:space="0"/>
                    <w:bottom w:val="single" w:color="auto" w:sz="4" w:space="0"/>
                  </w:tcBorders>
                  <w:vAlign w:val="center"/>
                </w:tcPr>
                <w:p>
                  <w:pPr>
                    <w:pStyle w:val="36"/>
                  </w:pPr>
                </w:p>
              </w:tc>
            </w:tr>
          </w:tbl>
          <w:p>
            <w:pPr>
              <w:pStyle w:val="40"/>
              <w:ind w:firstLine="482"/>
            </w:pPr>
            <w:r>
              <w:rPr>
                <w:rFonts w:hint="eastAsia"/>
              </w:rPr>
              <w:t xml:space="preserve">5、主要工程量 </w:t>
            </w:r>
          </w:p>
          <w:p>
            <w:pPr>
              <w:pStyle w:val="42"/>
              <w:ind w:firstLine="480"/>
            </w:pPr>
            <w:r>
              <w:rPr>
                <w:rFonts w:hint="eastAsia"/>
              </w:rPr>
              <w:t>本项目主要工程量如下：</w:t>
            </w:r>
          </w:p>
          <w:p>
            <w:pPr>
              <w:pStyle w:val="38"/>
            </w:pPr>
            <w:r>
              <w:rPr>
                <w:rFonts w:hint="eastAsia"/>
              </w:rPr>
              <w:t>表2-2工程量一览表</w:t>
            </w:r>
          </w:p>
          <w:tbl>
            <w:tblPr>
              <w:tblStyle w:val="15"/>
              <w:tblW w:w="8164" w:type="dxa"/>
              <w:jc w:val="center"/>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439"/>
              <w:gridCol w:w="3379"/>
              <w:gridCol w:w="467"/>
              <w:gridCol w:w="1387"/>
              <w:gridCol w:w="2492"/>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39" w:type="dxa"/>
                  <w:shd w:val="clear" w:color="auto" w:fill="auto"/>
                  <w:vAlign w:val="center"/>
                </w:tcPr>
                <w:p>
                  <w:pPr>
                    <w:pStyle w:val="36"/>
                  </w:pPr>
                  <w:r>
                    <w:t>序号</w:t>
                  </w:r>
                </w:p>
              </w:tc>
              <w:tc>
                <w:tcPr>
                  <w:tcW w:w="3379" w:type="dxa"/>
                  <w:shd w:val="clear" w:color="auto" w:fill="auto"/>
                  <w:vAlign w:val="center"/>
                </w:tcPr>
                <w:p>
                  <w:pPr>
                    <w:pStyle w:val="36"/>
                  </w:pPr>
                  <w:r>
                    <w:t>建设内容</w:t>
                  </w:r>
                </w:p>
              </w:tc>
              <w:tc>
                <w:tcPr>
                  <w:tcW w:w="467" w:type="dxa"/>
                  <w:shd w:val="clear" w:color="auto" w:fill="auto"/>
                  <w:vAlign w:val="center"/>
                </w:tcPr>
                <w:p>
                  <w:pPr>
                    <w:pStyle w:val="36"/>
                  </w:pPr>
                  <w:r>
                    <w:rPr>
                      <w:rFonts w:hint="eastAsia"/>
                    </w:rPr>
                    <w:t>单位</w:t>
                  </w:r>
                </w:p>
              </w:tc>
              <w:tc>
                <w:tcPr>
                  <w:tcW w:w="1387" w:type="dxa"/>
                  <w:shd w:val="clear" w:color="auto" w:fill="auto"/>
                  <w:vAlign w:val="center"/>
                </w:tcPr>
                <w:p>
                  <w:pPr>
                    <w:pStyle w:val="36"/>
                  </w:pPr>
                  <w:r>
                    <w:rPr>
                      <w:rFonts w:hint="eastAsia"/>
                    </w:rPr>
                    <w:t>建设规模</w:t>
                  </w:r>
                </w:p>
              </w:tc>
              <w:tc>
                <w:tcPr>
                  <w:tcW w:w="2492" w:type="dxa"/>
                  <w:shd w:val="clear" w:color="auto" w:fill="auto"/>
                  <w:vAlign w:val="center"/>
                </w:tcPr>
                <w:p>
                  <w:pPr>
                    <w:pStyle w:val="36"/>
                  </w:pPr>
                  <w:r>
                    <w:rPr>
                      <w:rFonts w:hint="eastAsia"/>
                    </w:rPr>
                    <w:t>备注</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39" w:type="dxa"/>
                  <w:vMerge w:val="restart"/>
                  <w:shd w:val="clear" w:color="auto" w:fill="auto"/>
                  <w:vAlign w:val="center"/>
                </w:tcPr>
                <w:p>
                  <w:pPr>
                    <w:pStyle w:val="36"/>
                  </w:pPr>
                  <w:r>
                    <w:t>1</w:t>
                  </w:r>
                </w:p>
              </w:tc>
              <w:tc>
                <w:tcPr>
                  <w:tcW w:w="3379" w:type="dxa"/>
                  <w:shd w:val="clear" w:color="auto" w:fill="auto"/>
                  <w:vAlign w:val="center"/>
                </w:tcPr>
                <w:p>
                  <w:pPr>
                    <w:pStyle w:val="36"/>
                  </w:pPr>
                  <w:r>
                    <w:t>给排水工程</w:t>
                  </w:r>
                </w:p>
              </w:tc>
              <w:tc>
                <w:tcPr>
                  <w:tcW w:w="467" w:type="dxa"/>
                  <w:shd w:val="clear" w:color="auto" w:fill="auto"/>
                  <w:vAlign w:val="center"/>
                </w:tcPr>
                <w:p>
                  <w:pPr>
                    <w:pStyle w:val="36"/>
                  </w:pPr>
                </w:p>
              </w:tc>
              <w:tc>
                <w:tcPr>
                  <w:tcW w:w="1387" w:type="dxa"/>
                  <w:shd w:val="clear" w:color="auto" w:fill="auto"/>
                  <w:vAlign w:val="center"/>
                </w:tcPr>
                <w:p>
                  <w:pPr>
                    <w:pStyle w:val="36"/>
                  </w:pP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聚乙烯 PE 管（DN50~200）</w:t>
                  </w:r>
                </w:p>
              </w:tc>
              <w:tc>
                <w:tcPr>
                  <w:tcW w:w="467" w:type="dxa"/>
                  <w:shd w:val="clear" w:color="auto" w:fill="auto"/>
                  <w:vAlign w:val="center"/>
                </w:tcPr>
                <w:p>
                  <w:pPr>
                    <w:pStyle w:val="36"/>
                  </w:pPr>
                  <w:r>
                    <w:t>m</w:t>
                  </w:r>
                </w:p>
              </w:tc>
              <w:tc>
                <w:tcPr>
                  <w:tcW w:w="1387" w:type="dxa"/>
                  <w:shd w:val="clear" w:color="auto" w:fill="auto"/>
                  <w:vAlign w:val="center"/>
                </w:tcPr>
                <w:p>
                  <w:pPr>
                    <w:pStyle w:val="36"/>
                  </w:pPr>
                  <w:r>
                    <w:t>5538</w:t>
                  </w: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聚乙烯 HDPE 管（DN200~1000）</w:t>
                  </w:r>
                </w:p>
              </w:tc>
              <w:tc>
                <w:tcPr>
                  <w:tcW w:w="467" w:type="dxa"/>
                  <w:shd w:val="clear" w:color="auto" w:fill="auto"/>
                  <w:vAlign w:val="center"/>
                </w:tcPr>
                <w:p>
                  <w:pPr>
                    <w:pStyle w:val="36"/>
                  </w:pPr>
                  <w:r>
                    <w:t>m</w:t>
                  </w:r>
                </w:p>
              </w:tc>
              <w:tc>
                <w:tcPr>
                  <w:tcW w:w="1387" w:type="dxa"/>
                  <w:shd w:val="clear" w:color="auto" w:fill="auto"/>
                  <w:vAlign w:val="center"/>
                </w:tcPr>
                <w:p>
                  <w:pPr>
                    <w:pStyle w:val="36"/>
                  </w:pPr>
                  <w:r>
                    <w:t>1267</w:t>
                  </w:r>
                </w:p>
                <w:p>
                  <w:pPr>
                    <w:pStyle w:val="36"/>
                  </w:pPr>
                  <w:r>
                    <w:t>2</w:t>
                  </w: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山体截水明沟</w:t>
                  </w:r>
                </w:p>
              </w:tc>
              <w:tc>
                <w:tcPr>
                  <w:tcW w:w="467" w:type="dxa"/>
                  <w:shd w:val="clear" w:color="auto" w:fill="auto"/>
                  <w:vAlign w:val="center"/>
                </w:tcPr>
                <w:p>
                  <w:pPr>
                    <w:pStyle w:val="36"/>
                  </w:pPr>
                  <w:r>
                    <w:t>m</w:t>
                  </w:r>
                </w:p>
              </w:tc>
              <w:tc>
                <w:tcPr>
                  <w:tcW w:w="1387" w:type="dxa"/>
                  <w:shd w:val="clear" w:color="auto" w:fill="auto"/>
                  <w:vAlign w:val="center"/>
                </w:tcPr>
                <w:p>
                  <w:pPr>
                    <w:pStyle w:val="36"/>
                  </w:pPr>
                  <w:r>
                    <w:t>6485</w:t>
                  </w: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各类检查井、消能井</w:t>
                  </w:r>
                </w:p>
              </w:tc>
              <w:tc>
                <w:tcPr>
                  <w:tcW w:w="467" w:type="dxa"/>
                  <w:shd w:val="clear" w:color="auto" w:fill="auto"/>
                  <w:vAlign w:val="center"/>
                </w:tcPr>
                <w:p>
                  <w:pPr>
                    <w:pStyle w:val="36"/>
                  </w:pPr>
                  <w:r>
                    <w:t>座</w:t>
                  </w:r>
                </w:p>
              </w:tc>
              <w:tc>
                <w:tcPr>
                  <w:tcW w:w="1387" w:type="dxa"/>
                  <w:shd w:val="clear" w:color="auto" w:fill="auto"/>
                  <w:vAlign w:val="center"/>
                </w:tcPr>
                <w:p>
                  <w:pPr>
                    <w:pStyle w:val="36"/>
                  </w:pPr>
                  <w:r>
                    <w:t>317</w:t>
                  </w: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雨水口</w:t>
                  </w:r>
                </w:p>
              </w:tc>
              <w:tc>
                <w:tcPr>
                  <w:tcW w:w="467" w:type="dxa"/>
                  <w:shd w:val="clear" w:color="auto" w:fill="auto"/>
                  <w:vAlign w:val="center"/>
                </w:tcPr>
                <w:p>
                  <w:pPr>
                    <w:pStyle w:val="36"/>
                  </w:pPr>
                  <w:r>
                    <w:t>座</w:t>
                  </w:r>
                </w:p>
              </w:tc>
              <w:tc>
                <w:tcPr>
                  <w:tcW w:w="1387" w:type="dxa"/>
                  <w:shd w:val="clear" w:color="auto" w:fill="auto"/>
                  <w:vAlign w:val="center"/>
                </w:tcPr>
                <w:p>
                  <w:pPr>
                    <w:pStyle w:val="36"/>
                  </w:pPr>
                  <w:r>
                    <w:t>372</w:t>
                  </w: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39" w:type="dxa"/>
                  <w:vMerge w:val="restart"/>
                  <w:shd w:val="clear" w:color="auto" w:fill="auto"/>
                  <w:vAlign w:val="center"/>
                </w:tcPr>
                <w:p>
                  <w:pPr>
                    <w:pStyle w:val="36"/>
                  </w:pPr>
                  <w:r>
                    <w:t>2</w:t>
                  </w:r>
                </w:p>
              </w:tc>
              <w:tc>
                <w:tcPr>
                  <w:tcW w:w="3379" w:type="dxa"/>
                  <w:shd w:val="clear" w:color="auto" w:fill="auto"/>
                  <w:vAlign w:val="center"/>
                </w:tcPr>
                <w:p>
                  <w:pPr>
                    <w:pStyle w:val="36"/>
                  </w:pPr>
                  <w:r>
                    <w:t>泄洪涵洞工程</w:t>
                  </w:r>
                </w:p>
              </w:tc>
              <w:tc>
                <w:tcPr>
                  <w:tcW w:w="467" w:type="dxa"/>
                  <w:shd w:val="clear" w:color="auto" w:fill="auto"/>
                  <w:vAlign w:val="center"/>
                </w:tcPr>
                <w:p>
                  <w:pPr>
                    <w:pStyle w:val="36"/>
                  </w:pPr>
                </w:p>
              </w:tc>
              <w:tc>
                <w:tcPr>
                  <w:tcW w:w="1387" w:type="dxa"/>
                  <w:shd w:val="clear" w:color="auto" w:fill="auto"/>
                  <w:vAlign w:val="center"/>
                </w:tcPr>
                <w:p>
                  <w:pPr>
                    <w:pStyle w:val="36"/>
                  </w:pP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新建涵洞长涵洞</w:t>
                  </w:r>
                </w:p>
              </w:tc>
              <w:tc>
                <w:tcPr>
                  <w:tcW w:w="467" w:type="dxa"/>
                  <w:shd w:val="clear" w:color="auto" w:fill="auto"/>
                  <w:vAlign w:val="center"/>
                </w:tcPr>
                <w:p>
                  <w:pPr>
                    <w:pStyle w:val="36"/>
                  </w:pPr>
                  <w:r>
                    <w:t>m</w:t>
                  </w:r>
                </w:p>
              </w:tc>
              <w:tc>
                <w:tcPr>
                  <w:tcW w:w="1387" w:type="dxa"/>
                  <w:shd w:val="clear" w:color="auto" w:fill="auto"/>
                  <w:vAlign w:val="center"/>
                </w:tcPr>
                <w:p>
                  <w:pPr>
                    <w:pStyle w:val="36"/>
                  </w:pPr>
                  <w:r>
                    <w:t>214.</w:t>
                  </w:r>
                </w:p>
                <w:p>
                  <w:pPr>
                    <w:pStyle w:val="36"/>
                  </w:pPr>
                  <w:r>
                    <w:t>5</w:t>
                  </w: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978"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钢筋砼箱涵</w:t>
                  </w:r>
                </w:p>
              </w:tc>
              <w:tc>
                <w:tcPr>
                  <w:tcW w:w="467" w:type="dxa"/>
                  <w:shd w:val="clear" w:color="auto" w:fill="auto"/>
                  <w:vAlign w:val="center"/>
                </w:tcPr>
                <w:p>
                  <w:pPr>
                    <w:pStyle w:val="36"/>
                  </w:pPr>
                  <w:r>
                    <w:t>m</w:t>
                  </w:r>
                </w:p>
              </w:tc>
              <w:tc>
                <w:tcPr>
                  <w:tcW w:w="1387" w:type="dxa"/>
                  <w:shd w:val="clear" w:color="auto" w:fill="auto"/>
                  <w:vAlign w:val="center"/>
                </w:tcPr>
                <w:p>
                  <w:pPr>
                    <w:pStyle w:val="36"/>
                  </w:pPr>
                  <w:r>
                    <w:t>110</w:t>
                  </w:r>
                </w:p>
              </w:tc>
              <w:tc>
                <w:tcPr>
                  <w:tcW w:w="2492" w:type="dxa"/>
                  <w:shd w:val="clear" w:color="auto" w:fill="auto"/>
                  <w:vAlign w:val="center"/>
                </w:tcPr>
                <w:p>
                  <w:pPr>
                    <w:pStyle w:val="36"/>
                  </w:pPr>
                  <w:r>
                    <w:t>净空 BxH=3.2mx3.2m，其后为拱涵净宽 3.5m，净高 3.57m</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钢筋砼闸室</w:t>
                  </w:r>
                </w:p>
              </w:tc>
              <w:tc>
                <w:tcPr>
                  <w:tcW w:w="467" w:type="dxa"/>
                  <w:shd w:val="clear" w:color="auto" w:fill="auto"/>
                  <w:vAlign w:val="center"/>
                </w:tcPr>
                <w:p>
                  <w:pPr>
                    <w:pStyle w:val="36"/>
                  </w:pPr>
                  <w:r>
                    <w:t>座</w:t>
                  </w:r>
                </w:p>
              </w:tc>
              <w:tc>
                <w:tcPr>
                  <w:tcW w:w="1387" w:type="dxa"/>
                  <w:shd w:val="clear" w:color="auto" w:fill="auto"/>
                  <w:vAlign w:val="center"/>
                </w:tcPr>
                <w:p>
                  <w:pPr>
                    <w:pStyle w:val="36"/>
                  </w:pPr>
                  <w:r>
                    <w:t>1</w:t>
                  </w:r>
                </w:p>
              </w:tc>
              <w:tc>
                <w:tcPr>
                  <w:tcW w:w="2492" w:type="dxa"/>
                  <w:shd w:val="clear" w:color="auto" w:fill="auto"/>
                  <w:vAlign w:val="center"/>
                </w:tcPr>
                <w:p>
                  <w:pPr>
                    <w:pStyle w:val="36"/>
                  </w:pPr>
                  <w:r>
                    <w:t>钢坝闸门，门叶宽 3.2m，高 5.5m</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39" w:type="dxa"/>
                  <w:vMerge w:val="restart"/>
                  <w:shd w:val="clear" w:color="auto" w:fill="auto"/>
                  <w:vAlign w:val="center"/>
                </w:tcPr>
                <w:p>
                  <w:pPr>
                    <w:pStyle w:val="36"/>
                  </w:pPr>
                  <w:r>
                    <w:t>3</w:t>
                  </w:r>
                </w:p>
              </w:tc>
              <w:tc>
                <w:tcPr>
                  <w:tcW w:w="3379" w:type="dxa"/>
                  <w:shd w:val="clear" w:color="auto" w:fill="auto"/>
                  <w:vAlign w:val="center"/>
                </w:tcPr>
                <w:p>
                  <w:pPr>
                    <w:pStyle w:val="36"/>
                  </w:pPr>
                  <w:r>
                    <w:t>堤坝工程</w:t>
                  </w:r>
                </w:p>
              </w:tc>
              <w:tc>
                <w:tcPr>
                  <w:tcW w:w="467" w:type="dxa"/>
                  <w:shd w:val="clear" w:color="auto" w:fill="auto"/>
                  <w:vAlign w:val="center"/>
                </w:tcPr>
                <w:p>
                  <w:pPr>
                    <w:pStyle w:val="36"/>
                  </w:pPr>
                </w:p>
              </w:tc>
              <w:tc>
                <w:tcPr>
                  <w:tcW w:w="1387" w:type="dxa"/>
                  <w:shd w:val="clear" w:color="auto" w:fill="auto"/>
                  <w:vAlign w:val="center"/>
                </w:tcPr>
                <w:p>
                  <w:pPr>
                    <w:pStyle w:val="36"/>
                  </w:pP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混凝土重力坝长</w:t>
                  </w:r>
                </w:p>
              </w:tc>
              <w:tc>
                <w:tcPr>
                  <w:tcW w:w="467" w:type="dxa"/>
                  <w:shd w:val="clear" w:color="auto" w:fill="auto"/>
                  <w:vAlign w:val="center"/>
                </w:tcPr>
                <w:p>
                  <w:pPr>
                    <w:pStyle w:val="36"/>
                  </w:pPr>
                  <w:r>
                    <w:t>m</w:t>
                  </w:r>
                </w:p>
              </w:tc>
              <w:tc>
                <w:tcPr>
                  <w:tcW w:w="1387" w:type="dxa"/>
                  <w:shd w:val="clear" w:color="auto" w:fill="auto"/>
                  <w:vAlign w:val="center"/>
                </w:tcPr>
                <w:p>
                  <w:pPr>
                    <w:pStyle w:val="36"/>
                  </w:pPr>
                  <w:r>
                    <w:t>83</w:t>
                  </w:r>
                </w:p>
              </w:tc>
              <w:tc>
                <w:tcPr>
                  <w:tcW w:w="2492" w:type="dxa"/>
                  <w:shd w:val="clear" w:color="auto" w:fill="auto"/>
                  <w:vAlign w:val="center"/>
                </w:tcPr>
                <w:p>
                  <w:pPr>
                    <w:pStyle w:val="36"/>
                  </w:pPr>
                  <w:r>
                    <w:t>顶宽 3m，最大坝高 7.7m</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带闸泄水排放涵洞</w:t>
                  </w:r>
                </w:p>
              </w:tc>
              <w:tc>
                <w:tcPr>
                  <w:tcW w:w="467" w:type="dxa"/>
                  <w:shd w:val="clear" w:color="auto" w:fill="auto"/>
                  <w:vAlign w:val="center"/>
                </w:tcPr>
                <w:p>
                  <w:pPr>
                    <w:pStyle w:val="36"/>
                  </w:pPr>
                  <w:r>
                    <w:t>处</w:t>
                  </w:r>
                </w:p>
              </w:tc>
              <w:tc>
                <w:tcPr>
                  <w:tcW w:w="1387" w:type="dxa"/>
                  <w:shd w:val="clear" w:color="auto" w:fill="auto"/>
                  <w:vAlign w:val="center"/>
                </w:tcPr>
                <w:p>
                  <w:pPr>
                    <w:pStyle w:val="36"/>
                  </w:pPr>
                  <w:r>
                    <w:t>1</w:t>
                  </w: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改造长墨堰湖防汛通道</w:t>
                  </w:r>
                </w:p>
              </w:tc>
              <w:tc>
                <w:tcPr>
                  <w:tcW w:w="467" w:type="dxa"/>
                  <w:shd w:val="clear" w:color="auto" w:fill="auto"/>
                  <w:vAlign w:val="center"/>
                </w:tcPr>
                <w:p>
                  <w:pPr>
                    <w:pStyle w:val="36"/>
                  </w:pPr>
                  <w:r>
                    <w:t>km</w:t>
                  </w:r>
                </w:p>
              </w:tc>
              <w:tc>
                <w:tcPr>
                  <w:tcW w:w="1387" w:type="dxa"/>
                  <w:shd w:val="clear" w:color="auto" w:fill="auto"/>
                  <w:vAlign w:val="center"/>
                </w:tcPr>
                <w:p>
                  <w:pPr>
                    <w:pStyle w:val="36"/>
                  </w:pPr>
                  <w:r>
                    <w:t>1.4</w:t>
                  </w: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39" w:type="dxa"/>
                  <w:vMerge w:val="restart"/>
                  <w:shd w:val="clear" w:color="auto" w:fill="auto"/>
                  <w:vAlign w:val="center"/>
                </w:tcPr>
                <w:p>
                  <w:pPr>
                    <w:pStyle w:val="36"/>
                  </w:pPr>
                  <w:r>
                    <w:t>4</w:t>
                  </w:r>
                </w:p>
              </w:tc>
              <w:tc>
                <w:tcPr>
                  <w:tcW w:w="3379" w:type="dxa"/>
                  <w:shd w:val="clear" w:color="auto" w:fill="auto"/>
                  <w:vAlign w:val="center"/>
                </w:tcPr>
                <w:p>
                  <w:pPr>
                    <w:pStyle w:val="36"/>
                  </w:pPr>
                  <w:r>
                    <w:t>取水工程</w:t>
                  </w:r>
                </w:p>
              </w:tc>
              <w:tc>
                <w:tcPr>
                  <w:tcW w:w="467" w:type="dxa"/>
                  <w:shd w:val="clear" w:color="auto" w:fill="auto"/>
                  <w:vAlign w:val="center"/>
                </w:tcPr>
                <w:p>
                  <w:pPr>
                    <w:pStyle w:val="36"/>
                  </w:pPr>
                </w:p>
              </w:tc>
              <w:tc>
                <w:tcPr>
                  <w:tcW w:w="1387" w:type="dxa"/>
                  <w:shd w:val="clear" w:color="auto" w:fill="auto"/>
                  <w:vAlign w:val="center"/>
                </w:tcPr>
                <w:p>
                  <w:pPr>
                    <w:pStyle w:val="36"/>
                  </w:pP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取水管道采两根 DN400 球墨铸铁管</w:t>
                  </w:r>
                </w:p>
              </w:tc>
              <w:tc>
                <w:tcPr>
                  <w:tcW w:w="467" w:type="dxa"/>
                  <w:shd w:val="clear" w:color="auto" w:fill="auto"/>
                  <w:vAlign w:val="center"/>
                </w:tcPr>
                <w:p>
                  <w:pPr>
                    <w:pStyle w:val="36"/>
                  </w:pPr>
                  <w:r>
                    <w:t>m</w:t>
                  </w:r>
                </w:p>
              </w:tc>
              <w:tc>
                <w:tcPr>
                  <w:tcW w:w="1387" w:type="dxa"/>
                  <w:shd w:val="clear" w:color="auto" w:fill="auto"/>
                  <w:vAlign w:val="center"/>
                </w:tcPr>
                <w:p>
                  <w:pPr>
                    <w:pStyle w:val="36"/>
                  </w:pPr>
                  <w:r>
                    <w:t>114</w:t>
                  </w: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阀门井</w:t>
                  </w:r>
                </w:p>
              </w:tc>
              <w:tc>
                <w:tcPr>
                  <w:tcW w:w="467" w:type="dxa"/>
                  <w:shd w:val="clear" w:color="auto" w:fill="auto"/>
                  <w:vAlign w:val="center"/>
                </w:tcPr>
                <w:p>
                  <w:pPr>
                    <w:pStyle w:val="36"/>
                  </w:pPr>
                  <w:r>
                    <w:t>座</w:t>
                  </w:r>
                </w:p>
              </w:tc>
              <w:tc>
                <w:tcPr>
                  <w:tcW w:w="1387" w:type="dxa"/>
                  <w:shd w:val="clear" w:color="auto" w:fill="auto"/>
                  <w:vAlign w:val="center"/>
                </w:tcPr>
                <w:p>
                  <w:pPr>
                    <w:pStyle w:val="36"/>
                  </w:pPr>
                  <w:r>
                    <w:t>2</w:t>
                  </w: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39" w:type="dxa"/>
                  <w:vMerge w:val="restart"/>
                  <w:shd w:val="clear" w:color="auto" w:fill="auto"/>
                  <w:vAlign w:val="center"/>
                </w:tcPr>
                <w:p>
                  <w:pPr>
                    <w:pStyle w:val="36"/>
                  </w:pPr>
                  <w:r>
                    <w:t>5</w:t>
                  </w:r>
                </w:p>
              </w:tc>
              <w:tc>
                <w:tcPr>
                  <w:tcW w:w="3379" w:type="dxa"/>
                  <w:shd w:val="clear" w:color="auto" w:fill="auto"/>
                  <w:vAlign w:val="center"/>
                </w:tcPr>
                <w:p>
                  <w:pPr>
                    <w:pStyle w:val="36"/>
                  </w:pPr>
                  <w:r>
                    <w:t>墨砚湖岸工程</w:t>
                  </w:r>
                </w:p>
              </w:tc>
              <w:tc>
                <w:tcPr>
                  <w:tcW w:w="467" w:type="dxa"/>
                  <w:shd w:val="clear" w:color="auto" w:fill="auto"/>
                  <w:vAlign w:val="center"/>
                </w:tcPr>
                <w:p>
                  <w:pPr>
                    <w:pStyle w:val="36"/>
                  </w:pPr>
                </w:p>
              </w:tc>
              <w:tc>
                <w:tcPr>
                  <w:tcW w:w="1387" w:type="dxa"/>
                  <w:shd w:val="clear" w:color="auto" w:fill="auto"/>
                  <w:vAlign w:val="center"/>
                </w:tcPr>
                <w:p>
                  <w:pPr>
                    <w:pStyle w:val="36"/>
                  </w:pP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湖体区域内土石方工程</w:t>
                  </w:r>
                </w:p>
              </w:tc>
              <w:tc>
                <w:tcPr>
                  <w:tcW w:w="467" w:type="dxa"/>
                  <w:shd w:val="clear" w:color="auto" w:fill="auto"/>
                  <w:vAlign w:val="center"/>
                </w:tcPr>
                <w:p>
                  <w:pPr>
                    <w:pStyle w:val="36"/>
                  </w:pPr>
                  <w:r>
                    <w:t>万</w:t>
                  </w:r>
                </w:p>
                <w:p>
                  <w:pPr>
                    <w:pStyle w:val="36"/>
                  </w:pPr>
                  <w:r>
                    <w:t>m³</w:t>
                  </w:r>
                </w:p>
              </w:tc>
              <w:tc>
                <w:tcPr>
                  <w:tcW w:w="1387" w:type="dxa"/>
                  <w:shd w:val="clear" w:color="auto" w:fill="auto"/>
                  <w:vAlign w:val="center"/>
                </w:tcPr>
                <w:p>
                  <w:pPr>
                    <w:pStyle w:val="36"/>
                  </w:pPr>
                  <w:r>
                    <w:t>118</w:t>
                  </w:r>
                </w:p>
              </w:tc>
              <w:tc>
                <w:tcPr>
                  <w:tcW w:w="2492" w:type="dxa"/>
                  <w:shd w:val="clear" w:color="auto" w:fill="auto"/>
                  <w:vAlign w:val="center"/>
                </w:tcPr>
                <w:p>
                  <w:pPr>
                    <w:pStyle w:val="36"/>
                  </w:pPr>
                  <w:r>
                    <w:t>初期蓄水 40 万 m³</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39" w:type="dxa"/>
                  <w:vMerge w:val="restart"/>
                  <w:shd w:val="clear" w:color="auto" w:fill="auto"/>
                  <w:vAlign w:val="center"/>
                </w:tcPr>
                <w:p>
                  <w:pPr>
                    <w:pStyle w:val="36"/>
                  </w:pPr>
                  <w:r>
                    <w:t>6</w:t>
                  </w:r>
                </w:p>
              </w:tc>
              <w:tc>
                <w:tcPr>
                  <w:tcW w:w="3379" w:type="dxa"/>
                  <w:shd w:val="clear" w:color="auto" w:fill="auto"/>
                  <w:vAlign w:val="center"/>
                </w:tcPr>
                <w:p>
                  <w:pPr>
                    <w:pStyle w:val="36"/>
                  </w:pPr>
                  <w:r>
                    <w:t>湖体水生态工程</w:t>
                  </w:r>
                </w:p>
              </w:tc>
              <w:tc>
                <w:tcPr>
                  <w:tcW w:w="467" w:type="dxa"/>
                  <w:shd w:val="clear" w:color="auto" w:fill="auto"/>
                  <w:vAlign w:val="center"/>
                </w:tcPr>
                <w:p>
                  <w:pPr>
                    <w:pStyle w:val="36"/>
                  </w:pPr>
                </w:p>
              </w:tc>
              <w:tc>
                <w:tcPr>
                  <w:tcW w:w="1387" w:type="dxa"/>
                  <w:shd w:val="clear" w:color="auto" w:fill="auto"/>
                  <w:vAlign w:val="center"/>
                </w:tcPr>
                <w:p>
                  <w:pPr>
                    <w:pStyle w:val="36"/>
                  </w:pP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改建容量约 30 万立方米集水湖泊</w:t>
                  </w:r>
                </w:p>
              </w:tc>
              <w:tc>
                <w:tcPr>
                  <w:tcW w:w="467" w:type="dxa"/>
                  <w:shd w:val="clear" w:color="auto" w:fill="auto"/>
                  <w:vAlign w:val="center"/>
                </w:tcPr>
                <w:p>
                  <w:pPr>
                    <w:pStyle w:val="36"/>
                  </w:pPr>
                  <w:r>
                    <w:t>处</w:t>
                  </w:r>
                </w:p>
              </w:tc>
              <w:tc>
                <w:tcPr>
                  <w:tcW w:w="1387" w:type="dxa"/>
                  <w:shd w:val="clear" w:color="auto" w:fill="auto"/>
                  <w:vAlign w:val="center"/>
                </w:tcPr>
                <w:p>
                  <w:pPr>
                    <w:pStyle w:val="36"/>
                  </w:pPr>
                  <w:r>
                    <w:t>1</w:t>
                  </w: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墨砚湖底防渗处理</w:t>
                  </w:r>
                </w:p>
              </w:tc>
              <w:tc>
                <w:tcPr>
                  <w:tcW w:w="467" w:type="dxa"/>
                  <w:shd w:val="clear" w:color="auto" w:fill="auto"/>
                  <w:vAlign w:val="center"/>
                </w:tcPr>
                <w:p>
                  <w:pPr>
                    <w:pStyle w:val="36"/>
                  </w:pPr>
                  <w:r>
                    <w:t>万</w:t>
                  </w:r>
                </w:p>
                <w:p>
                  <w:pPr>
                    <w:pStyle w:val="36"/>
                  </w:pPr>
                  <w:r>
                    <w:t>㎡</w:t>
                  </w:r>
                </w:p>
              </w:tc>
              <w:tc>
                <w:tcPr>
                  <w:tcW w:w="1387" w:type="dxa"/>
                  <w:shd w:val="clear" w:color="auto" w:fill="auto"/>
                  <w:vAlign w:val="center"/>
                </w:tcPr>
                <w:p>
                  <w:pPr>
                    <w:pStyle w:val="36"/>
                  </w:pPr>
                  <w:r>
                    <w:t>19.5</w:t>
                  </w: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湖底基底改良</w:t>
                  </w:r>
                </w:p>
              </w:tc>
              <w:tc>
                <w:tcPr>
                  <w:tcW w:w="467" w:type="dxa"/>
                  <w:shd w:val="clear" w:color="auto" w:fill="auto"/>
                  <w:vAlign w:val="center"/>
                </w:tcPr>
                <w:p>
                  <w:pPr>
                    <w:pStyle w:val="36"/>
                  </w:pPr>
                  <w:r>
                    <w:t>万</w:t>
                  </w:r>
                </w:p>
                <w:p>
                  <w:pPr>
                    <w:pStyle w:val="36"/>
                  </w:pPr>
                  <w:r>
                    <w:t>㎡</w:t>
                  </w:r>
                </w:p>
              </w:tc>
              <w:tc>
                <w:tcPr>
                  <w:tcW w:w="1387" w:type="dxa"/>
                  <w:shd w:val="clear" w:color="auto" w:fill="auto"/>
                  <w:vAlign w:val="center"/>
                </w:tcPr>
                <w:p>
                  <w:pPr>
                    <w:pStyle w:val="36"/>
                  </w:pPr>
                  <w:r>
                    <w:t>18.3</w:t>
                  </w: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水生态配套设备设施</w:t>
                  </w:r>
                </w:p>
              </w:tc>
              <w:tc>
                <w:tcPr>
                  <w:tcW w:w="467" w:type="dxa"/>
                  <w:shd w:val="clear" w:color="auto" w:fill="auto"/>
                  <w:vAlign w:val="center"/>
                </w:tcPr>
                <w:p>
                  <w:pPr>
                    <w:pStyle w:val="36"/>
                  </w:pPr>
                  <w:r>
                    <w:t>项</w:t>
                  </w:r>
                </w:p>
              </w:tc>
              <w:tc>
                <w:tcPr>
                  <w:tcW w:w="1387" w:type="dxa"/>
                  <w:shd w:val="clear" w:color="auto" w:fill="auto"/>
                  <w:vAlign w:val="center"/>
                </w:tcPr>
                <w:p>
                  <w:pPr>
                    <w:pStyle w:val="36"/>
                  </w:pPr>
                  <w:r>
                    <w:t>1</w:t>
                  </w: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39" w:type="dxa"/>
                  <w:vMerge w:val="restart"/>
                  <w:shd w:val="clear" w:color="auto" w:fill="auto"/>
                  <w:vAlign w:val="center"/>
                </w:tcPr>
                <w:p>
                  <w:pPr>
                    <w:pStyle w:val="36"/>
                  </w:pPr>
                  <w:r>
                    <w:t>7</w:t>
                  </w:r>
                </w:p>
              </w:tc>
              <w:tc>
                <w:tcPr>
                  <w:tcW w:w="3379" w:type="dxa"/>
                  <w:shd w:val="clear" w:color="auto" w:fill="auto"/>
                  <w:vAlign w:val="center"/>
                </w:tcPr>
                <w:p>
                  <w:pPr>
                    <w:pStyle w:val="36"/>
                  </w:pPr>
                  <w:r>
                    <w:t>60m 大街排水改造项目</w:t>
                  </w:r>
                </w:p>
              </w:tc>
              <w:tc>
                <w:tcPr>
                  <w:tcW w:w="467" w:type="dxa"/>
                  <w:shd w:val="clear" w:color="auto" w:fill="auto"/>
                  <w:vAlign w:val="center"/>
                </w:tcPr>
                <w:p>
                  <w:pPr>
                    <w:pStyle w:val="36"/>
                  </w:pPr>
                </w:p>
              </w:tc>
              <w:tc>
                <w:tcPr>
                  <w:tcW w:w="1387" w:type="dxa"/>
                  <w:shd w:val="clear" w:color="auto" w:fill="auto"/>
                  <w:vAlign w:val="center"/>
                </w:tcPr>
                <w:p>
                  <w:pPr>
                    <w:pStyle w:val="36"/>
                  </w:pP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新建 D1600 雨水管</w:t>
                  </w:r>
                </w:p>
              </w:tc>
              <w:tc>
                <w:tcPr>
                  <w:tcW w:w="467" w:type="dxa"/>
                  <w:shd w:val="clear" w:color="auto" w:fill="auto"/>
                  <w:vAlign w:val="center"/>
                </w:tcPr>
                <w:p>
                  <w:pPr>
                    <w:pStyle w:val="36"/>
                  </w:pPr>
                  <w:r>
                    <w:t>m</w:t>
                  </w:r>
                </w:p>
              </w:tc>
              <w:tc>
                <w:tcPr>
                  <w:tcW w:w="1387" w:type="dxa"/>
                  <w:shd w:val="clear" w:color="auto" w:fill="auto"/>
                  <w:vAlign w:val="center"/>
                </w:tcPr>
                <w:p>
                  <w:pPr>
                    <w:pStyle w:val="36"/>
                  </w:pPr>
                  <w:r>
                    <w:t>120</w:t>
                  </w: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D1200 雨水管</w:t>
                  </w:r>
                </w:p>
              </w:tc>
              <w:tc>
                <w:tcPr>
                  <w:tcW w:w="467" w:type="dxa"/>
                  <w:shd w:val="clear" w:color="auto" w:fill="auto"/>
                  <w:vAlign w:val="center"/>
                </w:tcPr>
                <w:p>
                  <w:pPr>
                    <w:pStyle w:val="36"/>
                  </w:pPr>
                  <w:r>
                    <w:t>m</w:t>
                  </w:r>
                </w:p>
              </w:tc>
              <w:tc>
                <w:tcPr>
                  <w:tcW w:w="1387" w:type="dxa"/>
                  <w:shd w:val="clear" w:color="auto" w:fill="auto"/>
                  <w:vAlign w:val="center"/>
                </w:tcPr>
                <w:p>
                  <w:pPr>
                    <w:pStyle w:val="36"/>
                  </w:pPr>
                  <w:r>
                    <w:t>810</w:t>
                  </w: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D1000 雨水管</w:t>
                  </w:r>
                </w:p>
              </w:tc>
              <w:tc>
                <w:tcPr>
                  <w:tcW w:w="467" w:type="dxa"/>
                  <w:shd w:val="clear" w:color="auto" w:fill="auto"/>
                  <w:vAlign w:val="center"/>
                </w:tcPr>
                <w:p>
                  <w:pPr>
                    <w:pStyle w:val="36"/>
                  </w:pPr>
                  <w:r>
                    <w:t>m</w:t>
                  </w:r>
                </w:p>
              </w:tc>
              <w:tc>
                <w:tcPr>
                  <w:tcW w:w="1387" w:type="dxa"/>
                  <w:shd w:val="clear" w:color="auto" w:fill="auto"/>
                  <w:vAlign w:val="center"/>
                </w:tcPr>
                <w:p>
                  <w:pPr>
                    <w:pStyle w:val="36"/>
                  </w:pPr>
                  <w:r>
                    <w:t>60</w:t>
                  </w: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D800 雨水管</w:t>
                  </w:r>
                </w:p>
              </w:tc>
              <w:tc>
                <w:tcPr>
                  <w:tcW w:w="467" w:type="dxa"/>
                  <w:shd w:val="clear" w:color="auto" w:fill="auto"/>
                  <w:vAlign w:val="center"/>
                </w:tcPr>
                <w:p>
                  <w:pPr>
                    <w:pStyle w:val="36"/>
                  </w:pPr>
                  <w:r>
                    <w:t>m</w:t>
                  </w:r>
                </w:p>
              </w:tc>
              <w:tc>
                <w:tcPr>
                  <w:tcW w:w="1387" w:type="dxa"/>
                  <w:shd w:val="clear" w:color="auto" w:fill="auto"/>
                  <w:vAlign w:val="center"/>
                </w:tcPr>
                <w:p>
                  <w:pPr>
                    <w:pStyle w:val="36"/>
                  </w:pPr>
                  <w:r>
                    <w:t>50</w:t>
                  </w: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d300 雨水联络管</w:t>
                  </w:r>
                </w:p>
              </w:tc>
              <w:tc>
                <w:tcPr>
                  <w:tcW w:w="467" w:type="dxa"/>
                  <w:shd w:val="clear" w:color="auto" w:fill="auto"/>
                  <w:vAlign w:val="center"/>
                </w:tcPr>
                <w:p>
                  <w:pPr>
                    <w:pStyle w:val="36"/>
                  </w:pPr>
                  <w:r>
                    <w:t>m</w:t>
                  </w:r>
                </w:p>
              </w:tc>
              <w:tc>
                <w:tcPr>
                  <w:tcW w:w="1387" w:type="dxa"/>
                  <w:shd w:val="clear" w:color="auto" w:fill="auto"/>
                  <w:vAlign w:val="center"/>
                </w:tcPr>
                <w:p>
                  <w:pPr>
                    <w:pStyle w:val="36"/>
                  </w:pPr>
                  <w:r>
                    <w:t>1200</w:t>
                  </w: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雨水口</w:t>
                  </w:r>
                </w:p>
              </w:tc>
              <w:tc>
                <w:tcPr>
                  <w:tcW w:w="467" w:type="dxa"/>
                  <w:shd w:val="clear" w:color="auto" w:fill="auto"/>
                  <w:vAlign w:val="center"/>
                </w:tcPr>
                <w:p>
                  <w:pPr>
                    <w:pStyle w:val="36"/>
                  </w:pPr>
                  <w:r>
                    <w:t>座</w:t>
                  </w:r>
                </w:p>
              </w:tc>
              <w:tc>
                <w:tcPr>
                  <w:tcW w:w="1387" w:type="dxa"/>
                  <w:shd w:val="clear" w:color="auto" w:fill="auto"/>
                  <w:vAlign w:val="center"/>
                </w:tcPr>
                <w:p>
                  <w:pPr>
                    <w:pStyle w:val="36"/>
                  </w:pPr>
                  <w:r>
                    <w:t>114</w:t>
                  </w: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新增检查井</w:t>
                  </w:r>
                </w:p>
              </w:tc>
              <w:tc>
                <w:tcPr>
                  <w:tcW w:w="467" w:type="dxa"/>
                  <w:shd w:val="clear" w:color="auto" w:fill="auto"/>
                  <w:vAlign w:val="center"/>
                </w:tcPr>
                <w:p>
                  <w:pPr>
                    <w:pStyle w:val="36"/>
                  </w:pPr>
                  <w:r>
                    <w:t>个</w:t>
                  </w:r>
                </w:p>
              </w:tc>
              <w:tc>
                <w:tcPr>
                  <w:tcW w:w="1387" w:type="dxa"/>
                  <w:shd w:val="clear" w:color="auto" w:fill="auto"/>
                  <w:vAlign w:val="center"/>
                </w:tcPr>
                <w:p>
                  <w:pPr>
                    <w:pStyle w:val="36"/>
                  </w:pPr>
                  <w:r>
                    <w:t>30</w:t>
                  </w: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拆除恢复管道及配套附属设施,管线敷设时破除、恢复路面</w:t>
                  </w:r>
                </w:p>
              </w:tc>
              <w:tc>
                <w:tcPr>
                  <w:tcW w:w="467" w:type="dxa"/>
                  <w:shd w:val="clear" w:color="auto" w:fill="auto"/>
                  <w:vAlign w:val="center"/>
                </w:tcPr>
                <w:p>
                  <w:pPr>
                    <w:pStyle w:val="36"/>
                  </w:pPr>
                  <w:r>
                    <w:t>㎡</w:t>
                  </w:r>
                </w:p>
              </w:tc>
              <w:tc>
                <w:tcPr>
                  <w:tcW w:w="1387" w:type="dxa"/>
                  <w:shd w:val="clear" w:color="auto" w:fill="auto"/>
                  <w:vAlign w:val="center"/>
                </w:tcPr>
                <w:p>
                  <w:pPr>
                    <w:pStyle w:val="36"/>
                  </w:pPr>
                  <w:r>
                    <w:t>9200</w:t>
                  </w: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路面加铺沥青</w:t>
                  </w:r>
                </w:p>
              </w:tc>
              <w:tc>
                <w:tcPr>
                  <w:tcW w:w="467" w:type="dxa"/>
                  <w:shd w:val="clear" w:color="auto" w:fill="auto"/>
                  <w:vAlign w:val="center"/>
                </w:tcPr>
                <w:p>
                  <w:pPr>
                    <w:pStyle w:val="36"/>
                  </w:pPr>
                  <w:r>
                    <w:t>㎡</w:t>
                  </w:r>
                </w:p>
              </w:tc>
              <w:tc>
                <w:tcPr>
                  <w:tcW w:w="1387" w:type="dxa"/>
                  <w:shd w:val="clear" w:color="auto" w:fill="auto"/>
                  <w:vAlign w:val="center"/>
                </w:tcPr>
                <w:p>
                  <w:pPr>
                    <w:pStyle w:val="36"/>
                  </w:pPr>
                  <w:r>
                    <w:t>1900</w:t>
                  </w:r>
                </w:p>
                <w:p>
                  <w:pPr>
                    <w:pStyle w:val="36"/>
                  </w:pPr>
                  <w:r>
                    <w:t>0</w:t>
                  </w: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39" w:type="dxa"/>
                  <w:vMerge w:val="restart"/>
                  <w:shd w:val="clear" w:color="auto" w:fill="auto"/>
                  <w:vAlign w:val="center"/>
                </w:tcPr>
                <w:p>
                  <w:pPr>
                    <w:pStyle w:val="36"/>
                  </w:pPr>
                  <w:r>
                    <w:t>8</w:t>
                  </w:r>
                </w:p>
              </w:tc>
              <w:tc>
                <w:tcPr>
                  <w:tcW w:w="3379" w:type="dxa"/>
                  <w:shd w:val="clear" w:color="auto" w:fill="auto"/>
                  <w:vAlign w:val="center"/>
                </w:tcPr>
                <w:p>
                  <w:pPr>
                    <w:pStyle w:val="36"/>
                  </w:pPr>
                  <w:r>
                    <w:t>迎宾大道片区排水改造项目</w:t>
                  </w:r>
                </w:p>
              </w:tc>
              <w:tc>
                <w:tcPr>
                  <w:tcW w:w="467" w:type="dxa"/>
                  <w:shd w:val="clear" w:color="auto" w:fill="auto"/>
                  <w:vAlign w:val="center"/>
                </w:tcPr>
                <w:p>
                  <w:pPr>
                    <w:pStyle w:val="36"/>
                  </w:pPr>
                </w:p>
              </w:tc>
              <w:tc>
                <w:tcPr>
                  <w:tcW w:w="1387" w:type="dxa"/>
                  <w:shd w:val="clear" w:color="auto" w:fill="auto"/>
                  <w:vAlign w:val="center"/>
                </w:tcPr>
                <w:p>
                  <w:pPr>
                    <w:pStyle w:val="36"/>
                  </w:pPr>
                </w:p>
              </w:tc>
              <w:tc>
                <w:tcPr>
                  <w:tcW w:w="2492" w:type="dxa"/>
                  <w:shd w:val="clear" w:color="auto" w:fill="auto"/>
                  <w:vAlign w:val="center"/>
                </w:tcPr>
                <w:p>
                  <w:pPr>
                    <w:pStyle w:val="36"/>
                    <w:rPr>
                      <w:rFonts w:hint="eastAsia"/>
                    </w:rPr>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改建 D1000 雨水管</w:t>
                  </w:r>
                </w:p>
              </w:tc>
              <w:tc>
                <w:tcPr>
                  <w:tcW w:w="467" w:type="dxa"/>
                  <w:shd w:val="clear" w:color="auto" w:fill="auto"/>
                  <w:vAlign w:val="center"/>
                </w:tcPr>
                <w:p>
                  <w:pPr>
                    <w:pStyle w:val="36"/>
                  </w:pPr>
                  <w:r>
                    <w:t>m</w:t>
                  </w:r>
                </w:p>
              </w:tc>
              <w:tc>
                <w:tcPr>
                  <w:tcW w:w="1387" w:type="dxa"/>
                  <w:shd w:val="clear" w:color="auto" w:fill="auto"/>
                  <w:vAlign w:val="center"/>
                </w:tcPr>
                <w:p>
                  <w:pPr>
                    <w:pStyle w:val="36"/>
                  </w:pPr>
                  <w:r>
                    <w:t>120</w:t>
                  </w: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D800 雨水管</w:t>
                  </w:r>
                </w:p>
              </w:tc>
              <w:tc>
                <w:tcPr>
                  <w:tcW w:w="467" w:type="dxa"/>
                  <w:shd w:val="clear" w:color="auto" w:fill="auto"/>
                  <w:vAlign w:val="center"/>
                </w:tcPr>
                <w:p>
                  <w:pPr>
                    <w:pStyle w:val="36"/>
                  </w:pPr>
                  <w:r>
                    <w:t>m</w:t>
                  </w:r>
                </w:p>
              </w:tc>
              <w:tc>
                <w:tcPr>
                  <w:tcW w:w="1387" w:type="dxa"/>
                  <w:shd w:val="clear" w:color="auto" w:fill="auto"/>
                  <w:vAlign w:val="center"/>
                </w:tcPr>
                <w:p>
                  <w:pPr>
                    <w:pStyle w:val="36"/>
                  </w:pPr>
                  <w:r>
                    <w:t>180</w:t>
                  </w: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d300 雨水联络管</w:t>
                  </w:r>
                </w:p>
              </w:tc>
              <w:tc>
                <w:tcPr>
                  <w:tcW w:w="467" w:type="dxa"/>
                  <w:shd w:val="clear" w:color="auto" w:fill="auto"/>
                  <w:vAlign w:val="center"/>
                </w:tcPr>
                <w:p>
                  <w:pPr>
                    <w:pStyle w:val="36"/>
                  </w:pPr>
                  <w:r>
                    <w:t>m</w:t>
                  </w:r>
                </w:p>
              </w:tc>
              <w:tc>
                <w:tcPr>
                  <w:tcW w:w="1387" w:type="dxa"/>
                  <w:shd w:val="clear" w:color="auto" w:fill="auto"/>
                  <w:vAlign w:val="center"/>
                </w:tcPr>
                <w:p>
                  <w:pPr>
                    <w:pStyle w:val="36"/>
                  </w:pPr>
                  <w:r>
                    <w:t>900</w:t>
                  </w: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雨水口</w:t>
                  </w:r>
                </w:p>
              </w:tc>
              <w:tc>
                <w:tcPr>
                  <w:tcW w:w="467" w:type="dxa"/>
                  <w:shd w:val="clear" w:color="auto" w:fill="auto"/>
                  <w:vAlign w:val="center"/>
                </w:tcPr>
                <w:p>
                  <w:pPr>
                    <w:pStyle w:val="36"/>
                  </w:pPr>
                  <w:r>
                    <w:t>座</w:t>
                  </w:r>
                </w:p>
              </w:tc>
              <w:tc>
                <w:tcPr>
                  <w:tcW w:w="1387" w:type="dxa"/>
                  <w:shd w:val="clear" w:color="auto" w:fill="auto"/>
                  <w:vAlign w:val="center"/>
                </w:tcPr>
                <w:p>
                  <w:pPr>
                    <w:pStyle w:val="36"/>
                  </w:pPr>
                  <w:r>
                    <w:t>30</w:t>
                  </w: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新增检查井</w:t>
                  </w:r>
                </w:p>
              </w:tc>
              <w:tc>
                <w:tcPr>
                  <w:tcW w:w="467" w:type="dxa"/>
                  <w:shd w:val="clear" w:color="auto" w:fill="auto"/>
                  <w:vAlign w:val="center"/>
                </w:tcPr>
                <w:p>
                  <w:pPr>
                    <w:pStyle w:val="36"/>
                  </w:pPr>
                  <w:r>
                    <w:t>个</w:t>
                  </w:r>
                </w:p>
              </w:tc>
              <w:tc>
                <w:tcPr>
                  <w:tcW w:w="1387" w:type="dxa"/>
                  <w:shd w:val="clear" w:color="auto" w:fill="auto"/>
                  <w:vAlign w:val="center"/>
                </w:tcPr>
                <w:p>
                  <w:pPr>
                    <w:pStyle w:val="36"/>
                  </w:pPr>
                  <w:r>
                    <w:t>40</w:t>
                  </w: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拆除恢复绿化面积</w:t>
                  </w:r>
                </w:p>
              </w:tc>
              <w:tc>
                <w:tcPr>
                  <w:tcW w:w="467" w:type="dxa"/>
                  <w:shd w:val="clear" w:color="auto" w:fill="auto"/>
                  <w:vAlign w:val="center"/>
                </w:tcPr>
                <w:p>
                  <w:pPr>
                    <w:pStyle w:val="36"/>
                  </w:pPr>
                  <w:r>
                    <w:t>㎡</w:t>
                  </w:r>
                </w:p>
              </w:tc>
              <w:tc>
                <w:tcPr>
                  <w:tcW w:w="1387" w:type="dxa"/>
                  <w:shd w:val="clear" w:color="auto" w:fill="auto"/>
                  <w:vAlign w:val="center"/>
                </w:tcPr>
                <w:p>
                  <w:pPr>
                    <w:pStyle w:val="36"/>
                  </w:pPr>
                  <w:r>
                    <w:t>2800</w:t>
                  </w: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622"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拆除恢复管道及配套附属设施,管线敷设时破除、恢复沥青路面</w:t>
                  </w:r>
                </w:p>
              </w:tc>
              <w:tc>
                <w:tcPr>
                  <w:tcW w:w="467" w:type="dxa"/>
                  <w:shd w:val="clear" w:color="auto" w:fill="auto"/>
                  <w:vAlign w:val="center"/>
                </w:tcPr>
                <w:p>
                  <w:pPr>
                    <w:pStyle w:val="36"/>
                  </w:pPr>
                  <w:r>
                    <w:t>㎡</w:t>
                  </w:r>
                </w:p>
              </w:tc>
              <w:tc>
                <w:tcPr>
                  <w:tcW w:w="1387" w:type="dxa"/>
                  <w:shd w:val="clear" w:color="auto" w:fill="auto"/>
                  <w:vAlign w:val="center"/>
                </w:tcPr>
                <w:p>
                  <w:pPr>
                    <w:pStyle w:val="36"/>
                  </w:pPr>
                  <w:r>
                    <w:t>6500</w:t>
                  </w: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路面加铺沥青</w:t>
                  </w:r>
                </w:p>
              </w:tc>
              <w:tc>
                <w:tcPr>
                  <w:tcW w:w="467" w:type="dxa"/>
                  <w:shd w:val="clear" w:color="auto" w:fill="auto"/>
                  <w:vAlign w:val="center"/>
                </w:tcPr>
                <w:p>
                  <w:pPr>
                    <w:pStyle w:val="36"/>
                  </w:pPr>
                  <w:r>
                    <w:t>㎡</w:t>
                  </w:r>
                </w:p>
              </w:tc>
              <w:tc>
                <w:tcPr>
                  <w:tcW w:w="1387" w:type="dxa"/>
                  <w:shd w:val="clear" w:color="auto" w:fill="auto"/>
                  <w:vAlign w:val="center"/>
                </w:tcPr>
                <w:p>
                  <w:pPr>
                    <w:pStyle w:val="36"/>
                  </w:pPr>
                  <w:r>
                    <w:t>460</w:t>
                  </w: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39" w:type="dxa"/>
                  <w:vMerge w:val="restart"/>
                  <w:shd w:val="clear" w:color="auto" w:fill="auto"/>
                  <w:vAlign w:val="center"/>
                </w:tcPr>
                <w:p>
                  <w:pPr>
                    <w:pStyle w:val="36"/>
                  </w:pPr>
                  <w:r>
                    <w:t>9</w:t>
                  </w:r>
                </w:p>
              </w:tc>
              <w:tc>
                <w:tcPr>
                  <w:tcW w:w="3379" w:type="dxa"/>
                  <w:shd w:val="clear" w:color="auto" w:fill="auto"/>
                  <w:vAlign w:val="center"/>
                </w:tcPr>
                <w:p>
                  <w:pPr>
                    <w:pStyle w:val="36"/>
                  </w:pPr>
                  <w:r>
                    <w:t>蜀北下路排水改造工程</w:t>
                  </w:r>
                </w:p>
              </w:tc>
              <w:tc>
                <w:tcPr>
                  <w:tcW w:w="467" w:type="dxa"/>
                  <w:shd w:val="clear" w:color="auto" w:fill="auto"/>
                  <w:vAlign w:val="center"/>
                </w:tcPr>
                <w:p>
                  <w:pPr>
                    <w:pStyle w:val="36"/>
                  </w:pPr>
                </w:p>
              </w:tc>
              <w:tc>
                <w:tcPr>
                  <w:tcW w:w="1387" w:type="dxa"/>
                  <w:shd w:val="clear" w:color="auto" w:fill="auto"/>
                  <w:vAlign w:val="center"/>
                </w:tcPr>
                <w:p>
                  <w:pPr>
                    <w:pStyle w:val="36"/>
                  </w:pP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新建 D1000 雨水管</w:t>
                  </w:r>
                </w:p>
              </w:tc>
              <w:tc>
                <w:tcPr>
                  <w:tcW w:w="467" w:type="dxa"/>
                  <w:shd w:val="clear" w:color="auto" w:fill="auto"/>
                  <w:vAlign w:val="center"/>
                </w:tcPr>
                <w:p>
                  <w:pPr>
                    <w:pStyle w:val="36"/>
                  </w:pPr>
                  <w:r>
                    <w:t>m</w:t>
                  </w:r>
                </w:p>
              </w:tc>
              <w:tc>
                <w:tcPr>
                  <w:tcW w:w="1387" w:type="dxa"/>
                  <w:shd w:val="clear" w:color="auto" w:fill="auto"/>
                  <w:vAlign w:val="center"/>
                </w:tcPr>
                <w:p>
                  <w:pPr>
                    <w:pStyle w:val="36"/>
                  </w:pPr>
                  <w:r>
                    <w:t>700</w:t>
                  </w: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映月街口新建 D600 雨水管</w:t>
                  </w:r>
                </w:p>
              </w:tc>
              <w:tc>
                <w:tcPr>
                  <w:tcW w:w="467" w:type="dxa"/>
                  <w:shd w:val="clear" w:color="auto" w:fill="auto"/>
                  <w:vAlign w:val="center"/>
                </w:tcPr>
                <w:p>
                  <w:pPr>
                    <w:pStyle w:val="36"/>
                  </w:pPr>
                  <w:r>
                    <w:t>m</w:t>
                  </w:r>
                </w:p>
              </w:tc>
              <w:tc>
                <w:tcPr>
                  <w:tcW w:w="1387" w:type="dxa"/>
                  <w:shd w:val="clear" w:color="auto" w:fill="auto"/>
                  <w:vAlign w:val="center"/>
                </w:tcPr>
                <w:p>
                  <w:pPr>
                    <w:pStyle w:val="36"/>
                  </w:pPr>
                  <w:r>
                    <w:t>30</w:t>
                  </w: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明渠改造段长</w:t>
                  </w:r>
                </w:p>
              </w:tc>
              <w:tc>
                <w:tcPr>
                  <w:tcW w:w="467" w:type="dxa"/>
                  <w:shd w:val="clear" w:color="auto" w:fill="auto"/>
                  <w:vAlign w:val="center"/>
                </w:tcPr>
                <w:p>
                  <w:pPr>
                    <w:pStyle w:val="36"/>
                  </w:pPr>
                  <w:r>
                    <w:t>m</w:t>
                  </w:r>
                </w:p>
              </w:tc>
              <w:tc>
                <w:tcPr>
                  <w:tcW w:w="1387" w:type="dxa"/>
                  <w:shd w:val="clear" w:color="auto" w:fill="auto"/>
                  <w:vAlign w:val="center"/>
                </w:tcPr>
                <w:p>
                  <w:pPr>
                    <w:pStyle w:val="36"/>
                  </w:pPr>
                  <w:r>
                    <w:t>350</w:t>
                  </w: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箱涵改造段长</w:t>
                  </w:r>
                </w:p>
              </w:tc>
              <w:tc>
                <w:tcPr>
                  <w:tcW w:w="467" w:type="dxa"/>
                  <w:shd w:val="clear" w:color="auto" w:fill="auto"/>
                  <w:vAlign w:val="center"/>
                </w:tcPr>
                <w:p>
                  <w:pPr>
                    <w:pStyle w:val="36"/>
                  </w:pPr>
                  <w:r>
                    <w:t>m</w:t>
                  </w:r>
                </w:p>
              </w:tc>
              <w:tc>
                <w:tcPr>
                  <w:tcW w:w="1387" w:type="dxa"/>
                  <w:shd w:val="clear" w:color="auto" w:fill="auto"/>
                  <w:vAlign w:val="center"/>
                </w:tcPr>
                <w:p>
                  <w:pPr>
                    <w:pStyle w:val="36"/>
                  </w:pPr>
                  <w:r>
                    <w:t>50</w:t>
                  </w: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改造万和</w:t>
                  </w:r>
                  <w:r>
                    <w:rPr>
                      <w:rFonts w:hint="eastAsia"/>
                      <w:lang w:val="en-US" w:eastAsia="zh-CN"/>
                    </w:rPr>
                    <w:t>大酒店</w:t>
                  </w:r>
                  <w:r>
                    <w:t>周边排洪通道，新建箱涵全长</w:t>
                  </w:r>
                </w:p>
              </w:tc>
              <w:tc>
                <w:tcPr>
                  <w:tcW w:w="467" w:type="dxa"/>
                  <w:shd w:val="clear" w:color="auto" w:fill="auto"/>
                  <w:vAlign w:val="center"/>
                </w:tcPr>
                <w:p>
                  <w:pPr>
                    <w:pStyle w:val="36"/>
                  </w:pPr>
                  <w:r>
                    <w:t>m</w:t>
                  </w:r>
                </w:p>
              </w:tc>
              <w:tc>
                <w:tcPr>
                  <w:tcW w:w="1387" w:type="dxa"/>
                  <w:shd w:val="clear" w:color="auto" w:fill="auto"/>
                  <w:vAlign w:val="center"/>
                </w:tcPr>
                <w:p>
                  <w:pPr>
                    <w:pStyle w:val="36"/>
                  </w:pPr>
                  <w:r>
                    <w:t>150</w:t>
                  </w:r>
                </w:p>
              </w:tc>
              <w:tc>
                <w:tcPr>
                  <w:tcW w:w="2492" w:type="dxa"/>
                  <w:shd w:val="clear" w:color="auto" w:fill="auto"/>
                  <w:vAlign w:val="center"/>
                </w:tcPr>
                <w:p>
                  <w:pPr>
                    <w:pStyle w:val="36"/>
                  </w:pPr>
                  <w:r>
                    <w:t>净空断面 5000X4000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新增检查井</w:t>
                  </w:r>
                </w:p>
              </w:tc>
              <w:tc>
                <w:tcPr>
                  <w:tcW w:w="467" w:type="dxa"/>
                  <w:shd w:val="clear" w:color="auto" w:fill="auto"/>
                  <w:vAlign w:val="center"/>
                </w:tcPr>
                <w:p>
                  <w:pPr>
                    <w:pStyle w:val="36"/>
                  </w:pPr>
                  <w:r>
                    <w:t>个</w:t>
                  </w:r>
                </w:p>
              </w:tc>
              <w:tc>
                <w:tcPr>
                  <w:tcW w:w="1387" w:type="dxa"/>
                  <w:shd w:val="clear" w:color="auto" w:fill="auto"/>
                  <w:vAlign w:val="center"/>
                </w:tcPr>
                <w:p>
                  <w:pPr>
                    <w:pStyle w:val="36"/>
                  </w:pPr>
                  <w:r>
                    <w:t>2</w:t>
                  </w: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地下管线敷设时破除、恢复沥青路面</w:t>
                  </w:r>
                </w:p>
              </w:tc>
              <w:tc>
                <w:tcPr>
                  <w:tcW w:w="467" w:type="dxa"/>
                  <w:shd w:val="clear" w:color="auto" w:fill="auto"/>
                  <w:vAlign w:val="center"/>
                </w:tcPr>
                <w:p>
                  <w:pPr>
                    <w:pStyle w:val="36"/>
                  </w:pPr>
                  <w:r>
                    <w:t>㎡</w:t>
                  </w:r>
                </w:p>
              </w:tc>
              <w:tc>
                <w:tcPr>
                  <w:tcW w:w="1387" w:type="dxa"/>
                  <w:shd w:val="clear" w:color="auto" w:fill="auto"/>
                  <w:vAlign w:val="center"/>
                </w:tcPr>
                <w:p>
                  <w:pPr>
                    <w:pStyle w:val="36"/>
                  </w:pPr>
                  <w:r>
                    <w:t>2800</w:t>
                  </w: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39" w:type="dxa"/>
                  <w:vMerge w:val="restart"/>
                  <w:shd w:val="clear" w:color="auto" w:fill="auto"/>
                  <w:vAlign w:val="center"/>
                </w:tcPr>
                <w:p>
                  <w:pPr>
                    <w:pStyle w:val="36"/>
                  </w:pPr>
                  <w:r>
                    <w:t>10</w:t>
                  </w:r>
                </w:p>
              </w:tc>
              <w:tc>
                <w:tcPr>
                  <w:tcW w:w="3379" w:type="dxa"/>
                  <w:shd w:val="clear" w:color="auto" w:fill="auto"/>
                  <w:vAlign w:val="center"/>
                </w:tcPr>
                <w:p>
                  <w:pPr>
                    <w:pStyle w:val="36"/>
                  </w:pPr>
                  <w:r>
                    <w:t>客运站片区排洪通道项目</w:t>
                  </w:r>
                </w:p>
              </w:tc>
              <w:tc>
                <w:tcPr>
                  <w:tcW w:w="467" w:type="dxa"/>
                  <w:shd w:val="clear" w:color="auto" w:fill="auto"/>
                  <w:vAlign w:val="center"/>
                </w:tcPr>
                <w:p>
                  <w:pPr>
                    <w:pStyle w:val="36"/>
                  </w:pPr>
                </w:p>
              </w:tc>
              <w:tc>
                <w:tcPr>
                  <w:tcW w:w="1387" w:type="dxa"/>
                  <w:shd w:val="clear" w:color="auto" w:fill="auto"/>
                  <w:vAlign w:val="center"/>
                </w:tcPr>
                <w:p>
                  <w:pPr>
                    <w:pStyle w:val="36"/>
                  </w:pP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新建学苑路延长段排洪箱涵</w:t>
                  </w:r>
                </w:p>
              </w:tc>
              <w:tc>
                <w:tcPr>
                  <w:tcW w:w="467" w:type="dxa"/>
                  <w:shd w:val="clear" w:color="auto" w:fill="auto"/>
                  <w:vAlign w:val="center"/>
                </w:tcPr>
                <w:p>
                  <w:pPr>
                    <w:pStyle w:val="36"/>
                  </w:pPr>
                  <w:r>
                    <w:t>m</w:t>
                  </w:r>
                </w:p>
              </w:tc>
              <w:tc>
                <w:tcPr>
                  <w:tcW w:w="1387" w:type="dxa"/>
                  <w:shd w:val="clear" w:color="auto" w:fill="auto"/>
                  <w:vAlign w:val="center"/>
                </w:tcPr>
                <w:p>
                  <w:pPr>
                    <w:pStyle w:val="36"/>
                  </w:pPr>
                  <w:r>
                    <w:t>501</w:t>
                  </w:r>
                </w:p>
              </w:tc>
              <w:tc>
                <w:tcPr>
                  <w:tcW w:w="2492" w:type="dxa"/>
                  <w:shd w:val="clear" w:color="auto" w:fill="auto"/>
                  <w:vAlign w:val="center"/>
                </w:tcPr>
                <w:p>
                  <w:pPr>
                    <w:pStyle w:val="36"/>
                  </w:pPr>
                  <w:r>
                    <w:t>采用钢筋砼结构，净空断面</w:t>
                  </w:r>
                </w:p>
                <w:p>
                  <w:pPr>
                    <w:pStyle w:val="36"/>
                  </w:pPr>
                  <w:r>
                    <w:t>2000X2500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新建学苑路 D1000 雨水管</w:t>
                  </w:r>
                </w:p>
              </w:tc>
              <w:tc>
                <w:tcPr>
                  <w:tcW w:w="467" w:type="dxa"/>
                  <w:shd w:val="clear" w:color="auto" w:fill="auto"/>
                  <w:vAlign w:val="center"/>
                </w:tcPr>
                <w:p>
                  <w:pPr>
                    <w:pStyle w:val="36"/>
                  </w:pPr>
                  <w:r>
                    <w:t>m</w:t>
                  </w:r>
                </w:p>
              </w:tc>
              <w:tc>
                <w:tcPr>
                  <w:tcW w:w="1387" w:type="dxa"/>
                  <w:shd w:val="clear" w:color="auto" w:fill="auto"/>
                  <w:vAlign w:val="center"/>
                </w:tcPr>
                <w:p>
                  <w:pPr>
                    <w:pStyle w:val="36"/>
                  </w:pPr>
                  <w:r>
                    <w:t>360</w:t>
                  </w: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同步改造建设雨水支管 D500</w:t>
                  </w:r>
                </w:p>
              </w:tc>
              <w:tc>
                <w:tcPr>
                  <w:tcW w:w="467" w:type="dxa"/>
                  <w:shd w:val="clear" w:color="auto" w:fill="auto"/>
                  <w:vAlign w:val="center"/>
                </w:tcPr>
                <w:p>
                  <w:pPr>
                    <w:pStyle w:val="36"/>
                  </w:pPr>
                  <w:r>
                    <w:t>m</w:t>
                  </w:r>
                </w:p>
              </w:tc>
              <w:tc>
                <w:tcPr>
                  <w:tcW w:w="1387" w:type="dxa"/>
                  <w:shd w:val="clear" w:color="auto" w:fill="auto"/>
                  <w:vAlign w:val="center"/>
                </w:tcPr>
                <w:p>
                  <w:pPr>
                    <w:pStyle w:val="36"/>
                  </w:pPr>
                  <w:r>
                    <w:t>50</w:t>
                  </w: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d300 雨水联络管</w:t>
                  </w:r>
                </w:p>
              </w:tc>
              <w:tc>
                <w:tcPr>
                  <w:tcW w:w="467" w:type="dxa"/>
                  <w:shd w:val="clear" w:color="auto" w:fill="auto"/>
                  <w:vAlign w:val="center"/>
                </w:tcPr>
                <w:p>
                  <w:pPr>
                    <w:pStyle w:val="36"/>
                  </w:pPr>
                  <w:r>
                    <w:t>m</w:t>
                  </w:r>
                </w:p>
              </w:tc>
              <w:tc>
                <w:tcPr>
                  <w:tcW w:w="1387" w:type="dxa"/>
                  <w:shd w:val="clear" w:color="auto" w:fill="auto"/>
                  <w:vAlign w:val="center"/>
                </w:tcPr>
                <w:p>
                  <w:pPr>
                    <w:pStyle w:val="36"/>
                  </w:pPr>
                  <w:r>
                    <w:t>100</w:t>
                  </w: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雨水口</w:t>
                  </w:r>
                </w:p>
              </w:tc>
              <w:tc>
                <w:tcPr>
                  <w:tcW w:w="467" w:type="dxa"/>
                  <w:shd w:val="clear" w:color="auto" w:fill="auto"/>
                  <w:vAlign w:val="center"/>
                </w:tcPr>
                <w:p>
                  <w:pPr>
                    <w:pStyle w:val="36"/>
                  </w:pPr>
                  <w:r>
                    <w:t>座</w:t>
                  </w:r>
                </w:p>
              </w:tc>
              <w:tc>
                <w:tcPr>
                  <w:tcW w:w="1387" w:type="dxa"/>
                  <w:shd w:val="clear" w:color="auto" w:fill="auto"/>
                  <w:vAlign w:val="center"/>
                </w:tcPr>
                <w:p>
                  <w:pPr>
                    <w:pStyle w:val="36"/>
                  </w:pPr>
                  <w:r>
                    <w:t>10</w:t>
                  </w: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新增检查井</w:t>
                  </w:r>
                </w:p>
              </w:tc>
              <w:tc>
                <w:tcPr>
                  <w:tcW w:w="467" w:type="dxa"/>
                  <w:shd w:val="clear" w:color="auto" w:fill="auto"/>
                  <w:vAlign w:val="center"/>
                </w:tcPr>
                <w:p>
                  <w:pPr>
                    <w:pStyle w:val="36"/>
                  </w:pPr>
                  <w:r>
                    <w:t>个</w:t>
                  </w:r>
                </w:p>
              </w:tc>
              <w:tc>
                <w:tcPr>
                  <w:tcW w:w="1387" w:type="dxa"/>
                  <w:shd w:val="clear" w:color="auto" w:fill="auto"/>
                  <w:vAlign w:val="center"/>
                </w:tcPr>
                <w:p>
                  <w:pPr>
                    <w:pStyle w:val="36"/>
                  </w:pPr>
                  <w:r>
                    <w:t>10</w:t>
                  </w: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管线敷设时破除、恢复沥青路面</w:t>
                  </w:r>
                </w:p>
              </w:tc>
              <w:tc>
                <w:tcPr>
                  <w:tcW w:w="467" w:type="dxa"/>
                  <w:shd w:val="clear" w:color="auto" w:fill="auto"/>
                  <w:vAlign w:val="center"/>
                </w:tcPr>
                <w:p>
                  <w:pPr>
                    <w:pStyle w:val="36"/>
                  </w:pPr>
                  <w:r>
                    <w:t>㎡</w:t>
                  </w:r>
                </w:p>
              </w:tc>
              <w:tc>
                <w:tcPr>
                  <w:tcW w:w="1387" w:type="dxa"/>
                  <w:shd w:val="clear" w:color="auto" w:fill="auto"/>
                  <w:vAlign w:val="center"/>
                </w:tcPr>
                <w:p>
                  <w:pPr>
                    <w:pStyle w:val="36"/>
                  </w:pPr>
                  <w:r>
                    <w:t>400</w:t>
                  </w: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39" w:type="dxa"/>
                  <w:vMerge w:val="restart"/>
                  <w:shd w:val="clear" w:color="auto" w:fill="auto"/>
                  <w:vAlign w:val="center"/>
                </w:tcPr>
                <w:p>
                  <w:pPr>
                    <w:pStyle w:val="36"/>
                  </w:pPr>
                  <w:r>
                    <w:t>11</w:t>
                  </w:r>
                </w:p>
              </w:tc>
              <w:tc>
                <w:tcPr>
                  <w:tcW w:w="3379" w:type="dxa"/>
                  <w:shd w:val="clear" w:color="auto" w:fill="auto"/>
                  <w:vAlign w:val="center"/>
                </w:tcPr>
                <w:p>
                  <w:pPr>
                    <w:pStyle w:val="36"/>
                  </w:pPr>
                  <w:r>
                    <w:t>蜀北中路排水改造项目</w:t>
                  </w:r>
                </w:p>
              </w:tc>
              <w:tc>
                <w:tcPr>
                  <w:tcW w:w="467" w:type="dxa"/>
                  <w:shd w:val="clear" w:color="auto" w:fill="auto"/>
                  <w:vAlign w:val="center"/>
                </w:tcPr>
                <w:p>
                  <w:pPr>
                    <w:pStyle w:val="36"/>
                  </w:pPr>
                </w:p>
              </w:tc>
              <w:tc>
                <w:tcPr>
                  <w:tcW w:w="1387" w:type="dxa"/>
                  <w:shd w:val="clear" w:color="auto" w:fill="auto"/>
                  <w:vAlign w:val="center"/>
                </w:tcPr>
                <w:p>
                  <w:pPr>
                    <w:pStyle w:val="36"/>
                  </w:pP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D500 雨水管</w:t>
                  </w:r>
                </w:p>
              </w:tc>
              <w:tc>
                <w:tcPr>
                  <w:tcW w:w="467" w:type="dxa"/>
                  <w:shd w:val="clear" w:color="auto" w:fill="auto"/>
                  <w:vAlign w:val="center"/>
                </w:tcPr>
                <w:p>
                  <w:pPr>
                    <w:pStyle w:val="36"/>
                  </w:pPr>
                  <w:r>
                    <w:t>m</w:t>
                  </w:r>
                </w:p>
              </w:tc>
              <w:tc>
                <w:tcPr>
                  <w:tcW w:w="1387" w:type="dxa"/>
                  <w:shd w:val="clear" w:color="auto" w:fill="auto"/>
                  <w:vAlign w:val="center"/>
                </w:tcPr>
                <w:p>
                  <w:pPr>
                    <w:pStyle w:val="36"/>
                  </w:pPr>
                  <w:r>
                    <w:t>300</w:t>
                  </w: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d300 雨水联络管</w:t>
                  </w:r>
                </w:p>
              </w:tc>
              <w:tc>
                <w:tcPr>
                  <w:tcW w:w="467" w:type="dxa"/>
                  <w:shd w:val="clear" w:color="auto" w:fill="auto"/>
                  <w:vAlign w:val="center"/>
                </w:tcPr>
                <w:p>
                  <w:pPr>
                    <w:pStyle w:val="36"/>
                  </w:pPr>
                  <w:r>
                    <w:t>m</w:t>
                  </w:r>
                </w:p>
              </w:tc>
              <w:tc>
                <w:tcPr>
                  <w:tcW w:w="1387" w:type="dxa"/>
                  <w:shd w:val="clear" w:color="auto" w:fill="auto"/>
                  <w:vAlign w:val="center"/>
                </w:tcPr>
                <w:p>
                  <w:pPr>
                    <w:pStyle w:val="36"/>
                  </w:pPr>
                  <w:r>
                    <w:t>150</w:t>
                  </w: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雨水口</w:t>
                  </w:r>
                </w:p>
              </w:tc>
              <w:tc>
                <w:tcPr>
                  <w:tcW w:w="467" w:type="dxa"/>
                  <w:shd w:val="clear" w:color="auto" w:fill="auto"/>
                  <w:vAlign w:val="center"/>
                </w:tcPr>
                <w:p>
                  <w:pPr>
                    <w:pStyle w:val="36"/>
                  </w:pPr>
                  <w:r>
                    <w:t>座</w:t>
                  </w:r>
                </w:p>
              </w:tc>
              <w:tc>
                <w:tcPr>
                  <w:tcW w:w="1387" w:type="dxa"/>
                  <w:shd w:val="clear" w:color="auto" w:fill="auto"/>
                  <w:vAlign w:val="center"/>
                </w:tcPr>
                <w:p>
                  <w:pPr>
                    <w:pStyle w:val="36"/>
                  </w:pPr>
                  <w:r>
                    <w:t>110</w:t>
                  </w: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新增检查井</w:t>
                  </w:r>
                </w:p>
              </w:tc>
              <w:tc>
                <w:tcPr>
                  <w:tcW w:w="467" w:type="dxa"/>
                  <w:shd w:val="clear" w:color="auto" w:fill="auto"/>
                  <w:vAlign w:val="center"/>
                </w:tcPr>
                <w:p>
                  <w:pPr>
                    <w:pStyle w:val="36"/>
                  </w:pPr>
                  <w:r>
                    <w:t>个</w:t>
                  </w:r>
                </w:p>
              </w:tc>
              <w:tc>
                <w:tcPr>
                  <w:tcW w:w="1387" w:type="dxa"/>
                  <w:shd w:val="clear" w:color="auto" w:fill="auto"/>
                  <w:vAlign w:val="center"/>
                </w:tcPr>
                <w:p>
                  <w:pPr>
                    <w:pStyle w:val="36"/>
                  </w:pPr>
                  <w:r>
                    <w:t>10</w:t>
                  </w: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箱涵改建井筒</w:t>
                  </w:r>
                </w:p>
              </w:tc>
              <w:tc>
                <w:tcPr>
                  <w:tcW w:w="467" w:type="dxa"/>
                  <w:shd w:val="clear" w:color="auto" w:fill="auto"/>
                  <w:vAlign w:val="center"/>
                </w:tcPr>
                <w:p>
                  <w:pPr>
                    <w:pStyle w:val="36"/>
                  </w:pPr>
                  <w:r>
                    <w:t>个</w:t>
                  </w:r>
                </w:p>
              </w:tc>
              <w:tc>
                <w:tcPr>
                  <w:tcW w:w="1387" w:type="dxa"/>
                  <w:shd w:val="clear" w:color="auto" w:fill="auto"/>
                  <w:vAlign w:val="center"/>
                </w:tcPr>
                <w:p>
                  <w:pPr>
                    <w:pStyle w:val="36"/>
                  </w:pPr>
                  <w:r>
                    <w:t>50</w:t>
                  </w: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现状给水、燃气管线保护</w:t>
                  </w:r>
                </w:p>
              </w:tc>
              <w:tc>
                <w:tcPr>
                  <w:tcW w:w="467" w:type="dxa"/>
                  <w:shd w:val="clear" w:color="auto" w:fill="auto"/>
                  <w:vAlign w:val="center"/>
                </w:tcPr>
                <w:p>
                  <w:pPr>
                    <w:pStyle w:val="36"/>
                  </w:pPr>
                  <w:r>
                    <w:t>m</w:t>
                  </w:r>
                </w:p>
              </w:tc>
              <w:tc>
                <w:tcPr>
                  <w:tcW w:w="1387" w:type="dxa"/>
                  <w:shd w:val="clear" w:color="auto" w:fill="auto"/>
                  <w:vAlign w:val="center"/>
                </w:tcPr>
                <w:p>
                  <w:pPr>
                    <w:pStyle w:val="36"/>
                  </w:pPr>
                  <w:r>
                    <w:t>2000</w:t>
                  </w: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排水设施改造时破除、恢复沥青路面</w:t>
                  </w:r>
                </w:p>
              </w:tc>
              <w:tc>
                <w:tcPr>
                  <w:tcW w:w="467" w:type="dxa"/>
                  <w:shd w:val="clear" w:color="auto" w:fill="auto"/>
                  <w:vAlign w:val="center"/>
                </w:tcPr>
                <w:p>
                  <w:pPr>
                    <w:pStyle w:val="36"/>
                  </w:pPr>
                  <w:r>
                    <w:t>㎡</w:t>
                  </w:r>
                </w:p>
              </w:tc>
              <w:tc>
                <w:tcPr>
                  <w:tcW w:w="1387" w:type="dxa"/>
                  <w:shd w:val="clear" w:color="auto" w:fill="auto"/>
                  <w:vAlign w:val="center"/>
                </w:tcPr>
                <w:p>
                  <w:pPr>
                    <w:pStyle w:val="36"/>
                  </w:pPr>
                  <w:r>
                    <w:t>4512</w:t>
                  </w:r>
                </w:p>
                <w:p>
                  <w:pPr>
                    <w:pStyle w:val="36"/>
                  </w:pPr>
                  <w:r>
                    <w:t>0</w:t>
                  </w: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人行道铺装</w:t>
                  </w:r>
                </w:p>
              </w:tc>
              <w:tc>
                <w:tcPr>
                  <w:tcW w:w="467" w:type="dxa"/>
                  <w:shd w:val="clear" w:color="auto" w:fill="auto"/>
                  <w:vAlign w:val="center"/>
                </w:tcPr>
                <w:p>
                  <w:pPr>
                    <w:pStyle w:val="36"/>
                  </w:pPr>
                  <w:r>
                    <w:t>㎡</w:t>
                  </w:r>
                </w:p>
              </w:tc>
              <w:tc>
                <w:tcPr>
                  <w:tcW w:w="1387" w:type="dxa"/>
                  <w:shd w:val="clear" w:color="auto" w:fill="auto"/>
                  <w:vAlign w:val="center"/>
                </w:tcPr>
                <w:p>
                  <w:pPr>
                    <w:pStyle w:val="36"/>
                  </w:pPr>
                  <w:r>
                    <w:t>4000</w:t>
                  </w: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39" w:type="dxa"/>
                  <w:vMerge w:val="restart"/>
                  <w:shd w:val="clear" w:color="auto" w:fill="auto"/>
                  <w:vAlign w:val="center"/>
                </w:tcPr>
                <w:p>
                  <w:pPr>
                    <w:pStyle w:val="36"/>
                  </w:pPr>
                  <w:r>
                    <w:t>12</w:t>
                  </w:r>
                </w:p>
              </w:tc>
              <w:tc>
                <w:tcPr>
                  <w:tcW w:w="3379" w:type="dxa"/>
                  <w:shd w:val="clear" w:color="auto" w:fill="auto"/>
                  <w:vAlign w:val="center"/>
                </w:tcPr>
                <w:p>
                  <w:pPr>
                    <w:pStyle w:val="36"/>
                  </w:pPr>
                  <w:r>
                    <w:t>普宁街排洪通道项目</w:t>
                  </w:r>
                </w:p>
              </w:tc>
              <w:tc>
                <w:tcPr>
                  <w:tcW w:w="467" w:type="dxa"/>
                  <w:shd w:val="clear" w:color="auto" w:fill="auto"/>
                  <w:vAlign w:val="center"/>
                </w:tcPr>
                <w:p>
                  <w:pPr>
                    <w:pStyle w:val="36"/>
                  </w:pPr>
                </w:p>
              </w:tc>
              <w:tc>
                <w:tcPr>
                  <w:tcW w:w="1387" w:type="dxa"/>
                  <w:shd w:val="clear" w:color="auto" w:fill="auto"/>
                  <w:vAlign w:val="center"/>
                </w:tcPr>
                <w:p>
                  <w:pPr>
                    <w:pStyle w:val="36"/>
                  </w:pP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建普宁街排洪箱涵</w:t>
                  </w:r>
                </w:p>
              </w:tc>
              <w:tc>
                <w:tcPr>
                  <w:tcW w:w="467" w:type="dxa"/>
                  <w:shd w:val="clear" w:color="auto" w:fill="auto"/>
                  <w:vAlign w:val="center"/>
                </w:tcPr>
                <w:p>
                  <w:pPr>
                    <w:pStyle w:val="36"/>
                  </w:pPr>
                  <w:r>
                    <w:t>m</w:t>
                  </w:r>
                </w:p>
              </w:tc>
              <w:tc>
                <w:tcPr>
                  <w:tcW w:w="1387" w:type="dxa"/>
                  <w:shd w:val="clear" w:color="auto" w:fill="auto"/>
                  <w:vAlign w:val="center"/>
                </w:tcPr>
                <w:p>
                  <w:pPr>
                    <w:pStyle w:val="36"/>
                  </w:pPr>
                  <w:r>
                    <w:t>30</w:t>
                  </w:r>
                </w:p>
              </w:tc>
              <w:tc>
                <w:tcPr>
                  <w:tcW w:w="2492" w:type="dxa"/>
                  <w:shd w:val="clear" w:color="auto" w:fill="auto"/>
                  <w:vAlign w:val="center"/>
                </w:tcPr>
                <w:p>
                  <w:pPr>
                    <w:pStyle w:val="36"/>
                  </w:pPr>
                  <w:r>
                    <w:t>采用钢筋砼结构，净空断面</w:t>
                  </w:r>
                </w:p>
                <w:p>
                  <w:pPr>
                    <w:pStyle w:val="36"/>
                  </w:pPr>
                  <w:r>
                    <w:t>4000X3000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d300 雨水联络管</w:t>
                  </w:r>
                </w:p>
              </w:tc>
              <w:tc>
                <w:tcPr>
                  <w:tcW w:w="467" w:type="dxa"/>
                  <w:shd w:val="clear" w:color="auto" w:fill="auto"/>
                  <w:vAlign w:val="center"/>
                </w:tcPr>
                <w:p>
                  <w:pPr>
                    <w:pStyle w:val="36"/>
                  </w:pPr>
                  <w:r>
                    <w:t>m</w:t>
                  </w:r>
                </w:p>
              </w:tc>
              <w:tc>
                <w:tcPr>
                  <w:tcW w:w="1387" w:type="dxa"/>
                  <w:shd w:val="clear" w:color="auto" w:fill="auto"/>
                  <w:vAlign w:val="center"/>
                </w:tcPr>
                <w:p>
                  <w:pPr>
                    <w:pStyle w:val="36"/>
                  </w:pPr>
                  <w:r>
                    <w:t>10</w:t>
                  </w: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雨水口</w:t>
                  </w:r>
                </w:p>
              </w:tc>
              <w:tc>
                <w:tcPr>
                  <w:tcW w:w="467" w:type="dxa"/>
                  <w:shd w:val="clear" w:color="auto" w:fill="auto"/>
                  <w:vAlign w:val="center"/>
                </w:tcPr>
                <w:p>
                  <w:pPr>
                    <w:pStyle w:val="36"/>
                  </w:pPr>
                  <w:r>
                    <w:t>座</w:t>
                  </w:r>
                </w:p>
              </w:tc>
              <w:tc>
                <w:tcPr>
                  <w:tcW w:w="1387" w:type="dxa"/>
                  <w:shd w:val="clear" w:color="auto" w:fill="auto"/>
                  <w:vAlign w:val="center"/>
                </w:tcPr>
                <w:p>
                  <w:pPr>
                    <w:pStyle w:val="36"/>
                  </w:pPr>
                  <w:r>
                    <w:t>20</w:t>
                  </w: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新增检查井</w:t>
                  </w:r>
                </w:p>
              </w:tc>
              <w:tc>
                <w:tcPr>
                  <w:tcW w:w="467" w:type="dxa"/>
                  <w:shd w:val="clear" w:color="auto" w:fill="auto"/>
                  <w:vAlign w:val="center"/>
                </w:tcPr>
                <w:p>
                  <w:pPr>
                    <w:pStyle w:val="36"/>
                  </w:pPr>
                  <w:r>
                    <w:t>个</w:t>
                  </w:r>
                </w:p>
              </w:tc>
              <w:tc>
                <w:tcPr>
                  <w:tcW w:w="1387" w:type="dxa"/>
                  <w:shd w:val="clear" w:color="auto" w:fill="auto"/>
                  <w:vAlign w:val="center"/>
                </w:tcPr>
                <w:p>
                  <w:pPr>
                    <w:pStyle w:val="36"/>
                  </w:pPr>
                  <w:r>
                    <w:t>8</w:t>
                  </w: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修复熙悦府周边现状排洪箱涵</w:t>
                  </w:r>
                </w:p>
              </w:tc>
              <w:tc>
                <w:tcPr>
                  <w:tcW w:w="467" w:type="dxa"/>
                  <w:shd w:val="clear" w:color="auto" w:fill="auto"/>
                  <w:vAlign w:val="center"/>
                </w:tcPr>
                <w:p>
                  <w:pPr>
                    <w:pStyle w:val="36"/>
                  </w:pPr>
                  <w:r>
                    <w:t>m</w:t>
                  </w:r>
                </w:p>
              </w:tc>
              <w:tc>
                <w:tcPr>
                  <w:tcW w:w="1387" w:type="dxa"/>
                  <w:shd w:val="clear" w:color="auto" w:fill="auto"/>
                  <w:vAlign w:val="center"/>
                </w:tcPr>
                <w:p>
                  <w:pPr>
                    <w:pStyle w:val="36"/>
                  </w:pPr>
                  <w:r>
                    <w:t>50</w:t>
                  </w:r>
                </w:p>
              </w:tc>
              <w:tc>
                <w:tcPr>
                  <w:tcW w:w="2492" w:type="dxa"/>
                  <w:shd w:val="clear" w:color="auto" w:fill="auto"/>
                  <w:vAlign w:val="center"/>
                </w:tcPr>
                <w:p>
                  <w:pPr>
                    <w:pStyle w:val="36"/>
                  </w:pPr>
                  <w:r>
                    <w:t>钢筋砼结构，净空断面 5000X3000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含箱涵及管线敷设时破除、恢复沥青路</w:t>
                  </w:r>
                </w:p>
                <w:p>
                  <w:pPr>
                    <w:pStyle w:val="36"/>
                  </w:pPr>
                  <w:r>
                    <w:t>面</w:t>
                  </w:r>
                </w:p>
              </w:tc>
              <w:tc>
                <w:tcPr>
                  <w:tcW w:w="467" w:type="dxa"/>
                  <w:shd w:val="clear" w:color="auto" w:fill="auto"/>
                  <w:vAlign w:val="center"/>
                </w:tcPr>
                <w:p>
                  <w:pPr>
                    <w:pStyle w:val="36"/>
                  </w:pPr>
                  <w:r>
                    <w:t>㎡</w:t>
                  </w:r>
                </w:p>
              </w:tc>
              <w:tc>
                <w:tcPr>
                  <w:tcW w:w="1387" w:type="dxa"/>
                  <w:shd w:val="clear" w:color="auto" w:fill="auto"/>
                  <w:vAlign w:val="center"/>
                </w:tcPr>
                <w:p>
                  <w:pPr>
                    <w:pStyle w:val="36"/>
                  </w:pPr>
                  <w:r>
                    <w:t>2700</w:t>
                  </w: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39" w:type="dxa"/>
                  <w:vMerge w:val="restart"/>
                  <w:shd w:val="clear" w:color="auto" w:fill="auto"/>
                  <w:vAlign w:val="center"/>
                </w:tcPr>
                <w:p>
                  <w:pPr>
                    <w:pStyle w:val="36"/>
                  </w:pPr>
                  <w:r>
                    <w:t>13</w:t>
                  </w:r>
                </w:p>
              </w:tc>
              <w:tc>
                <w:tcPr>
                  <w:tcW w:w="3379" w:type="dxa"/>
                  <w:shd w:val="clear" w:color="auto" w:fill="auto"/>
                  <w:vAlign w:val="center"/>
                </w:tcPr>
                <w:p>
                  <w:pPr>
                    <w:pStyle w:val="36"/>
                  </w:pPr>
                  <w:r>
                    <w:t>芝溪河调蓄闸门工程</w:t>
                  </w:r>
                </w:p>
              </w:tc>
              <w:tc>
                <w:tcPr>
                  <w:tcW w:w="467" w:type="dxa"/>
                  <w:shd w:val="clear" w:color="auto" w:fill="auto"/>
                  <w:vAlign w:val="center"/>
                </w:tcPr>
                <w:p>
                  <w:pPr>
                    <w:pStyle w:val="36"/>
                  </w:pPr>
                </w:p>
              </w:tc>
              <w:tc>
                <w:tcPr>
                  <w:tcW w:w="1387" w:type="dxa"/>
                  <w:shd w:val="clear" w:color="auto" w:fill="auto"/>
                  <w:vAlign w:val="center"/>
                </w:tcPr>
                <w:p>
                  <w:pPr>
                    <w:pStyle w:val="36"/>
                  </w:pP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622"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新建调蓄闸门</w:t>
                  </w:r>
                </w:p>
              </w:tc>
              <w:tc>
                <w:tcPr>
                  <w:tcW w:w="467" w:type="dxa"/>
                  <w:shd w:val="clear" w:color="auto" w:fill="auto"/>
                  <w:vAlign w:val="center"/>
                </w:tcPr>
                <w:p>
                  <w:pPr>
                    <w:pStyle w:val="36"/>
                  </w:pPr>
                  <w:r>
                    <w:t>处</w:t>
                  </w:r>
                </w:p>
              </w:tc>
              <w:tc>
                <w:tcPr>
                  <w:tcW w:w="1387" w:type="dxa"/>
                  <w:shd w:val="clear" w:color="auto" w:fill="auto"/>
                  <w:vAlign w:val="center"/>
                </w:tcPr>
                <w:p>
                  <w:pPr>
                    <w:pStyle w:val="36"/>
                  </w:pPr>
                  <w:r>
                    <w:t>1</w:t>
                  </w:r>
                </w:p>
              </w:tc>
              <w:tc>
                <w:tcPr>
                  <w:tcW w:w="2492" w:type="dxa"/>
                  <w:shd w:val="clear" w:color="auto" w:fill="auto"/>
                  <w:vAlign w:val="center"/>
                </w:tcPr>
                <w:p>
                  <w:pPr>
                    <w:pStyle w:val="36"/>
                  </w:pPr>
                  <w:r>
                    <w:t>闸室总宽约 50m，防洪标准为 20 年</w:t>
                  </w:r>
                </w:p>
                <w:p>
                  <w:pPr>
                    <w:pStyle w:val="36"/>
                  </w:pPr>
                  <w:r>
                    <w:t>一遇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河堤改造、临时导流等工程</w:t>
                  </w:r>
                </w:p>
              </w:tc>
              <w:tc>
                <w:tcPr>
                  <w:tcW w:w="467" w:type="dxa"/>
                  <w:shd w:val="clear" w:color="auto" w:fill="auto"/>
                  <w:vAlign w:val="center"/>
                </w:tcPr>
                <w:p>
                  <w:pPr>
                    <w:pStyle w:val="36"/>
                  </w:pPr>
                  <w:r>
                    <w:t>项</w:t>
                  </w:r>
                </w:p>
              </w:tc>
              <w:tc>
                <w:tcPr>
                  <w:tcW w:w="1387" w:type="dxa"/>
                  <w:shd w:val="clear" w:color="auto" w:fill="auto"/>
                  <w:vAlign w:val="center"/>
                </w:tcPr>
                <w:p>
                  <w:pPr>
                    <w:pStyle w:val="36"/>
                  </w:pPr>
                  <w:r>
                    <w:t>1</w:t>
                  </w:r>
                </w:p>
              </w:tc>
              <w:tc>
                <w:tcPr>
                  <w:tcW w:w="2492" w:type="dxa"/>
                  <w:shd w:val="clear" w:color="auto" w:fill="auto"/>
                  <w:vAlign w:val="center"/>
                </w:tcPr>
                <w:p>
                  <w:pPr>
                    <w:pStyle w:val="36"/>
                  </w:pPr>
                  <w:r>
                    <w:t>河道宽 30m</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jc w:val="center"/>
              </w:trPr>
              <w:tc>
                <w:tcPr>
                  <w:tcW w:w="439" w:type="dxa"/>
                  <w:vMerge w:val="restart"/>
                  <w:shd w:val="clear" w:color="auto" w:fill="auto"/>
                  <w:vAlign w:val="center"/>
                </w:tcPr>
                <w:p>
                  <w:pPr>
                    <w:pStyle w:val="36"/>
                  </w:pPr>
                  <w:r>
                    <w:t>14</w:t>
                  </w:r>
                </w:p>
              </w:tc>
              <w:tc>
                <w:tcPr>
                  <w:tcW w:w="3379" w:type="dxa"/>
                  <w:shd w:val="clear" w:color="auto" w:fill="auto"/>
                  <w:vAlign w:val="center"/>
                </w:tcPr>
                <w:p>
                  <w:pPr>
                    <w:pStyle w:val="36"/>
                  </w:pPr>
                  <w:r>
                    <w:t>碧山庙村拱堰改造工程</w:t>
                  </w:r>
                </w:p>
              </w:tc>
              <w:tc>
                <w:tcPr>
                  <w:tcW w:w="467" w:type="dxa"/>
                  <w:shd w:val="clear" w:color="auto" w:fill="auto"/>
                  <w:vAlign w:val="center"/>
                </w:tcPr>
                <w:p>
                  <w:pPr>
                    <w:pStyle w:val="36"/>
                  </w:pPr>
                </w:p>
              </w:tc>
              <w:tc>
                <w:tcPr>
                  <w:tcW w:w="1387" w:type="dxa"/>
                  <w:shd w:val="clear" w:color="auto" w:fill="auto"/>
                  <w:vAlign w:val="center"/>
                </w:tcPr>
                <w:p>
                  <w:pPr>
                    <w:pStyle w:val="36"/>
                  </w:pPr>
                </w:p>
              </w:tc>
              <w:tc>
                <w:tcPr>
                  <w:tcW w:w="2492" w:type="dxa"/>
                  <w:shd w:val="clear" w:color="auto" w:fill="auto"/>
                  <w:vAlign w:val="center"/>
                </w:tcPr>
                <w:p>
                  <w:pPr>
                    <w:pStyle w:val="36"/>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改造芝溪河碧山庙村拱堰</w:t>
                  </w:r>
                </w:p>
              </w:tc>
              <w:tc>
                <w:tcPr>
                  <w:tcW w:w="467" w:type="dxa"/>
                  <w:shd w:val="clear" w:color="auto" w:fill="auto"/>
                  <w:vAlign w:val="center"/>
                </w:tcPr>
                <w:p>
                  <w:pPr>
                    <w:pStyle w:val="36"/>
                  </w:pPr>
                  <w:r>
                    <w:t>m</w:t>
                  </w:r>
                </w:p>
              </w:tc>
              <w:tc>
                <w:tcPr>
                  <w:tcW w:w="1387" w:type="dxa"/>
                  <w:shd w:val="clear" w:color="auto" w:fill="auto"/>
                  <w:vAlign w:val="center"/>
                </w:tcPr>
                <w:p>
                  <w:pPr>
                    <w:pStyle w:val="36"/>
                  </w:pPr>
                  <w:r>
                    <w:t>62</w:t>
                  </w:r>
                </w:p>
              </w:tc>
              <w:tc>
                <w:tcPr>
                  <w:tcW w:w="2492" w:type="dxa"/>
                  <w:shd w:val="clear" w:color="auto" w:fill="auto"/>
                  <w:vAlign w:val="center"/>
                </w:tcPr>
                <w:p>
                  <w:pPr>
                    <w:pStyle w:val="36"/>
                  </w:pPr>
                  <w:r>
                    <w:t>顶宽约 1.0m，坝高约 6.5m，含河堤</w:t>
                  </w:r>
                </w:p>
                <w:p>
                  <w:pPr>
                    <w:pStyle w:val="36"/>
                  </w:pPr>
                  <w:r>
                    <w:t>改造、临时导流等工程</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jc w:val="center"/>
              </w:trPr>
              <w:tc>
                <w:tcPr>
                  <w:tcW w:w="439" w:type="dxa"/>
                  <w:vMerge w:val="restart"/>
                  <w:shd w:val="clear" w:color="auto" w:fill="auto"/>
                  <w:vAlign w:val="center"/>
                </w:tcPr>
                <w:p>
                  <w:pPr>
                    <w:pStyle w:val="36"/>
                  </w:pPr>
                  <w:r>
                    <w:t>15</w:t>
                  </w:r>
                </w:p>
              </w:tc>
              <w:tc>
                <w:tcPr>
                  <w:tcW w:w="3379" w:type="dxa"/>
                  <w:shd w:val="clear" w:color="auto" w:fill="auto"/>
                  <w:vAlign w:val="center"/>
                </w:tcPr>
                <w:p>
                  <w:pPr>
                    <w:pStyle w:val="36"/>
                  </w:pPr>
                  <w:r>
                    <w:t>县城内涝整治及管网修复项目</w:t>
                  </w:r>
                </w:p>
              </w:tc>
              <w:tc>
                <w:tcPr>
                  <w:tcW w:w="467" w:type="dxa"/>
                  <w:shd w:val="clear" w:color="auto" w:fill="auto"/>
                  <w:vAlign w:val="center"/>
                </w:tcPr>
                <w:p>
                  <w:pPr>
                    <w:pStyle w:val="36"/>
                  </w:pPr>
                </w:p>
              </w:tc>
              <w:tc>
                <w:tcPr>
                  <w:tcW w:w="1387" w:type="dxa"/>
                  <w:shd w:val="clear" w:color="auto" w:fill="auto"/>
                  <w:vAlign w:val="center"/>
                </w:tcPr>
                <w:p>
                  <w:pPr>
                    <w:pStyle w:val="36"/>
                  </w:pP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新建、改建雨水管网，对县城现状雨水</w:t>
                  </w:r>
                </w:p>
                <w:p>
                  <w:pPr>
                    <w:pStyle w:val="36"/>
                  </w:pPr>
                  <w:r>
                    <w:t>管网进行检测、修复</w:t>
                  </w:r>
                </w:p>
              </w:tc>
              <w:tc>
                <w:tcPr>
                  <w:tcW w:w="467" w:type="dxa"/>
                  <w:shd w:val="clear" w:color="auto" w:fill="auto"/>
                  <w:vAlign w:val="center"/>
                </w:tcPr>
                <w:p>
                  <w:pPr>
                    <w:pStyle w:val="36"/>
                  </w:pPr>
                  <w:r>
                    <w:t>m</w:t>
                  </w:r>
                </w:p>
              </w:tc>
              <w:tc>
                <w:tcPr>
                  <w:tcW w:w="1387" w:type="dxa"/>
                  <w:shd w:val="clear" w:color="auto" w:fill="auto"/>
                  <w:vAlign w:val="center"/>
                </w:tcPr>
                <w:p>
                  <w:pPr>
                    <w:pStyle w:val="36"/>
                  </w:pPr>
                  <w:r>
                    <w:t>1200</w:t>
                  </w: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大型移动泵车（龙吸水）</w:t>
                  </w:r>
                </w:p>
              </w:tc>
              <w:tc>
                <w:tcPr>
                  <w:tcW w:w="467" w:type="dxa"/>
                  <w:shd w:val="clear" w:color="auto" w:fill="auto"/>
                  <w:vAlign w:val="center"/>
                </w:tcPr>
                <w:p>
                  <w:pPr>
                    <w:pStyle w:val="36"/>
                  </w:pPr>
                  <w:r>
                    <w:t>辆</w:t>
                  </w:r>
                </w:p>
              </w:tc>
              <w:tc>
                <w:tcPr>
                  <w:tcW w:w="1387" w:type="dxa"/>
                  <w:shd w:val="clear" w:color="auto" w:fill="auto"/>
                  <w:vAlign w:val="center"/>
                </w:tcPr>
                <w:p>
                  <w:pPr>
                    <w:pStyle w:val="36"/>
                  </w:pPr>
                  <w:r>
                    <w:t>2.00</w:t>
                  </w:r>
                </w:p>
              </w:tc>
              <w:tc>
                <w:tcPr>
                  <w:tcW w:w="2492" w:type="dxa"/>
                  <w:shd w:val="clear" w:color="auto" w:fill="auto"/>
                  <w:vAlign w:val="center"/>
                </w:tcPr>
                <w:p>
                  <w:pPr>
                    <w:pStyle w:val="36"/>
                  </w:pPr>
                  <w:r>
                    <w:t>（抽水能力 1000m³/小时）</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大流量潜水泵</w:t>
                  </w:r>
                </w:p>
              </w:tc>
              <w:tc>
                <w:tcPr>
                  <w:tcW w:w="467" w:type="dxa"/>
                  <w:shd w:val="clear" w:color="auto" w:fill="auto"/>
                  <w:vAlign w:val="center"/>
                </w:tcPr>
                <w:p>
                  <w:pPr>
                    <w:pStyle w:val="36"/>
                  </w:pPr>
                  <w:r>
                    <w:t>台</w:t>
                  </w:r>
                </w:p>
              </w:tc>
              <w:tc>
                <w:tcPr>
                  <w:tcW w:w="1387" w:type="dxa"/>
                  <w:shd w:val="clear" w:color="auto" w:fill="auto"/>
                  <w:vAlign w:val="center"/>
                </w:tcPr>
                <w:p>
                  <w:pPr>
                    <w:pStyle w:val="36"/>
                  </w:pPr>
                  <w:r>
                    <w:t>8.00</w:t>
                  </w:r>
                </w:p>
              </w:tc>
              <w:tc>
                <w:tcPr>
                  <w:tcW w:w="2492" w:type="dxa"/>
                  <w:shd w:val="clear" w:color="auto" w:fill="auto"/>
                  <w:vAlign w:val="center"/>
                </w:tcPr>
                <w:p>
                  <w:pPr>
                    <w:pStyle w:val="36"/>
                  </w:pPr>
                  <w:r>
                    <w:t>（每台抽水能力 300m³/小时）</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高扬程潜水泵</w:t>
                  </w:r>
                </w:p>
              </w:tc>
              <w:tc>
                <w:tcPr>
                  <w:tcW w:w="467" w:type="dxa"/>
                  <w:shd w:val="clear" w:color="auto" w:fill="auto"/>
                  <w:vAlign w:val="center"/>
                </w:tcPr>
                <w:p>
                  <w:pPr>
                    <w:pStyle w:val="36"/>
                  </w:pPr>
                  <w:r>
                    <w:t>台</w:t>
                  </w:r>
                </w:p>
              </w:tc>
              <w:tc>
                <w:tcPr>
                  <w:tcW w:w="1387" w:type="dxa"/>
                  <w:shd w:val="clear" w:color="auto" w:fill="auto"/>
                  <w:vAlign w:val="center"/>
                </w:tcPr>
                <w:p>
                  <w:pPr>
                    <w:pStyle w:val="36"/>
                  </w:pPr>
                  <w:r>
                    <w:t>5.00</w:t>
                  </w:r>
                </w:p>
              </w:tc>
              <w:tc>
                <w:tcPr>
                  <w:tcW w:w="2492" w:type="dxa"/>
                  <w:shd w:val="clear" w:color="auto" w:fill="auto"/>
                  <w:vAlign w:val="center"/>
                </w:tcPr>
                <w:p>
                  <w:pPr>
                    <w:pStyle w:val="36"/>
                  </w:pPr>
                  <w:r>
                    <w:t>（抽水能力 200m³/小时）</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移动式小型潜水泵</w:t>
                  </w:r>
                </w:p>
              </w:tc>
              <w:tc>
                <w:tcPr>
                  <w:tcW w:w="467" w:type="dxa"/>
                  <w:shd w:val="clear" w:color="auto" w:fill="auto"/>
                  <w:vAlign w:val="center"/>
                </w:tcPr>
                <w:p>
                  <w:pPr>
                    <w:pStyle w:val="36"/>
                  </w:pPr>
                  <w:r>
                    <w:t>台</w:t>
                  </w:r>
                </w:p>
              </w:tc>
              <w:tc>
                <w:tcPr>
                  <w:tcW w:w="1387" w:type="dxa"/>
                  <w:shd w:val="clear" w:color="auto" w:fill="auto"/>
                  <w:vAlign w:val="center"/>
                </w:tcPr>
                <w:p>
                  <w:pPr>
                    <w:pStyle w:val="36"/>
                  </w:pPr>
                  <w:r>
                    <w:t>10.0</w:t>
                  </w:r>
                </w:p>
                <w:p>
                  <w:pPr>
                    <w:pStyle w:val="36"/>
                  </w:pPr>
                  <w:r>
                    <w:t>0</w:t>
                  </w:r>
                </w:p>
              </w:tc>
              <w:tc>
                <w:tcPr>
                  <w:tcW w:w="2492" w:type="dxa"/>
                  <w:shd w:val="clear" w:color="auto" w:fill="auto"/>
                  <w:vAlign w:val="center"/>
                </w:tcPr>
                <w:p>
                  <w:pPr>
                    <w:pStyle w:val="36"/>
                  </w:pPr>
                  <w:r>
                    <w:t>（抽水能力 200m³/小时）</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50kw 移动发电车</w:t>
                  </w:r>
                </w:p>
              </w:tc>
              <w:tc>
                <w:tcPr>
                  <w:tcW w:w="467" w:type="dxa"/>
                  <w:shd w:val="clear" w:color="auto" w:fill="auto"/>
                  <w:vAlign w:val="center"/>
                </w:tcPr>
                <w:p>
                  <w:pPr>
                    <w:pStyle w:val="36"/>
                  </w:pPr>
                  <w:r>
                    <w:t>辆</w:t>
                  </w:r>
                </w:p>
              </w:tc>
              <w:tc>
                <w:tcPr>
                  <w:tcW w:w="1387" w:type="dxa"/>
                  <w:shd w:val="clear" w:color="auto" w:fill="auto"/>
                  <w:vAlign w:val="center"/>
                </w:tcPr>
                <w:p>
                  <w:pPr>
                    <w:pStyle w:val="36"/>
                  </w:pPr>
                  <w:r>
                    <w:t>1.00</w:t>
                  </w: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6-10kw 固定发电机</w:t>
                  </w:r>
                </w:p>
              </w:tc>
              <w:tc>
                <w:tcPr>
                  <w:tcW w:w="467" w:type="dxa"/>
                  <w:shd w:val="clear" w:color="auto" w:fill="auto"/>
                  <w:vAlign w:val="center"/>
                </w:tcPr>
                <w:p>
                  <w:pPr>
                    <w:pStyle w:val="36"/>
                  </w:pPr>
                  <w:r>
                    <w:t>台</w:t>
                  </w:r>
                </w:p>
              </w:tc>
              <w:tc>
                <w:tcPr>
                  <w:tcW w:w="1387" w:type="dxa"/>
                  <w:shd w:val="clear" w:color="auto" w:fill="auto"/>
                  <w:vAlign w:val="center"/>
                </w:tcPr>
                <w:p>
                  <w:pPr>
                    <w:pStyle w:val="36"/>
                  </w:pPr>
                  <w:r>
                    <w:t>5.00</w:t>
                  </w: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阻水板</w:t>
                  </w:r>
                </w:p>
              </w:tc>
              <w:tc>
                <w:tcPr>
                  <w:tcW w:w="467" w:type="dxa"/>
                  <w:shd w:val="clear" w:color="auto" w:fill="auto"/>
                  <w:vAlign w:val="center"/>
                </w:tcPr>
                <w:p>
                  <w:pPr>
                    <w:pStyle w:val="36"/>
                  </w:pPr>
                  <w:r>
                    <w:t>米</w:t>
                  </w:r>
                </w:p>
              </w:tc>
              <w:tc>
                <w:tcPr>
                  <w:tcW w:w="1387" w:type="dxa"/>
                  <w:shd w:val="clear" w:color="auto" w:fill="auto"/>
                  <w:vAlign w:val="center"/>
                </w:tcPr>
                <w:p>
                  <w:pPr>
                    <w:pStyle w:val="36"/>
                  </w:pPr>
                  <w:r>
                    <w:t>2000</w:t>
                  </w:r>
                </w:p>
                <w:p>
                  <w:pPr>
                    <w:pStyle w:val="36"/>
                  </w:pPr>
                  <w:r>
                    <w:t>.00</w:t>
                  </w: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防水沙袋</w:t>
                  </w:r>
                </w:p>
              </w:tc>
              <w:tc>
                <w:tcPr>
                  <w:tcW w:w="467" w:type="dxa"/>
                  <w:shd w:val="clear" w:color="auto" w:fill="auto"/>
                  <w:vAlign w:val="center"/>
                </w:tcPr>
                <w:p>
                  <w:pPr>
                    <w:pStyle w:val="36"/>
                  </w:pPr>
                  <w:r>
                    <w:t>条</w:t>
                  </w:r>
                </w:p>
              </w:tc>
              <w:tc>
                <w:tcPr>
                  <w:tcW w:w="1387" w:type="dxa"/>
                  <w:shd w:val="clear" w:color="auto" w:fill="auto"/>
                  <w:vAlign w:val="center"/>
                </w:tcPr>
                <w:p>
                  <w:pPr>
                    <w:pStyle w:val="36"/>
                  </w:pPr>
                  <w:r>
                    <w:t>5000</w:t>
                  </w:r>
                </w:p>
                <w:p>
                  <w:pPr>
                    <w:pStyle w:val="36"/>
                  </w:pPr>
                  <w:r>
                    <w:t>.00</w:t>
                  </w: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10000 流明强光手电</w:t>
                  </w:r>
                </w:p>
              </w:tc>
              <w:tc>
                <w:tcPr>
                  <w:tcW w:w="467" w:type="dxa"/>
                  <w:shd w:val="clear" w:color="auto" w:fill="auto"/>
                  <w:vAlign w:val="center"/>
                </w:tcPr>
                <w:p>
                  <w:pPr>
                    <w:pStyle w:val="36"/>
                  </w:pPr>
                  <w:r>
                    <w:t>部</w:t>
                  </w:r>
                </w:p>
              </w:tc>
              <w:tc>
                <w:tcPr>
                  <w:tcW w:w="1387" w:type="dxa"/>
                  <w:shd w:val="clear" w:color="auto" w:fill="auto"/>
                  <w:vAlign w:val="center"/>
                </w:tcPr>
                <w:p>
                  <w:pPr>
                    <w:pStyle w:val="36"/>
                  </w:pPr>
                  <w:r>
                    <w:t>80.0</w:t>
                  </w:r>
                </w:p>
                <w:p>
                  <w:pPr>
                    <w:pStyle w:val="36"/>
                  </w:pPr>
                  <w:r>
                    <w:t>0</w:t>
                  </w: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救生衣</w:t>
                  </w:r>
                </w:p>
              </w:tc>
              <w:tc>
                <w:tcPr>
                  <w:tcW w:w="467" w:type="dxa"/>
                  <w:shd w:val="clear" w:color="auto" w:fill="auto"/>
                  <w:vAlign w:val="center"/>
                </w:tcPr>
                <w:p>
                  <w:pPr>
                    <w:pStyle w:val="36"/>
                  </w:pPr>
                  <w:r>
                    <w:t>套</w:t>
                  </w:r>
                </w:p>
              </w:tc>
              <w:tc>
                <w:tcPr>
                  <w:tcW w:w="1387" w:type="dxa"/>
                  <w:shd w:val="clear" w:color="auto" w:fill="auto"/>
                  <w:vAlign w:val="center"/>
                </w:tcPr>
                <w:p>
                  <w:pPr>
                    <w:pStyle w:val="36"/>
                  </w:pPr>
                  <w:r>
                    <w:t>100.</w:t>
                  </w:r>
                </w:p>
                <w:p>
                  <w:pPr>
                    <w:pStyle w:val="36"/>
                  </w:pPr>
                  <w:r>
                    <w:t>00</w:t>
                  </w: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jc w:val="center"/>
              </w:trPr>
              <w:tc>
                <w:tcPr>
                  <w:tcW w:w="439" w:type="dxa"/>
                  <w:vMerge w:val="restart"/>
                  <w:shd w:val="clear" w:color="auto" w:fill="auto"/>
                  <w:vAlign w:val="center"/>
                </w:tcPr>
                <w:p>
                  <w:pPr>
                    <w:pStyle w:val="36"/>
                  </w:pPr>
                  <w:r>
                    <w:t>16</w:t>
                  </w:r>
                </w:p>
              </w:tc>
              <w:tc>
                <w:tcPr>
                  <w:tcW w:w="3379" w:type="dxa"/>
                  <w:shd w:val="clear" w:color="auto" w:fill="auto"/>
                  <w:vAlign w:val="center"/>
                </w:tcPr>
                <w:p>
                  <w:pPr>
                    <w:pStyle w:val="36"/>
                  </w:pPr>
                  <w:r>
                    <w:t>上游片区排水改造工程</w:t>
                  </w:r>
                </w:p>
              </w:tc>
              <w:tc>
                <w:tcPr>
                  <w:tcW w:w="467" w:type="dxa"/>
                  <w:shd w:val="clear" w:color="auto" w:fill="auto"/>
                  <w:vAlign w:val="center"/>
                </w:tcPr>
                <w:p>
                  <w:pPr>
                    <w:pStyle w:val="36"/>
                  </w:pPr>
                </w:p>
              </w:tc>
              <w:tc>
                <w:tcPr>
                  <w:tcW w:w="1387" w:type="dxa"/>
                  <w:shd w:val="clear" w:color="auto" w:fill="auto"/>
                  <w:vAlign w:val="center"/>
                </w:tcPr>
                <w:p>
                  <w:pPr>
                    <w:pStyle w:val="36"/>
                  </w:pP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新建 d300 雨水联络管</w:t>
                  </w:r>
                </w:p>
              </w:tc>
              <w:tc>
                <w:tcPr>
                  <w:tcW w:w="467" w:type="dxa"/>
                  <w:shd w:val="clear" w:color="auto" w:fill="auto"/>
                  <w:vAlign w:val="center"/>
                </w:tcPr>
                <w:p>
                  <w:pPr>
                    <w:pStyle w:val="36"/>
                  </w:pPr>
                  <w:r>
                    <w:t>m</w:t>
                  </w:r>
                </w:p>
              </w:tc>
              <w:tc>
                <w:tcPr>
                  <w:tcW w:w="1387" w:type="dxa"/>
                  <w:shd w:val="clear" w:color="auto" w:fill="auto"/>
                  <w:vAlign w:val="center"/>
                </w:tcPr>
                <w:p>
                  <w:pPr>
                    <w:pStyle w:val="36"/>
                  </w:pPr>
                  <w:r>
                    <w:t>3800</w:t>
                  </w:r>
                </w:p>
                <w:p>
                  <w:pPr>
                    <w:pStyle w:val="36"/>
                  </w:pPr>
                  <w:r>
                    <w:t>.00</w:t>
                  </w: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d600 雨水管</w:t>
                  </w:r>
                </w:p>
              </w:tc>
              <w:tc>
                <w:tcPr>
                  <w:tcW w:w="467" w:type="dxa"/>
                  <w:shd w:val="clear" w:color="auto" w:fill="auto"/>
                  <w:vAlign w:val="center"/>
                </w:tcPr>
                <w:p>
                  <w:pPr>
                    <w:pStyle w:val="36"/>
                  </w:pPr>
                  <w:r>
                    <w:t>m</w:t>
                  </w:r>
                </w:p>
              </w:tc>
              <w:tc>
                <w:tcPr>
                  <w:tcW w:w="1387" w:type="dxa"/>
                  <w:shd w:val="clear" w:color="auto" w:fill="auto"/>
                  <w:vAlign w:val="center"/>
                </w:tcPr>
                <w:p>
                  <w:pPr>
                    <w:pStyle w:val="36"/>
                  </w:pPr>
                  <w:r>
                    <w:t>1700</w:t>
                  </w:r>
                </w:p>
                <w:p>
                  <w:pPr>
                    <w:pStyle w:val="36"/>
                  </w:pPr>
                  <w:r>
                    <w:t>.00</w:t>
                  </w: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d800 雨水管</w:t>
                  </w:r>
                </w:p>
              </w:tc>
              <w:tc>
                <w:tcPr>
                  <w:tcW w:w="467" w:type="dxa"/>
                  <w:shd w:val="clear" w:color="auto" w:fill="auto"/>
                  <w:vAlign w:val="center"/>
                </w:tcPr>
                <w:p>
                  <w:pPr>
                    <w:pStyle w:val="36"/>
                  </w:pPr>
                  <w:r>
                    <w:t>m</w:t>
                  </w:r>
                </w:p>
              </w:tc>
              <w:tc>
                <w:tcPr>
                  <w:tcW w:w="1387" w:type="dxa"/>
                  <w:shd w:val="clear" w:color="auto" w:fill="auto"/>
                  <w:vAlign w:val="center"/>
                </w:tcPr>
                <w:p>
                  <w:pPr>
                    <w:pStyle w:val="36"/>
                  </w:pPr>
                  <w:r>
                    <w:t>600.</w:t>
                  </w:r>
                </w:p>
                <w:p>
                  <w:pPr>
                    <w:pStyle w:val="36"/>
                  </w:pPr>
                  <w:r>
                    <w:t>00</w:t>
                  </w: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d1000 雨水管</w:t>
                  </w:r>
                </w:p>
              </w:tc>
              <w:tc>
                <w:tcPr>
                  <w:tcW w:w="467" w:type="dxa"/>
                  <w:shd w:val="clear" w:color="auto" w:fill="auto"/>
                  <w:vAlign w:val="center"/>
                </w:tcPr>
                <w:p>
                  <w:pPr>
                    <w:pStyle w:val="36"/>
                  </w:pPr>
                  <w:r>
                    <w:t>m</w:t>
                  </w:r>
                </w:p>
              </w:tc>
              <w:tc>
                <w:tcPr>
                  <w:tcW w:w="1387" w:type="dxa"/>
                  <w:shd w:val="clear" w:color="auto" w:fill="auto"/>
                  <w:vAlign w:val="center"/>
                </w:tcPr>
                <w:p>
                  <w:pPr>
                    <w:pStyle w:val="36"/>
                  </w:pPr>
                  <w:r>
                    <w:t>700.</w:t>
                  </w:r>
                </w:p>
                <w:p>
                  <w:pPr>
                    <w:pStyle w:val="36"/>
                  </w:pPr>
                  <w:r>
                    <w:t>00</w:t>
                  </w: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d1200 雨水管</w:t>
                  </w:r>
                </w:p>
              </w:tc>
              <w:tc>
                <w:tcPr>
                  <w:tcW w:w="467" w:type="dxa"/>
                  <w:shd w:val="clear" w:color="auto" w:fill="auto"/>
                  <w:vAlign w:val="center"/>
                </w:tcPr>
                <w:p>
                  <w:pPr>
                    <w:pStyle w:val="36"/>
                  </w:pPr>
                  <w:r>
                    <w:t>m</w:t>
                  </w:r>
                </w:p>
              </w:tc>
              <w:tc>
                <w:tcPr>
                  <w:tcW w:w="1387" w:type="dxa"/>
                  <w:shd w:val="clear" w:color="auto" w:fill="auto"/>
                  <w:vAlign w:val="center"/>
                </w:tcPr>
                <w:p>
                  <w:pPr>
                    <w:pStyle w:val="36"/>
                  </w:pPr>
                  <w:r>
                    <w:t>2630</w:t>
                  </w:r>
                </w:p>
                <w:p>
                  <w:pPr>
                    <w:pStyle w:val="36"/>
                  </w:pPr>
                  <w:r>
                    <w:t>.00</w:t>
                  </w: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d1500 雨水管</w:t>
                  </w:r>
                </w:p>
              </w:tc>
              <w:tc>
                <w:tcPr>
                  <w:tcW w:w="467" w:type="dxa"/>
                  <w:shd w:val="clear" w:color="auto" w:fill="auto"/>
                  <w:vAlign w:val="center"/>
                </w:tcPr>
                <w:p>
                  <w:pPr>
                    <w:pStyle w:val="36"/>
                  </w:pPr>
                  <w:r>
                    <w:t>m</w:t>
                  </w:r>
                </w:p>
              </w:tc>
              <w:tc>
                <w:tcPr>
                  <w:tcW w:w="1387" w:type="dxa"/>
                  <w:shd w:val="clear" w:color="auto" w:fill="auto"/>
                  <w:vAlign w:val="center"/>
                </w:tcPr>
                <w:p>
                  <w:pPr>
                    <w:pStyle w:val="36"/>
                  </w:pPr>
                  <w:r>
                    <w:t>3000</w:t>
                  </w:r>
                </w:p>
                <w:p>
                  <w:pPr>
                    <w:pStyle w:val="36"/>
                  </w:pPr>
                  <w:r>
                    <w:t>.00</w:t>
                  </w: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d1800 雨水管</w:t>
                  </w:r>
                </w:p>
              </w:tc>
              <w:tc>
                <w:tcPr>
                  <w:tcW w:w="467" w:type="dxa"/>
                  <w:shd w:val="clear" w:color="auto" w:fill="auto"/>
                  <w:vAlign w:val="center"/>
                </w:tcPr>
                <w:p>
                  <w:pPr>
                    <w:pStyle w:val="36"/>
                  </w:pPr>
                  <w:r>
                    <w:t>m</w:t>
                  </w:r>
                </w:p>
              </w:tc>
              <w:tc>
                <w:tcPr>
                  <w:tcW w:w="1387" w:type="dxa"/>
                  <w:shd w:val="clear" w:color="auto" w:fill="auto"/>
                  <w:vAlign w:val="center"/>
                </w:tcPr>
                <w:p>
                  <w:pPr>
                    <w:pStyle w:val="36"/>
                  </w:pPr>
                  <w:r>
                    <w:t>600.</w:t>
                  </w:r>
                </w:p>
                <w:p>
                  <w:pPr>
                    <w:pStyle w:val="36"/>
                  </w:pPr>
                  <w:r>
                    <w:t>00</w:t>
                  </w: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雨水口</w:t>
                  </w:r>
                </w:p>
              </w:tc>
              <w:tc>
                <w:tcPr>
                  <w:tcW w:w="467" w:type="dxa"/>
                  <w:shd w:val="clear" w:color="auto" w:fill="auto"/>
                  <w:vAlign w:val="center"/>
                </w:tcPr>
                <w:p>
                  <w:pPr>
                    <w:pStyle w:val="36"/>
                  </w:pPr>
                  <w:r>
                    <w:t>座</w:t>
                  </w:r>
                </w:p>
              </w:tc>
              <w:tc>
                <w:tcPr>
                  <w:tcW w:w="1387" w:type="dxa"/>
                  <w:shd w:val="clear" w:color="auto" w:fill="auto"/>
                  <w:vAlign w:val="center"/>
                </w:tcPr>
                <w:p>
                  <w:pPr>
                    <w:pStyle w:val="36"/>
                  </w:pPr>
                  <w:r>
                    <w:t>400.</w:t>
                  </w:r>
                </w:p>
                <w:p>
                  <w:pPr>
                    <w:pStyle w:val="36"/>
                  </w:pPr>
                  <w:r>
                    <w:t>00</w:t>
                  </w: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新增检查井</w:t>
                  </w:r>
                </w:p>
              </w:tc>
              <w:tc>
                <w:tcPr>
                  <w:tcW w:w="467" w:type="dxa"/>
                  <w:shd w:val="clear" w:color="auto" w:fill="auto"/>
                  <w:vAlign w:val="center"/>
                </w:tcPr>
                <w:p>
                  <w:pPr>
                    <w:pStyle w:val="36"/>
                  </w:pPr>
                  <w:r>
                    <w:t>个</w:t>
                  </w:r>
                </w:p>
              </w:tc>
              <w:tc>
                <w:tcPr>
                  <w:tcW w:w="1387" w:type="dxa"/>
                  <w:shd w:val="clear" w:color="auto" w:fill="auto"/>
                  <w:vAlign w:val="center"/>
                </w:tcPr>
                <w:p>
                  <w:pPr>
                    <w:pStyle w:val="36"/>
                  </w:pPr>
                  <w:r>
                    <w:t>320.</w:t>
                  </w:r>
                </w:p>
                <w:p>
                  <w:pPr>
                    <w:pStyle w:val="36"/>
                  </w:pPr>
                  <w:r>
                    <w:t>00</w:t>
                  </w: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拆除恢复管道、道路及配套附属设施</w:t>
                  </w:r>
                </w:p>
              </w:tc>
              <w:tc>
                <w:tcPr>
                  <w:tcW w:w="467" w:type="dxa"/>
                  <w:shd w:val="clear" w:color="auto" w:fill="auto"/>
                  <w:vAlign w:val="center"/>
                </w:tcPr>
                <w:p>
                  <w:pPr>
                    <w:pStyle w:val="36"/>
                  </w:pPr>
                  <w:r>
                    <w:t>项</w:t>
                  </w:r>
                </w:p>
              </w:tc>
              <w:tc>
                <w:tcPr>
                  <w:tcW w:w="1387" w:type="dxa"/>
                  <w:shd w:val="clear" w:color="auto" w:fill="auto"/>
                  <w:vAlign w:val="center"/>
                </w:tcPr>
                <w:p>
                  <w:pPr>
                    <w:pStyle w:val="36"/>
                  </w:pPr>
                  <w:r>
                    <w:t>1.00</w:t>
                  </w: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10" w:hRule="atLeast"/>
                <w:jc w:val="center"/>
              </w:trPr>
              <w:tc>
                <w:tcPr>
                  <w:tcW w:w="439" w:type="dxa"/>
                  <w:vMerge w:val="restart"/>
                  <w:shd w:val="clear" w:color="auto" w:fill="auto"/>
                  <w:vAlign w:val="center"/>
                </w:tcPr>
                <w:p>
                  <w:pPr>
                    <w:pStyle w:val="36"/>
                  </w:pPr>
                  <w:r>
                    <w:t>17</w:t>
                  </w:r>
                </w:p>
              </w:tc>
              <w:tc>
                <w:tcPr>
                  <w:tcW w:w="3379" w:type="dxa"/>
                  <w:shd w:val="clear" w:color="auto" w:fill="auto"/>
                  <w:vAlign w:val="center"/>
                </w:tcPr>
                <w:p>
                  <w:pPr>
                    <w:pStyle w:val="36"/>
                  </w:pPr>
                  <w:r>
                    <w:t>普安大道周边道路排水工程</w:t>
                  </w:r>
                </w:p>
              </w:tc>
              <w:tc>
                <w:tcPr>
                  <w:tcW w:w="467" w:type="dxa"/>
                  <w:shd w:val="clear" w:color="auto" w:fill="auto"/>
                  <w:vAlign w:val="center"/>
                </w:tcPr>
                <w:p>
                  <w:pPr>
                    <w:pStyle w:val="36"/>
                  </w:pPr>
                </w:p>
              </w:tc>
              <w:tc>
                <w:tcPr>
                  <w:tcW w:w="1387" w:type="dxa"/>
                  <w:shd w:val="clear" w:color="auto" w:fill="auto"/>
                  <w:vAlign w:val="center"/>
                </w:tcPr>
                <w:p>
                  <w:pPr>
                    <w:pStyle w:val="36"/>
                  </w:pP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新建 d300 雨水联络管</w:t>
                  </w:r>
                </w:p>
              </w:tc>
              <w:tc>
                <w:tcPr>
                  <w:tcW w:w="467" w:type="dxa"/>
                  <w:shd w:val="clear" w:color="auto" w:fill="auto"/>
                  <w:vAlign w:val="center"/>
                </w:tcPr>
                <w:p>
                  <w:pPr>
                    <w:pStyle w:val="36"/>
                  </w:pPr>
                  <w:r>
                    <w:t>m</w:t>
                  </w:r>
                </w:p>
              </w:tc>
              <w:tc>
                <w:tcPr>
                  <w:tcW w:w="1387" w:type="dxa"/>
                  <w:shd w:val="clear" w:color="auto" w:fill="auto"/>
                  <w:vAlign w:val="center"/>
                </w:tcPr>
                <w:p>
                  <w:pPr>
                    <w:pStyle w:val="36"/>
                  </w:pPr>
                  <w:r>
                    <w:t>1380</w:t>
                  </w: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d600 雨水管</w:t>
                  </w:r>
                </w:p>
              </w:tc>
              <w:tc>
                <w:tcPr>
                  <w:tcW w:w="467" w:type="dxa"/>
                  <w:shd w:val="clear" w:color="auto" w:fill="auto"/>
                  <w:vAlign w:val="center"/>
                </w:tcPr>
                <w:p>
                  <w:pPr>
                    <w:pStyle w:val="36"/>
                  </w:pPr>
                  <w:r>
                    <w:t>m</w:t>
                  </w:r>
                </w:p>
              </w:tc>
              <w:tc>
                <w:tcPr>
                  <w:tcW w:w="1387" w:type="dxa"/>
                  <w:shd w:val="clear" w:color="auto" w:fill="auto"/>
                  <w:vAlign w:val="center"/>
                </w:tcPr>
                <w:p>
                  <w:pPr>
                    <w:pStyle w:val="36"/>
                  </w:pPr>
                  <w:r>
                    <w:t>1030</w:t>
                  </w: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d800 雨水管</w:t>
                  </w:r>
                </w:p>
              </w:tc>
              <w:tc>
                <w:tcPr>
                  <w:tcW w:w="467" w:type="dxa"/>
                  <w:shd w:val="clear" w:color="auto" w:fill="auto"/>
                  <w:vAlign w:val="center"/>
                </w:tcPr>
                <w:p>
                  <w:pPr>
                    <w:pStyle w:val="36"/>
                  </w:pPr>
                  <w:r>
                    <w:t>m</w:t>
                  </w:r>
                </w:p>
              </w:tc>
              <w:tc>
                <w:tcPr>
                  <w:tcW w:w="1387" w:type="dxa"/>
                  <w:shd w:val="clear" w:color="auto" w:fill="auto"/>
                  <w:vAlign w:val="center"/>
                </w:tcPr>
                <w:p>
                  <w:pPr>
                    <w:pStyle w:val="36"/>
                  </w:pPr>
                  <w:r>
                    <w:t>1400</w:t>
                  </w: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d1000 雨水管</w:t>
                  </w:r>
                </w:p>
              </w:tc>
              <w:tc>
                <w:tcPr>
                  <w:tcW w:w="467" w:type="dxa"/>
                  <w:shd w:val="clear" w:color="auto" w:fill="auto"/>
                  <w:vAlign w:val="center"/>
                </w:tcPr>
                <w:p>
                  <w:pPr>
                    <w:pStyle w:val="36"/>
                  </w:pPr>
                  <w:r>
                    <w:t>m</w:t>
                  </w:r>
                </w:p>
              </w:tc>
              <w:tc>
                <w:tcPr>
                  <w:tcW w:w="1387" w:type="dxa"/>
                  <w:shd w:val="clear" w:color="auto" w:fill="auto"/>
                  <w:vAlign w:val="center"/>
                </w:tcPr>
                <w:p>
                  <w:pPr>
                    <w:pStyle w:val="36"/>
                  </w:pPr>
                  <w:r>
                    <w:t>550</w:t>
                  </w: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d1200 雨水管</w:t>
                  </w:r>
                </w:p>
              </w:tc>
              <w:tc>
                <w:tcPr>
                  <w:tcW w:w="467" w:type="dxa"/>
                  <w:shd w:val="clear" w:color="auto" w:fill="auto"/>
                  <w:vAlign w:val="center"/>
                </w:tcPr>
                <w:p>
                  <w:pPr>
                    <w:pStyle w:val="36"/>
                  </w:pPr>
                  <w:r>
                    <w:t>m</w:t>
                  </w:r>
                </w:p>
              </w:tc>
              <w:tc>
                <w:tcPr>
                  <w:tcW w:w="1387" w:type="dxa"/>
                  <w:shd w:val="clear" w:color="auto" w:fill="auto"/>
                  <w:vAlign w:val="center"/>
                </w:tcPr>
                <w:p>
                  <w:pPr>
                    <w:pStyle w:val="36"/>
                  </w:pPr>
                  <w:r>
                    <w:t>1000</w:t>
                  </w: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d1600 雨水管</w:t>
                  </w:r>
                </w:p>
              </w:tc>
              <w:tc>
                <w:tcPr>
                  <w:tcW w:w="467" w:type="dxa"/>
                  <w:shd w:val="clear" w:color="auto" w:fill="auto"/>
                  <w:vAlign w:val="center"/>
                </w:tcPr>
                <w:p>
                  <w:pPr>
                    <w:pStyle w:val="36"/>
                  </w:pPr>
                  <w:r>
                    <w:t>m</w:t>
                  </w:r>
                </w:p>
              </w:tc>
              <w:tc>
                <w:tcPr>
                  <w:tcW w:w="1387" w:type="dxa"/>
                  <w:shd w:val="clear" w:color="auto" w:fill="auto"/>
                  <w:vAlign w:val="center"/>
                </w:tcPr>
                <w:p>
                  <w:pPr>
                    <w:pStyle w:val="36"/>
                  </w:pPr>
                  <w:r>
                    <w:t>200</w:t>
                  </w: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d1800 雨水管</w:t>
                  </w:r>
                </w:p>
              </w:tc>
              <w:tc>
                <w:tcPr>
                  <w:tcW w:w="467" w:type="dxa"/>
                  <w:shd w:val="clear" w:color="auto" w:fill="auto"/>
                  <w:vAlign w:val="center"/>
                </w:tcPr>
                <w:p>
                  <w:pPr>
                    <w:pStyle w:val="36"/>
                  </w:pPr>
                  <w:r>
                    <w:t>m</w:t>
                  </w:r>
                </w:p>
              </w:tc>
              <w:tc>
                <w:tcPr>
                  <w:tcW w:w="1387" w:type="dxa"/>
                  <w:shd w:val="clear" w:color="auto" w:fill="auto"/>
                  <w:vAlign w:val="center"/>
                </w:tcPr>
                <w:p>
                  <w:pPr>
                    <w:pStyle w:val="36"/>
                  </w:pPr>
                  <w:r>
                    <w:t>350</w:t>
                  </w: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d2000 雨水管</w:t>
                  </w:r>
                </w:p>
              </w:tc>
              <w:tc>
                <w:tcPr>
                  <w:tcW w:w="467" w:type="dxa"/>
                  <w:shd w:val="clear" w:color="auto" w:fill="auto"/>
                  <w:vAlign w:val="center"/>
                </w:tcPr>
                <w:p>
                  <w:pPr>
                    <w:pStyle w:val="36"/>
                  </w:pPr>
                  <w:r>
                    <w:t>m</w:t>
                  </w:r>
                </w:p>
              </w:tc>
              <w:tc>
                <w:tcPr>
                  <w:tcW w:w="1387" w:type="dxa"/>
                  <w:shd w:val="clear" w:color="auto" w:fill="auto"/>
                  <w:vAlign w:val="center"/>
                </w:tcPr>
                <w:p>
                  <w:pPr>
                    <w:pStyle w:val="36"/>
                  </w:pPr>
                  <w:r>
                    <w:t>50</w:t>
                  </w: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雨水口</w:t>
                  </w:r>
                </w:p>
              </w:tc>
              <w:tc>
                <w:tcPr>
                  <w:tcW w:w="467" w:type="dxa"/>
                  <w:shd w:val="clear" w:color="auto" w:fill="auto"/>
                  <w:vAlign w:val="center"/>
                </w:tcPr>
                <w:p>
                  <w:pPr>
                    <w:pStyle w:val="36"/>
                  </w:pPr>
                  <w:r>
                    <w:t>座</w:t>
                  </w:r>
                </w:p>
              </w:tc>
              <w:tc>
                <w:tcPr>
                  <w:tcW w:w="1387" w:type="dxa"/>
                  <w:shd w:val="clear" w:color="auto" w:fill="auto"/>
                  <w:vAlign w:val="center"/>
                </w:tcPr>
                <w:p>
                  <w:pPr>
                    <w:pStyle w:val="36"/>
                  </w:pPr>
                  <w:r>
                    <w:t>160</w:t>
                  </w: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新增检查井</w:t>
                  </w:r>
                </w:p>
              </w:tc>
              <w:tc>
                <w:tcPr>
                  <w:tcW w:w="467" w:type="dxa"/>
                  <w:shd w:val="clear" w:color="auto" w:fill="auto"/>
                  <w:vAlign w:val="center"/>
                </w:tcPr>
                <w:p>
                  <w:pPr>
                    <w:pStyle w:val="36"/>
                  </w:pPr>
                  <w:r>
                    <w:t>个</w:t>
                  </w:r>
                </w:p>
              </w:tc>
              <w:tc>
                <w:tcPr>
                  <w:tcW w:w="1387" w:type="dxa"/>
                  <w:shd w:val="clear" w:color="auto" w:fill="auto"/>
                  <w:vAlign w:val="center"/>
                </w:tcPr>
                <w:p>
                  <w:pPr>
                    <w:pStyle w:val="36"/>
                  </w:pPr>
                  <w:r>
                    <w:t>122</w:t>
                  </w:r>
                </w:p>
              </w:tc>
              <w:tc>
                <w:tcPr>
                  <w:tcW w:w="2492" w:type="dxa"/>
                  <w:shd w:val="clear" w:color="auto" w:fill="auto"/>
                  <w:vAlign w:val="center"/>
                </w:tcPr>
                <w:p>
                  <w:pPr>
                    <w:pStyle w:val="36"/>
                  </w:pPr>
                  <w:r>
                    <w:rPr>
                      <w:rFonts w:hint="eastAsia"/>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jc w:val="center"/>
              </w:trPr>
              <w:tc>
                <w:tcPr>
                  <w:tcW w:w="439" w:type="dxa"/>
                  <w:vMerge w:val="continue"/>
                  <w:shd w:val="clear" w:color="auto" w:fill="auto"/>
                  <w:vAlign w:val="center"/>
                </w:tcPr>
                <w:p>
                  <w:pPr>
                    <w:pStyle w:val="36"/>
                  </w:pPr>
                </w:p>
              </w:tc>
              <w:tc>
                <w:tcPr>
                  <w:tcW w:w="3379" w:type="dxa"/>
                  <w:shd w:val="clear" w:color="auto" w:fill="auto"/>
                  <w:vAlign w:val="center"/>
                </w:tcPr>
                <w:p>
                  <w:pPr>
                    <w:pStyle w:val="36"/>
                  </w:pPr>
                  <w:r>
                    <w:t>拆除恢复管道、道路及配套附属设施</w:t>
                  </w:r>
                </w:p>
              </w:tc>
              <w:tc>
                <w:tcPr>
                  <w:tcW w:w="467" w:type="dxa"/>
                  <w:shd w:val="clear" w:color="auto" w:fill="auto"/>
                  <w:vAlign w:val="center"/>
                </w:tcPr>
                <w:p>
                  <w:pPr>
                    <w:pStyle w:val="36"/>
                  </w:pPr>
                  <w:r>
                    <w:t>项</w:t>
                  </w:r>
                </w:p>
              </w:tc>
              <w:tc>
                <w:tcPr>
                  <w:tcW w:w="1387" w:type="dxa"/>
                  <w:shd w:val="clear" w:color="auto" w:fill="auto"/>
                  <w:vAlign w:val="center"/>
                </w:tcPr>
                <w:p>
                  <w:pPr>
                    <w:pStyle w:val="36"/>
                  </w:pPr>
                  <w:r>
                    <w:t>1.00</w:t>
                  </w:r>
                </w:p>
              </w:tc>
              <w:tc>
                <w:tcPr>
                  <w:tcW w:w="2492" w:type="dxa"/>
                  <w:shd w:val="clear" w:color="auto" w:fill="auto"/>
                  <w:vAlign w:val="center"/>
                </w:tcPr>
                <w:p>
                  <w:pPr>
                    <w:pStyle w:val="36"/>
                  </w:pPr>
                  <w:r>
                    <w:rPr>
                      <w:rFonts w:hint="eastAsia"/>
                    </w:rPr>
                    <w:t>/</w:t>
                  </w:r>
                </w:p>
              </w:tc>
            </w:tr>
          </w:tbl>
          <w:p>
            <w:pPr>
              <w:pStyle w:val="42"/>
              <w:ind w:firstLine="482"/>
              <w:rPr>
                <w:rFonts w:cs="Times New Roman"/>
                <w:b/>
                <w:bCs/>
              </w:rPr>
            </w:pPr>
            <w:r>
              <w:rPr>
                <w:rFonts w:hint="eastAsia" w:cs="Times New Roman"/>
                <w:b/>
                <w:bCs/>
              </w:rPr>
              <w:t>6、施工器械一览表</w:t>
            </w:r>
          </w:p>
          <w:p>
            <w:pPr>
              <w:pStyle w:val="42"/>
              <w:ind w:firstLine="480"/>
            </w:pPr>
            <w:r>
              <w:rPr>
                <w:rFonts w:hint="eastAsia"/>
              </w:rPr>
              <w:t>该项目主要设备为施工使用的常见机械设备，项目所使用的机械设备见下表。</w:t>
            </w:r>
          </w:p>
          <w:p>
            <w:pPr>
              <w:pStyle w:val="38"/>
            </w:pPr>
            <w:r>
              <w:rPr>
                <w:rFonts w:hint="eastAsia"/>
              </w:rPr>
              <w:t>表</w:t>
            </w:r>
            <w:r>
              <w:t>2-</w:t>
            </w:r>
            <w:r>
              <w:rPr>
                <w:rFonts w:hint="eastAsia"/>
              </w:rPr>
              <w:t>3机械设备一览表</w:t>
            </w:r>
            <w:r>
              <w:t xml:space="preserve"> </w:t>
            </w:r>
          </w:p>
          <w:tbl>
            <w:tblPr>
              <w:tblStyle w:val="15"/>
              <w:tblW w:w="8164" w:type="dxa"/>
              <w:jc w:val="center"/>
              <w:tblInd w:w="0" w:type="dxa"/>
              <w:tblLayout w:type="fixed"/>
              <w:tblCellMar>
                <w:top w:w="0" w:type="dxa"/>
                <w:left w:w="108" w:type="dxa"/>
                <w:bottom w:w="0" w:type="dxa"/>
                <w:right w:w="108" w:type="dxa"/>
              </w:tblCellMar>
            </w:tblPr>
            <w:tblGrid>
              <w:gridCol w:w="1228"/>
              <w:gridCol w:w="2898"/>
              <w:gridCol w:w="1987"/>
              <w:gridCol w:w="2051"/>
            </w:tblGrid>
            <w:tr>
              <w:tblPrEx>
                <w:tblLayout w:type="fixed"/>
                <w:tblCellMar>
                  <w:top w:w="0" w:type="dxa"/>
                  <w:left w:w="108" w:type="dxa"/>
                  <w:bottom w:w="0" w:type="dxa"/>
                  <w:right w:w="108" w:type="dxa"/>
                </w:tblCellMar>
              </w:tblPrEx>
              <w:trPr>
                <w:trHeight w:val="439" w:hRule="atLeast"/>
                <w:jc w:val="center"/>
              </w:trPr>
              <w:tc>
                <w:tcPr>
                  <w:tcW w:w="1228" w:type="dxa"/>
                  <w:tcBorders>
                    <w:top w:val="single" w:color="auto" w:sz="4" w:space="0"/>
                    <w:bottom w:val="single" w:color="auto" w:sz="4" w:space="0"/>
                    <w:right w:val="single" w:color="auto" w:sz="4" w:space="0"/>
                  </w:tcBorders>
                  <w:shd w:val="clear" w:color="auto" w:fill="auto"/>
                  <w:vAlign w:val="center"/>
                </w:tcPr>
                <w:p>
                  <w:pPr>
                    <w:pStyle w:val="36"/>
                  </w:pPr>
                  <w:r>
                    <w:rPr>
                      <w:rFonts w:hint="eastAsia"/>
                    </w:rPr>
                    <w:t>序号</w:t>
                  </w:r>
                </w:p>
              </w:tc>
              <w:tc>
                <w:tcPr>
                  <w:tcW w:w="2898" w:type="dxa"/>
                  <w:tcBorders>
                    <w:top w:val="single" w:color="auto" w:sz="4" w:space="0"/>
                    <w:left w:val="nil"/>
                    <w:bottom w:val="single" w:color="auto" w:sz="4" w:space="0"/>
                    <w:right w:val="single" w:color="000000" w:sz="4" w:space="0"/>
                  </w:tcBorders>
                  <w:shd w:val="clear" w:color="auto" w:fill="auto"/>
                  <w:vAlign w:val="center"/>
                </w:tcPr>
                <w:p>
                  <w:pPr>
                    <w:pStyle w:val="36"/>
                  </w:pPr>
                  <w:r>
                    <w:rPr>
                      <w:rFonts w:hint="eastAsia"/>
                    </w:rPr>
                    <w:t>名称及规格型号</w:t>
                  </w:r>
                </w:p>
              </w:tc>
              <w:tc>
                <w:tcPr>
                  <w:tcW w:w="1987" w:type="dxa"/>
                  <w:tcBorders>
                    <w:top w:val="single" w:color="auto" w:sz="4" w:space="0"/>
                    <w:left w:val="nil"/>
                    <w:bottom w:val="single" w:color="auto" w:sz="4" w:space="0"/>
                    <w:right w:val="single" w:color="auto" w:sz="4" w:space="0"/>
                  </w:tcBorders>
                  <w:shd w:val="clear" w:color="auto" w:fill="auto"/>
                  <w:vAlign w:val="center"/>
                </w:tcPr>
                <w:p>
                  <w:pPr>
                    <w:pStyle w:val="36"/>
                  </w:pPr>
                  <w:r>
                    <w:rPr>
                      <w:rFonts w:hint="eastAsia"/>
                    </w:rPr>
                    <w:t>单位</w:t>
                  </w:r>
                </w:p>
              </w:tc>
              <w:tc>
                <w:tcPr>
                  <w:tcW w:w="2051" w:type="dxa"/>
                  <w:tcBorders>
                    <w:top w:val="single" w:color="auto" w:sz="4" w:space="0"/>
                    <w:left w:val="nil"/>
                    <w:bottom w:val="single" w:color="auto" w:sz="4" w:space="0"/>
                  </w:tcBorders>
                  <w:shd w:val="clear" w:color="auto" w:fill="auto"/>
                  <w:vAlign w:val="center"/>
                </w:tcPr>
                <w:p>
                  <w:pPr>
                    <w:pStyle w:val="36"/>
                  </w:pPr>
                  <w:r>
                    <w:rPr>
                      <w:rFonts w:hint="eastAsia"/>
                    </w:rPr>
                    <w:t>数量</w:t>
                  </w:r>
                </w:p>
              </w:tc>
            </w:tr>
            <w:tr>
              <w:tblPrEx>
                <w:tblLayout w:type="fixed"/>
                <w:tblCellMar>
                  <w:top w:w="0" w:type="dxa"/>
                  <w:left w:w="108" w:type="dxa"/>
                  <w:bottom w:w="0" w:type="dxa"/>
                  <w:right w:w="108" w:type="dxa"/>
                </w:tblCellMar>
              </w:tblPrEx>
              <w:trPr>
                <w:trHeight w:val="462" w:hRule="atLeast"/>
                <w:jc w:val="center"/>
              </w:trPr>
              <w:tc>
                <w:tcPr>
                  <w:tcW w:w="1228" w:type="dxa"/>
                  <w:tcBorders>
                    <w:top w:val="single" w:color="auto" w:sz="4" w:space="0"/>
                    <w:bottom w:val="single" w:color="auto" w:sz="4" w:space="0"/>
                    <w:right w:val="single" w:color="auto" w:sz="4" w:space="0"/>
                  </w:tcBorders>
                  <w:shd w:val="clear" w:color="auto" w:fill="auto"/>
                  <w:vAlign w:val="center"/>
                </w:tcPr>
                <w:p>
                  <w:pPr>
                    <w:pStyle w:val="36"/>
                  </w:pPr>
                  <w:r>
                    <w:rPr>
                      <w:rFonts w:hint="eastAsia"/>
                    </w:rPr>
                    <w:t>1</w:t>
                  </w:r>
                </w:p>
              </w:tc>
              <w:tc>
                <w:tcPr>
                  <w:tcW w:w="2898" w:type="dxa"/>
                  <w:tcBorders>
                    <w:top w:val="single" w:color="auto" w:sz="4" w:space="0"/>
                    <w:left w:val="nil"/>
                    <w:bottom w:val="single" w:color="auto" w:sz="4" w:space="0"/>
                    <w:right w:val="single" w:color="000000" w:sz="4" w:space="0"/>
                  </w:tcBorders>
                  <w:shd w:val="clear" w:color="auto" w:fill="auto"/>
                  <w:vAlign w:val="center"/>
                </w:tcPr>
                <w:p>
                  <w:pPr>
                    <w:pStyle w:val="36"/>
                  </w:pPr>
                  <w:r>
                    <w:rPr>
                      <w:rFonts w:hint="eastAsia"/>
                    </w:rPr>
                    <w:t>挖掘机</w:t>
                  </w:r>
                </w:p>
              </w:tc>
              <w:tc>
                <w:tcPr>
                  <w:tcW w:w="1987" w:type="dxa"/>
                  <w:tcBorders>
                    <w:top w:val="single" w:color="auto" w:sz="4" w:space="0"/>
                    <w:left w:val="nil"/>
                    <w:bottom w:val="single" w:color="auto" w:sz="4" w:space="0"/>
                    <w:right w:val="single" w:color="auto" w:sz="4" w:space="0"/>
                  </w:tcBorders>
                  <w:shd w:val="clear" w:color="auto" w:fill="auto"/>
                  <w:vAlign w:val="center"/>
                </w:tcPr>
                <w:p>
                  <w:pPr>
                    <w:pStyle w:val="36"/>
                  </w:pPr>
                  <w:r>
                    <w:rPr>
                      <w:rFonts w:hint="eastAsia"/>
                    </w:rPr>
                    <w:t>台</w:t>
                  </w:r>
                </w:p>
              </w:tc>
              <w:tc>
                <w:tcPr>
                  <w:tcW w:w="2051" w:type="dxa"/>
                  <w:tcBorders>
                    <w:top w:val="single" w:color="auto" w:sz="4" w:space="0"/>
                    <w:left w:val="nil"/>
                    <w:bottom w:val="single" w:color="auto" w:sz="4" w:space="0"/>
                  </w:tcBorders>
                  <w:shd w:val="clear" w:color="auto" w:fill="auto"/>
                  <w:vAlign w:val="center"/>
                </w:tcPr>
                <w:p>
                  <w:pPr>
                    <w:pStyle w:val="36"/>
                  </w:pPr>
                  <w:r>
                    <w:rPr>
                      <w:rFonts w:hint="eastAsia"/>
                    </w:rPr>
                    <w:t>7</w:t>
                  </w:r>
                </w:p>
              </w:tc>
            </w:tr>
            <w:tr>
              <w:tblPrEx>
                <w:tblLayout w:type="fixed"/>
                <w:tblCellMar>
                  <w:top w:w="0" w:type="dxa"/>
                  <w:left w:w="108" w:type="dxa"/>
                  <w:bottom w:w="0" w:type="dxa"/>
                  <w:right w:w="108" w:type="dxa"/>
                </w:tblCellMar>
              </w:tblPrEx>
              <w:trPr>
                <w:trHeight w:val="439" w:hRule="atLeast"/>
                <w:jc w:val="center"/>
              </w:trPr>
              <w:tc>
                <w:tcPr>
                  <w:tcW w:w="1228" w:type="dxa"/>
                  <w:tcBorders>
                    <w:top w:val="single" w:color="auto" w:sz="4" w:space="0"/>
                    <w:bottom w:val="single" w:color="auto" w:sz="4" w:space="0"/>
                    <w:right w:val="single" w:color="auto" w:sz="4" w:space="0"/>
                  </w:tcBorders>
                  <w:shd w:val="clear" w:color="auto" w:fill="auto"/>
                  <w:vAlign w:val="center"/>
                </w:tcPr>
                <w:p>
                  <w:pPr>
                    <w:pStyle w:val="36"/>
                  </w:pPr>
                  <w:r>
                    <w:rPr>
                      <w:rFonts w:hint="eastAsia"/>
                    </w:rPr>
                    <w:t>2</w:t>
                  </w:r>
                </w:p>
              </w:tc>
              <w:tc>
                <w:tcPr>
                  <w:tcW w:w="2898" w:type="dxa"/>
                  <w:tcBorders>
                    <w:top w:val="single" w:color="auto" w:sz="4" w:space="0"/>
                    <w:left w:val="nil"/>
                    <w:bottom w:val="single" w:color="auto" w:sz="4" w:space="0"/>
                    <w:right w:val="single" w:color="000000" w:sz="4" w:space="0"/>
                  </w:tcBorders>
                  <w:shd w:val="clear" w:color="auto" w:fill="auto"/>
                  <w:vAlign w:val="center"/>
                </w:tcPr>
                <w:p>
                  <w:pPr>
                    <w:pStyle w:val="36"/>
                  </w:pPr>
                  <w:r>
                    <w:rPr>
                      <w:rFonts w:hint="eastAsia"/>
                    </w:rPr>
                    <w:t>振动碾</w:t>
                  </w:r>
                </w:p>
              </w:tc>
              <w:tc>
                <w:tcPr>
                  <w:tcW w:w="1987" w:type="dxa"/>
                  <w:tcBorders>
                    <w:top w:val="single" w:color="auto" w:sz="4" w:space="0"/>
                    <w:left w:val="nil"/>
                    <w:bottom w:val="single" w:color="auto" w:sz="4" w:space="0"/>
                    <w:right w:val="single" w:color="auto" w:sz="4" w:space="0"/>
                  </w:tcBorders>
                  <w:shd w:val="clear" w:color="auto" w:fill="auto"/>
                  <w:vAlign w:val="center"/>
                </w:tcPr>
                <w:p>
                  <w:pPr>
                    <w:pStyle w:val="36"/>
                  </w:pPr>
                  <w:r>
                    <w:rPr>
                      <w:rFonts w:hint="eastAsia"/>
                    </w:rPr>
                    <w:t>台</w:t>
                  </w:r>
                </w:p>
              </w:tc>
              <w:tc>
                <w:tcPr>
                  <w:tcW w:w="2051" w:type="dxa"/>
                  <w:tcBorders>
                    <w:top w:val="single" w:color="auto" w:sz="4" w:space="0"/>
                    <w:left w:val="nil"/>
                    <w:bottom w:val="single" w:color="auto" w:sz="4" w:space="0"/>
                  </w:tcBorders>
                  <w:shd w:val="clear" w:color="auto" w:fill="auto"/>
                  <w:vAlign w:val="center"/>
                </w:tcPr>
                <w:p>
                  <w:pPr>
                    <w:pStyle w:val="36"/>
                  </w:pPr>
                  <w:r>
                    <w:rPr>
                      <w:rFonts w:hint="eastAsia"/>
                    </w:rPr>
                    <w:t>5</w:t>
                  </w:r>
                </w:p>
              </w:tc>
            </w:tr>
            <w:tr>
              <w:tblPrEx>
                <w:tblLayout w:type="fixed"/>
                <w:tblCellMar>
                  <w:top w:w="0" w:type="dxa"/>
                  <w:left w:w="108" w:type="dxa"/>
                  <w:bottom w:w="0" w:type="dxa"/>
                  <w:right w:w="108" w:type="dxa"/>
                </w:tblCellMar>
              </w:tblPrEx>
              <w:trPr>
                <w:trHeight w:val="462" w:hRule="atLeast"/>
                <w:jc w:val="center"/>
              </w:trPr>
              <w:tc>
                <w:tcPr>
                  <w:tcW w:w="1228" w:type="dxa"/>
                  <w:tcBorders>
                    <w:top w:val="single" w:color="auto" w:sz="4" w:space="0"/>
                    <w:bottom w:val="single" w:color="auto" w:sz="4" w:space="0"/>
                    <w:right w:val="single" w:color="auto" w:sz="4" w:space="0"/>
                  </w:tcBorders>
                  <w:shd w:val="clear" w:color="auto" w:fill="auto"/>
                  <w:vAlign w:val="center"/>
                </w:tcPr>
                <w:p>
                  <w:pPr>
                    <w:pStyle w:val="36"/>
                  </w:pPr>
                  <w:r>
                    <w:rPr>
                      <w:rFonts w:hint="eastAsia"/>
                    </w:rPr>
                    <w:t>3</w:t>
                  </w:r>
                </w:p>
              </w:tc>
              <w:tc>
                <w:tcPr>
                  <w:tcW w:w="2898" w:type="dxa"/>
                  <w:tcBorders>
                    <w:top w:val="single" w:color="auto" w:sz="4" w:space="0"/>
                    <w:left w:val="nil"/>
                    <w:bottom w:val="single" w:color="auto" w:sz="4" w:space="0"/>
                    <w:right w:val="single" w:color="000000" w:sz="4" w:space="0"/>
                  </w:tcBorders>
                  <w:shd w:val="clear" w:color="auto" w:fill="auto"/>
                  <w:vAlign w:val="center"/>
                </w:tcPr>
                <w:p>
                  <w:pPr>
                    <w:pStyle w:val="36"/>
                  </w:pPr>
                  <w:r>
                    <w:rPr>
                      <w:rFonts w:hint="eastAsia"/>
                    </w:rPr>
                    <w:t>蛙式打夯机</w:t>
                  </w:r>
                </w:p>
              </w:tc>
              <w:tc>
                <w:tcPr>
                  <w:tcW w:w="1987" w:type="dxa"/>
                  <w:tcBorders>
                    <w:top w:val="single" w:color="auto" w:sz="4" w:space="0"/>
                    <w:left w:val="nil"/>
                    <w:bottom w:val="single" w:color="auto" w:sz="4" w:space="0"/>
                    <w:right w:val="single" w:color="auto" w:sz="4" w:space="0"/>
                  </w:tcBorders>
                  <w:shd w:val="clear" w:color="auto" w:fill="auto"/>
                  <w:vAlign w:val="center"/>
                </w:tcPr>
                <w:p>
                  <w:pPr>
                    <w:pStyle w:val="36"/>
                  </w:pPr>
                  <w:r>
                    <w:rPr>
                      <w:rFonts w:hint="eastAsia"/>
                    </w:rPr>
                    <w:t>台</w:t>
                  </w:r>
                </w:p>
              </w:tc>
              <w:tc>
                <w:tcPr>
                  <w:tcW w:w="2051" w:type="dxa"/>
                  <w:tcBorders>
                    <w:top w:val="single" w:color="auto" w:sz="4" w:space="0"/>
                    <w:left w:val="nil"/>
                    <w:bottom w:val="single" w:color="auto" w:sz="4" w:space="0"/>
                  </w:tcBorders>
                  <w:shd w:val="clear" w:color="auto" w:fill="auto"/>
                  <w:vAlign w:val="center"/>
                </w:tcPr>
                <w:p>
                  <w:pPr>
                    <w:pStyle w:val="36"/>
                  </w:pPr>
                  <w:r>
                    <w:rPr>
                      <w:rFonts w:hint="eastAsia"/>
                    </w:rPr>
                    <w:t>3</w:t>
                  </w:r>
                </w:p>
              </w:tc>
            </w:tr>
            <w:tr>
              <w:tblPrEx>
                <w:tblLayout w:type="fixed"/>
                <w:tblCellMar>
                  <w:top w:w="0" w:type="dxa"/>
                  <w:left w:w="108" w:type="dxa"/>
                  <w:bottom w:w="0" w:type="dxa"/>
                  <w:right w:w="108" w:type="dxa"/>
                </w:tblCellMar>
              </w:tblPrEx>
              <w:trPr>
                <w:trHeight w:val="439" w:hRule="atLeast"/>
                <w:jc w:val="center"/>
              </w:trPr>
              <w:tc>
                <w:tcPr>
                  <w:tcW w:w="1228" w:type="dxa"/>
                  <w:tcBorders>
                    <w:top w:val="single" w:color="auto" w:sz="4" w:space="0"/>
                    <w:bottom w:val="single" w:color="auto" w:sz="4" w:space="0"/>
                    <w:right w:val="single" w:color="auto" w:sz="4" w:space="0"/>
                  </w:tcBorders>
                  <w:shd w:val="clear" w:color="auto" w:fill="auto"/>
                  <w:vAlign w:val="center"/>
                </w:tcPr>
                <w:p>
                  <w:pPr>
                    <w:pStyle w:val="36"/>
                  </w:pPr>
                  <w:r>
                    <w:rPr>
                      <w:rFonts w:hint="eastAsia"/>
                    </w:rPr>
                    <w:t>4</w:t>
                  </w:r>
                </w:p>
              </w:tc>
              <w:tc>
                <w:tcPr>
                  <w:tcW w:w="2898" w:type="dxa"/>
                  <w:tcBorders>
                    <w:top w:val="single" w:color="auto" w:sz="4" w:space="0"/>
                    <w:left w:val="nil"/>
                    <w:bottom w:val="single" w:color="auto" w:sz="4" w:space="0"/>
                    <w:right w:val="single" w:color="000000" w:sz="4" w:space="0"/>
                  </w:tcBorders>
                  <w:shd w:val="clear" w:color="auto" w:fill="auto"/>
                  <w:vAlign w:val="center"/>
                </w:tcPr>
                <w:p>
                  <w:pPr>
                    <w:pStyle w:val="36"/>
                  </w:pPr>
                  <w:r>
                    <w:rPr>
                      <w:rFonts w:hint="eastAsia"/>
                    </w:rPr>
                    <w:t>平板振捣器</w:t>
                  </w:r>
                </w:p>
              </w:tc>
              <w:tc>
                <w:tcPr>
                  <w:tcW w:w="1987" w:type="dxa"/>
                  <w:tcBorders>
                    <w:top w:val="single" w:color="auto" w:sz="4" w:space="0"/>
                    <w:left w:val="nil"/>
                    <w:bottom w:val="single" w:color="auto" w:sz="4" w:space="0"/>
                    <w:right w:val="single" w:color="auto" w:sz="4" w:space="0"/>
                  </w:tcBorders>
                  <w:shd w:val="clear" w:color="auto" w:fill="auto"/>
                  <w:vAlign w:val="center"/>
                </w:tcPr>
                <w:p>
                  <w:pPr>
                    <w:pStyle w:val="36"/>
                  </w:pPr>
                  <w:r>
                    <w:rPr>
                      <w:rFonts w:hint="eastAsia"/>
                    </w:rPr>
                    <w:t>台</w:t>
                  </w:r>
                </w:p>
              </w:tc>
              <w:tc>
                <w:tcPr>
                  <w:tcW w:w="2051" w:type="dxa"/>
                  <w:tcBorders>
                    <w:top w:val="single" w:color="auto" w:sz="4" w:space="0"/>
                    <w:left w:val="nil"/>
                    <w:bottom w:val="single" w:color="auto" w:sz="4" w:space="0"/>
                  </w:tcBorders>
                  <w:shd w:val="clear" w:color="auto" w:fill="auto"/>
                  <w:vAlign w:val="center"/>
                </w:tcPr>
                <w:p>
                  <w:pPr>
                    <w:pStyle w:val="36"/>
                  </w:pPr>
                  <w:r>
                    <w:rPr>
                      <w:rFonts w:hint="eastAsia"/>
                    </w:rPr>
                    <w:t>2</w:t>
                  </w:r>
                </w:p>
              </w:tc>
            </w:tr>
            <w:tr>
              <w:tblPrEx>
                <w:tblLayout w:type="fixed"/>
                <w:tblCellMar>
                  <w:top w:w="0" w:type="dxa"/>
                  <w:left w:w="108" w:type="dxa"/>
                  <w:bottom w:w="0" w:type="dxa"/>
                  <w:right w:w="108" w:type="dxa"/>
                </w:tblCellMar>
              </w:tblPrEx>
              <w:trPr>
                <w:trHeight w:val="439" w:hRule="atLeast"/>
                <w:jc w:val="center"/>
              </w:trPr>
              <w:tc>
                <w:tcPr>
                  <w:tcW w:w="1228" w:type="dxa"/>
                  <w:tcBorders>
                    <w:top w:val="single" w:color="auto" w:sz="4" w:space="0"/>
                    <w:bottom w:val="single" w:color="auto" w:sz="4" w:space="0"/>
                    <w:right w:val="single" w:color="auto" w:sz="4" w:space="0"/>
                  </w:tcBorders>
                  <w:shd w:val="clear" w:color="auto" w:fill="auto"/>
                  <w:vAlign w:val="center"/>
                </w:tcPr>
                <w:p>
                  <w:pPr>
                    <w:pStyle w:val="36"/>
                  </w:pPr>
                  <w:r>
                    <w:rPr>
                      <w:rFonts w:hint="eastAsia"/>
                    </w:rPr>
                    <w:t>5</w:t>
                  </w:r>
                </w:p>
              </w:tc>
              <w:tc>
                <w:tcPr>
                  <w:tcW w:w="2898" w:type="dxa"/>
                  <w:tcBorders>
                    <w:top w:val="single" w:color="auto" w:sz="4" w:space="0"/>
                    <w:left w:val="nil"/>
                    <w:bottom w:val="single" w:color="auto" w:sz="4" w:space="0"/>
                    <w:right w:val="single" w:color="000000" w:sz="4" w:space="0"/>
                  </w:tcBorders>
                  <w:shd w:val="clear" w:color="auto" w:fill="auto"/>
                  <w:vAlign w:val="center"/>
                </w:tcPr>
                <w:p>
                  <w:pPr>
                    <w:pStyle w:val="36"/>
                  </w:pPr>
                  <w:r>
                    <w:rPr>
                      <w:rFonts w:hint="eastAsia"/>
                    </w:rPr>
                    <w:t>手推车</w:t>
                  </w:r>
                </w:p>
              </w:tc>
              <w:tc>
                <w:tcPr>
                  <w:tcW w:w="1987" w:type="dxa"/>
                  <w:tcBorders>
                    <w:top w:val="single" w:color="auto" w:sz="4" w:space="0"/>
                    <w:left w:val="nil"/>
                    <w:bottom w:val="single" w:color="auto" w:sz="4" w:space="0"/>
                    <w:right w:val="single" w:color="auto" w:sz="4" w:space="0"/>
                  </w:tcBorders>
                  <w:shd w:val="clear" w:color="auto" w:fill="auto"/>
                  <w:vAlign w:val="center"/>
                </w:tcPr>
                <w:p>
                  <w:pPr>
                    <w:pStyle w:val="36"/>
                  </w:pPr>
                  <w:r>
                    <w:rPr>
                      <w:rFonts w:hint="eastAsia"/>
                    </w:rPr>
                    <w:t>台</w:t>
                  </w:r>
                </w:p>
              </w:tc>
              <w:tc>
                <w:tcPr>
                  <w:tcW w:w="2051" w:type="dxa"/>
                  <w:tcBorders>
                    <w:top w:val="single" w:color="auto" w:sz="4" w:space="0"/>
                    <w:left w:val="nil"/>
                    <w:bottom w:val="single" w:color="auto" w:sz="4" w:space="0"/>
                  </w:tcBorders>
                  <w:shd w:val="clear" w:color="auto" w:fill="auto"/>
                  <w:vAlign w:val="center"/>
                </w:tcPr>
                <w:p>
                  <w:pPr>
                    <w:pStyle w:val="36"/>
                  </w:pPr>
                  <w:r>
                    <w:rPr>
                      <w:rFonts w:hint="eastAsia"/>
                    </w:rPr>
                    <w:t>10</w:t>
                  </w:r>
                </w:p>
              </w:tc>
            </w:tr>
            <w:tr>
              <w:tblPrEx>
                <w:tblLayout w:type="fixed"/>
                <w:tblCellMar>
                  <w:top w:w="0" w:type="dxa"/>
                  <w:left w:w="108" w:type="dxa"/>
                  <w:bottom w:w="0" w:type="dxa"/>
                  <w:right w:w="108" w:type="dxa"/>
                </w:tblCellMar>
              </w:tblPrEx>
              <w:trPr>
                <w:trHeight w:val="462" w:hRule="atLeast"/>
                <w:jc w:val="center"/>
              </w:trPr>
              <w:tc>
                <w:tcPr>
                  <w:tcW w:w="1228" w:type="dxa"/>
                  <w:tcBorders>
                    <w:top w:val="single" w:color="auto" w:sz="4" w:space="0"/>
                    <w:bottom w:val="single" w:color="auto" w:sz="4" w:space="0"/>
                    <w:right w:val="single" w:color="auto" w:sz="4" w:space="0"/>
                  </w:tcBorders>
                  <w:shd w:val="clear" w:color="auto" w:fill="auto"/>
                  <w:vAlign w:val="center"/>
                </w:tcPr>
                <w:p>
                  <w:pPr>
                    <w:pStyle w:val="36"/>
                  </w:pPr>
                  <w:r>
                    <w:rPr>
                      <w:rFonts w:hint="eastAsia"/>
                    </w:rPr>
                    <w:t>6</w:t>
                  </w:r>
                </w:p>
              </w:tc>
              <w:tc>
                <w:tcPr>
                  <w:tcW w:w="2898" w:type="dxa"/>
                  <w:tcBorders>
                    <w:top w:val="single" w:color="auto" w:sz="4" w:space="0"/>
                    <w:left w:val="nil"/>
                    <w:bottom w:val="single" w:color="auto" w:sz="4" w:space="0"/>
                    <w:right w:val="single" w:color="000000" w:sz="4" w:space="0"/>
                  </w:tcBorders>
                  <w:shd w:val="clear" w:color="auto" w:fill="auto"/>
                  <w:vAlign w:val="center"/>
                </w:tcPr>
                <w:p>
                  <w:pPr>
                    <w:pStyle w:val="36"/>
                  </w:pPr>
                  <w:r>
                    <w:rPr>
                      <w:rFonts w:hint="eastAsia"/>
                    </w:rPr>
                    <w:t>三轮车</w:t>
                  </w:r>
                </w:p>
              </w:tc>
              <w:tc>
                <w:tcPr>
                  <w:tcW w:w="1987" w:type="dxa"/>
                  <w:tcBorders>
                    <w:top w:val="single" w:color="auto" w:sz="4" w:space="0"/>
                    <w:left w:val="nil"/>
                    <w:bottom w:val="single" w:color="auto" w:sz="4" w:space="0"/>
                    <w:right w:val="single" w:color="auto" w:sz="4" w:space="0"/>
                  </w:tcBorders>
                  <w:shd w:val="clear" w:color="auto" w:fill="auto"/>
                  <w:vAlign w:val="center"/>
                </w:tcPr>
                <w:p>
                  <w:pPr>
                    <w:pStyle w:val="36"/>
                  </w:pPr>
                  <w:r>
                    <w:rPr>
                      <w:rFonts w:hint="eastAsia"/>
                    </w:rPr>
                    <w:t>台</w:t>
                  </w:r>
                </w:p>
              </w:tc>
              <w:tc>
                <w:tcPr>
                  <w:tcW w:w="2051" w:type="dxa"/>
                  <w:tcBorders>
                    <w:top w:val="single" w:color="auto" w:sz="4" w:space="0"/>
                    <w:left w:val="nil"/>
                    <w:bottom w:val="single" w:color="auto" w:sz="4" w:space="0"/>
                  </w:tcBorders>
                  <w:shd w:val="clear" w:color="auto" w:fill="auto"/>
                  <w:vAlign w:val="center"/>
                </w:tcPr>
                <w:p>
                  <w:pPr>
                    <w:pStyle w:val="36"/>
                  </w:pPr>
                  <w:r>
                    <w:rPr>
                      <w:rFonts w:hint="eastAsia"/>
                    </w:rPr>
                    <w:t>10</w:t>
                  </w:r>
                </w:p>
              </w:tc>
            </w:tr>
            <w:tr>
              <w:tblPrEx>
                <w:tblLayout w:type="fixed"/>
                <w:tblCellMar>
                  <w:top w:w="0" w:type="dxa"/>
                  <w:left w:w="108" w:type="dxa"/>
                  <w:bottom w:w="0" w:type="dxa"/>
                  <w:right w:w="108" w:type="dxa"/>
                </w:tblCellMar>
              </w:tblPrEx>
              <w:trPr>
                <w:trHeight w:val="462" w:hRule="atLeast"/>
                <w:jc w:val="center"/>
              </w:trPr>
              <w:tc>
                <w:tcPr>
                  <w:tcW w:w="1228" w:type="dxa"/>
                  <w:tcBorders>
                    <w:top w:val="single" w:color="auto" w:sz="4" w:space="0"/>
                    <w:bottom w:val="single" w:color="auto" w:sz="4" w:space="0"/>
                    <w:right w:val="single" w:color="auto" w:sz="4" w:space="0"/>
                  </w:tcBorders>
                  <w:shd w:val="clear" w:color="auto" w:fill="auto"/>
                  <w:vAlign w:val="center"/>
                </w:tcPr>
                <w:p>
                  <w:pPr>
                    <w:pStyle w:val="36"/>
                  </w:pPr>
                  <w:r>
                    <w:rPr>
                      <w:rFonts w:hint="eastAsia"/>
                    </w:rPr>
                    <w:t>7</w:t>
                  </w:r>
                </w:p>
              </w:tc>
              <w:tc>
                <w:tcPr>
                  <w:tcW w:w="2898" w:type="dxa"/>
                  <w:tcBorders>
                    <w:top w:val="single" w:color="auto" w:sz="4" w:space="0"/>
                    <w:left w:val="nil"/>
                    <w:bottom w:val="single" w:color="auto" w:sz="4" w:space="0"/>
                    <w:right w:val="single" w:color="000000" w:sz="4" w:space="0"/>
                  </w:tcBorders>
                  <w:shd w:val="clear" w:color="auto" w:fill="auto"/>
                  <w:vAlign w:val="center"/>
                </w:tcPr>
                <w:p>
                  <w:pPr>
                    <w:pStyle w:val="36"/>
                  </w:pPr>
                  <w:r>
                    <w:rPr>
                      <w:rFonts w:hint="eastAsia"/>
                    </w:rPr>
                    <w:t>测量设备</w:t>
                  </w:r>
                </w:p>
              </w:tc>
              <w:tc>
                <w:tcPr>
                  <w:tcW w:w="1987" w:type="dxa"/>
                  <w:tcBorders>
                    <w:top w:val="single" w:color="auto" w:sz="4" w:space="0"/>
                    <w:left w:val="nil"/>
                    <w:bottom w:val="single" w:color="auto" w:sz="4" w:space="0"/>
                    <w:right w:val="single" w:color="auto" w:sz="4" w:space="0"/>
                  </w:tcBorders>
                  <w:shd w:val="clear" w:color="auto" w:fill="auto"/>
                  <w:vAlign w:val="center"/>
                </w:tcPr>
                <w:p>
                  <w:pPr>
                    <w:pStyle w:val="36"/>
                  </w:pPr>
                  <w:r>
                    <w:rPr>
                      <w:rFonts w:hint="eastAsia"/>
                    </w:rPr>
                    <w:t>台</w:t>
                  </w:r>
                </w:p>
              </w:tc>
              <w:tc>
                <w:tcPr>
                  <w:tcW w:w="2051" w:type="dxa"/>
                  <w:tcBorders>
                    <w:top w:val="single" w:color="auto" w:sz="4" w:space="0"/>
                    <w:left w:val="nil"/>
                    <w:bottom w:val="single" w:color="auto" w:sz="4" w:space="0"/>
                  </w:tcBorders>
                  <w:shd w:val="clear" w:color="auto" w:fill="auto"/>
                  <w:vAlign w:val="center"/>
                </w:tcPr>
                <w:p>
                  <w:pPr>
                    <w:pStyle w:val="36"/>
                  </w:pPr>
                  <w:r>
                    <w:rPr>
                      <w:rFonts w:hint="eastAsia"/>
                    </w:rPr>
                    <w:t>10</w:t>
                  </w:r>
                </w:p>
              </w:tc>
            </w:tr>
          </w:tbl>
          <w:p>
            <w:pPr>
              <w:pStyle w:val="40"/>
              <w:ind w:firstLine="482"/>
            </w:pPr>
            <w:r>
              <w:rPr>
                <w:rFonts w:hint="eastAsia"/>
              </w:rPr>
              <w:t>7、墨砚湖陆域土石方挖填分析</w:t>
            </w:r>
          </w:p>
          <w:p>
            <w:pPr>
              <w:pStyle w:val="42"/>
              <w:ind w:firstLine="480"/>
            </w:pPr>
            <w:r>
              <w:rPr>
                <w:rFonts w:hint="eastAsia"/>
              </w:rPr>
              <w:t>结合周边场平土石方开挖，对现状地形进行修整，回填现状地形中较低位置，回填后蓄水上湖2.41万m</w:t>
            </w:r>
            <w:r>
              <w:rPr>
                <w:rFonts w:hint="eastAsia"/>
                <w:vertAlign w:val="superscript"/>
              </w:rPr>
              <w:t>3</w:t>
            </w:r>
            <w:r>
              <w:rPr>
                <w:rFonts w:hint="eastAsia"/>
              </w:rPr>
              <w:t>，下湖31.65万方，湖体设计蓄水容积约41万m3，需要回填土体约36万m</w:t>
            </w:r>
            <w:r>
              <w:rPr>
                <w:rFonts w:hint="eastAsia"/>
                <w:vertAlign w:val="superscript"/>
              </w:rPr>
              <w:t>3</w:t>
            </w:r>
            <w:r>
              <w:rPr>
                <w:rFonts w:hint="eastAsia"/>
              </w:rPr>
              <w:t>。</w:t>
            </w:r>
          </w:p>
          <w:p>
            <w:pPr>
              <w:pStyle w:val="38"/>
            </w:pPr>
            <w:r>
              <w:rPr>
                <w:rFonts w:hint="eastAsia"/>
              </w:rPr>
              <w:t>表2-4 墨砚湖陆域土石方挖填分析表</w:t>
            </w:r>
          </w:p>
          <w:tbl>
            <w:tblPr>
              <w:tblStyle w:val="15"/>
              <w:tblW w:w="8943" w:type="dxa"/>
              <w:jc w:val="center"/>
              <w:tblInd w:w="0" w:type="dxa"/>
              <w:tblLayout w:type="fixed"/>
              <w:tblCellMar>
                <w:top w:w="0" w:type="dxa"/>
                <w:left w:w="0" w:type="dxa"/>
                <w:bottom w:w="0" w:type="dxa"/>
                <w:right w:w="0" w:type="dxa"/>
              </w:tblCellMar>
            </w:tblPr>
            <w:tblGrid>
              <w:gridCol w:w="1235"/>
              <w:gridCol w:w="1366"/>
              <w:gridCol w:w="1365"/>
              <w:gridCol w:w="989"/>
              <w:gridCol w:w="991"/>
              <w:gridCol w:w="1500"/>
              <w:gridCol w:w="1497"/>
            </w:tblGrid>
            <w:tr>
              <w:tblPrEx>
                <w:tblLayout w:type="fixed"/>
                <w:tblCellMar>
                  <w:top w:w="0" w:type="dxa"/>
                  <w:left w:w="0" w:type="dxa"/>
                  <w:bottom w:w="0" w:type="dxa"/>
                  <w:right w:w="0" w:type="dxa"/>
                </w:tblCellMar>
              </w:tblPrEx>
              <w:trPr>
                <w:trHeight w:val="285" w:hRule="atLeast"/>
                <w:jc w:val="center"/>
              </w:trPr>
              <w:tc>
                <w:tcPr>
                  <w:tcW w:w="1235" w:type="dxa"/>
                  <w:tcBorders>
                    <w:top w:val="single" w:color="000000" w:sz="4" w:space="0"/>
                    <w:bottom w:val="single" w:color="000000" w:sz="4" w:space="0"/>
                    <w:right w:val="single" w:color="000000" w:sz="4" w:space="0"/>
                  </w:tcBorders>
                  <w:noWrap/>
                  <w:tcMar>
                    <w:top w:w="15" w:type="dxa"/>
                    <w:left w:w="15" w:type="dxa"/>
                    <w:bottom w:w="0" w:type="dxa"/>
                    <w:right w:w="15" w:type="dxa"/>
                  </w:tcMar>
                  <w:vAlign w:val="center"/>
                </w:tcPr>
                <w:p>
                  <w:pPr>
                    <w:pStyle w:val="36"/>
                  </w:pPr>
                  <w:r>
                    <w:t>计算断面</w:t>
                  </w:r>
                </w:p>
              </w:tc>
              <w:tc>
                <w:tcPr>
                  <w:tcW w:w="3720" w:type="dxa"/>
                  <w:gridSpan w:val="3"/>
                  <w:tcBorders>
                    <w:top w:val="single" w:color="000000" w:sz="4" w:space="0"/>
                    <w:left w:val="nil"/>
                    <w:bottom w:val="single" w:color="000000" w:sz="4" w:space="0"/>
                    <w:right w:val="single" w:color="auto" w:sz="4" w:space="0"/>
                  </w:tcBorders>
                  <w:noWrap/>
                  <w:tcMar>
                    <w:top w:w="15" w:type="dxa"/>
                    <w:left w:w="15" w:type="dxa"/>
                    <w:bottom w:w="0" w:type="dxa"/>
                    <w:right w:w="15" w:type="dxa"/>
                  </w:tcMar>
                  <w:vAlign w:val="center"/>
                </w:tcPr>
                <w:p>
                  <w:pPr>
                    <w:pStyle w:val="36"/>
                  </w:pPr>
                  <w:r>
                    <w:t>断面积(m3)</w:t>
                  </w:r>
                </w:p>
              </w:tc>
              <w:tc>
                <w:tcPr>
                  <w:tcW w:w="3988" w:type="dxa"/>
                  <w:gridSpan w:val="3"/>
                  <w:tcBorders>
                    <w:top w:val="single" w:color="000000" w:sz="4" w:space="0"/>
                    <w:left w:val="single" w:color="auto" w:sz="4" w:space="0"/>
                    <w:bottom w:val="single" w:color="000000" w:sz="4" w:space="0"/>
                  </w:tcBorders>
                  <w:noWrap/>
                  <w:tcMar>
                    <w:top w:w="15" w:type="dxa"/>
                    <w:left w:w="15" w:type="dxa"/>
                    <w:bottom w:w="0" w:type="dxa"/>
                    <w:right w:w="15" w:type="dxa"/>
                  </w:tcMar>
                  <w:vAlign w:val="center"/>
                </w:tcPr>
                <w:p>
                  <w:pPr>
                    <w:pStyle w:val="36"/>
                  </w:pPr>
                  <w:r>
                    <w:t>挖填方（m3）</w:t>
                  </w:r>
                </w:p>
              </w:tc>
            </w:tr>
            <w:tr>
              <w:tblPrEx>
                <w:tblLayout w:type="fixed"/>
                <w:tblCellMar>
                  <w:top w:w="0" w:type="dxa"/>
                  <w:left w:w="0" w:type="dxa"/>
                  <w:bottom w:w="0" w:type="dxa"/>
                  <w:right w:w="0" w:type="dxa"/>
                </w:tblCellMar>
              </w:tblPrEx>
              <w:trPr>
                <w:trHeight w:val="285" w:hRule="atLeast"/>
                <w:jc w:val="center"/>
              </w:trPr>
              <w:tc>
                <w:tcPr>
                  <w:tcW w:w="1235" w:type="dxa"/>
                  <w:tcBorders>
                    <w:top w:val="single" w:color="000000" w:sz="4" w:space="0"/>
                    <w:bottom w:val="single" w:color="000000" w:sz="4" w:space="0"/>
                    <w:right w:val="single" w:color="000000" w:sz="4" w:space="0"/>
                  </w:tcBorders>
                  <w:noWrap/>
                  <w:tcMar>
                    <w:top w:w="15" w:type="dxa"/>
                    <w:left w:w="15" w:type="dxa"/>
                    <w:bottom w:w="0" w:type="dxa"/>
                    <w:right w:w="15" w:type="dxa"/>
                  </w:tcMar>
                  <w:vAlign w:val="center"/>
                </w:tcPr>
                <w:p>
                  <w:pPr>
                    <w:pStyle w:val="36"/>
                  </w:pPr>
                  <w:r>
                    <w:t>桩号</w:t>
                  </w:r>
                </w:p>
              </w:tc>
              <w:tc>
                <w:tcPr>
                  <w:tcW w:w="1366"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pStyle w:val="36"/>
                  </w:pPr>
                  <w:r>
                    <w:t>开挖面积</w:t>
                  </w:r>
                </w:p>
              </w:tc>
              <w:tc>
                <w:tcPr>
                  <w:tcW w:w="1365" w:type="dxa"/>
                  <w:tcBorders>
                    <w:top w:val="single" w:color="000000" w:sz="4" w:space="0"/>
                    <w:left w:val="nil"/>
                    <w:bottom w:val="single" w:color="000000" w:sz="4" w:space="0"/>
                    <w:right w:val="single" w:color="auto" w:sz="4" w:space="0"/>
                  </w:tcBorders>
                  <w:noWrap/>
                  <w:tcMar>
                    <w:top w:w="15" w:type="dxa"/>
                    <w:left w:w="15" w:type="dxa"/>
                    <w:bottom w:w="0" w:type="dxa"/>
                    <w:right w:w="15" w:type="dxa"/>
                  </w:tcMar>
                  <w:vAlign w:val="center"/>
                </w:tcPr>
                <w:p>
                  <w:pPr>
                    <w:pStyle w:val="36"/>
                  </w:pPr>
                  <w:r>
                    <w:t>回填面积</w:t>
                  </w:r>
                </w:p>
              </w:tc>
              <w:tc>
                <w:tcPr>
                  <w:tcW w:w="989" w:type="dxa"/>
                  <w:tcBorders>
                    <w:top w:val="single" w:color="auto" w:sz="4" w:space="0"/>
                    <w:left w:val="single" w:color="auto" w:sz="4" w:space="0"/>
                    <w:bottom w:val="single" w:color="auto" w:sz="4" w:space="0"/>
                    <w:right w:val="single" w:color="auto" w:sz="4" w:space="0"/>
                  </w:tcBorders>
                </w:tcPr>
                <w:p>
                  <w:pPr>
                    <w:pStyle w:val="36"/>
                  </w:pPr>
                  <w:r>
                    <w:t>蓄水</w:t>
                  </w:r>
                </w:p>
              </w:tc>
              <w:tc>
                <w:tcPr>
                  <w:tcW w:w="991" w:type="dxa"/>
                  <w:tcBorders>
                    <w:top w:val="single" w:color="000000" w:sz="4" w:space="0"/>
                    <w:left w:val="single" w:color="auto" w:sz="4" w:space="0"/>
                    <w:bottom w:val="single" w:color="000000" w:sz="4" w:space="0"/>
                    <w:right w:val="single" w:color="000000" w:sz="4" w:space="0"/>
                  </w:tcBorders>
                  <w:noWrap/>
                  <w:tcMar>
                    <w:top w:w="15" w:type="dxa"/>
                    <w:left w:w="15" w:type="dxa"/>
                    <w:bottom w:w="0" w:type="dxa"/>
                    <w:right w:w="15" w:type="dxa"/>
                  </w:tcMar>
                  <w:vAlign w:val="center"/>
                </w:tcPr>
                <w:p>
                  <w:pPr>
                    <w:pStyle w:val="36"/>
                  </w:pPr>
                  <w:r>
                    <w:t>挖除体积</w:t>
                  </w:r>
                </w:p>
              </w:tc>
              <w:tc>
                <w:tcPr>
                  <w:tcW w:w="1500"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pStyle w:val="36"/>
                  </w:pPr>
                  <w:r>
                    <w:t>回填体积</w:t>
                  </w:r>
                </w:p>
              </w:tc>
              <w:tc>
                <w:tcPr>
                  <w:tcW w:w="1497" w:type="dxa"/>
                  <w:tcBorders>
                    <w:top w:val="single" w:color="000000" w:sz="4" w:space="0"/>
                    <w:left w:val="nil"/>
                    <w:bottom w:val="single" w:color="000000" w:sz="4" w:space="0"/>
                  </w:tcBorders>
                </w:tcPr>
                <w:p>
                  <w:pPr>
                    <w:pStyle w:val="36"/>
                  </w:pPr>
                  <w:r>
                    <w:t>蓄水</w:t>
                  </w:r>
                </w:p>
              </w:tc>
            </w:tr>
            <w:tr>
              <w:tblPrEx>
                <w:tblLayout w:type="fixed"/>
                <w:tblCellMar>
                  <w:top w:w="0" w:type="dxa"/>
                  <w:left w:w="0" w:type="dxa"/>
                  <w:bottom w:w="0" w:type="dxa"/>
                  <w:right w:w="0" w:type="dxa"/>
                </w:tblCellMar>
              </w:tblPrEx>
              <w:trPr>
                <w:trHeight w:val="285" w:hRule="atLeast"/>
                <w:jc w:val="center"/>
              </w:trPr>
              <w:tc>
                <w:tcPr>
                  <w:tcW w:w="1235" w:type="dxa"/>
                  <w:tcBorders>
                    <w:top w:val="single" w:color="000000" w:sz="4" w:space="0"/>
                    <w:bottom w:val="single" w:color="000000" w:sz="4" w:space="0"/>
                    <w:right w:val="single" w:color="000000" w:sz="4" w:space="0"/>
                  </w:tcBorders>
                  <w:noWrap/>
                  <w:tcMar>
                    <w:top w:w="15" w:type="dxa"/>
                    <w:left w:w="15" w:type="dxa"/>
                    <w:bottom w:w="0" w:type="dxa"/>
                    <w:right w:w="15" w:type="dxa"/>
                  </w:tcMar>
                  <w:vAlign w:val="center"/>
                </w:tcPr>
                <w:p>
                  <w:pPr>
                    <w:pStyle w:val="36"/>
                  </w:pPr>
                  <w:r>
                    <w:t>B0+000</w:t>
                  </w:r>
                </w:p>
              </w:tc>
              <w:tc>
                <w:tcPr>
                  <w:tcW w:w="1366"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pStyle w:val="36"/>
                  </w:pPr>
                  <w:r>
                    <w:t>0</w:t>
                  </w:r>
                </w:p>
              </w:tc>
              <w:tc>
                <w:tcPr>
                  <w:tcW w:w="1365" w:type="dxa"/>
                  <w:tcBorders>
                    <w:top w:val="single" w:color="000000" w:sz="4" w:space="0"/>
                    <w:left w:val="nil"/>
                    <w:bottom w:val="single" w:color="000000" w:sz="4" w:space="0"/>
                    <w:right w:val="single" w:color="auto" w:sz="4" w:space="0"/>
                  </w:tcBorders>
                  <w:noWrap/>
                  <w:tcMar>
                    <w:top w:w="15" w:type="dxa"/>
                    <w:left w:w="15" w:type="dxa"/>
                    <w:bottom w:w="0" w:type="dxa"/>
                    <w:right w:w="15" w:type="dxa"/>
                  </w:tcMar>
                  <w:vAlign w:val="center"/>
                </w:tcPr>
                <w:p>
                  <w:pPr>
                    <w:pStyle w:val="36"/>
                  </w:pPr>
                  <w:r>
                    <w:t>0</w:t>
                  </w:r>
                </w:p>
              </w:tc>
              <w:tc>
                <w:tcPr>
                  <w:tcW w:w="989" w:type="dxa"/>
                  <w:tcBorders>
                    <w:top w:val="single" w:color="auto" w:sz="4" w:space="0"/>
                    <w:left w:val="single" w:color="auto" w:sz="4" w:space="0"/>
                    <w:bottom w:val="single" w:color="auto" w:sz="4" w:space="0"/>
                    <w:right w:val="single" w:color="auto" w:sz="4" w:space="0"/>
                  </w:tcBorders>
                </w:tcPr>
                <w:p>
                  <w:pPr>
                    <w:pStyle w:val="36"/>
                  </w:pPr>
                  <w:r>
                    <w:t>0</w:t>
                  </w:r>
                </w:p>
              </w:tc>
              <w:tc>
                <w:tcPr>
                  <w:tcW w:w="991" w:type="dxa"/>
                  <w:tcBorders>
                    <w:top w:val="single" w:color="000000" w:sz="4" w:space="0"/>
                    <w:left w:val="single" w:color="auto" w:sz="4" w:space="0"/>
                    <w:bottom w:val="single" w:color="000000" w:sz="4" w:space="0"/>
                    <w:right w:val="single" w:color="000000" w:sz="4" w:space="0"/>
                  </w:tcBorders>
                  <w:noWrap/>
                  <w:tcMar>
                    <w:top w:w="15" w:type="dxa"/>
                    <w:left w:w="15" w:type="dxa"/>
                    <w:bottom w:w="0" w:type="dxa"/>
                    <w:right w:w="15" w:type="dxa"/>
                  </w:tcMar>
                  <w:vAlign w:val="center"/>
                </w:tcPr>
                <w:p>
                  <w:pPr>
                    <w:pStyle w:val="36"/>
                  </w:pPr>
                </w:p>
              </w:tc>
              <w:tc>
                <w:tcPr>
                  <w:tcW w:w="1500"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pStyle w:val="36"/>
                  </w:pPr>
                </w:p>
              </w:tc>
              <w:tc>
                <w:tcPr>
                  <w:tcW w:w="1497" w:type="dxa"/>
                  <w:tcBorders>
                    <w:top w:val="single" w:color="000000" w:sz="4" w:space="0"/>
                    <w:left w:val="nil"/>
                    <w:bottom w:val="single" w:color="000000" w:sz="4" w:space="0"/>
                  </w:tcBorders>
                </w:tcPr>
                <w:p>
                  <w:pPr>
                    <w:pStyle w:val="36"/>
                  </w:pPr>
                </w:p>
              </w:tc>
            </w:tr>
            <w:tr>
              <w:tblPrEx>
                <w:tblLayout w:type="fixed"/>
                <w:tblCellMar>
                  <w:top w:w="0" w:type="dxa"/>
                  <w:left w:w="0" w:type="dxa"/>
                  <w:bottom w:w="0" w:type="dxa"/>
                  <w:right w:w="0" w:type="dxa"/>
                </w:tblCellMar>
              </w:tblPrEx>
              <w:trPr>
                <w:trHeight w:val="285" w:hRule="atLeast"/>
                <w:jc w:val="center"/>
              </w:trPr>
              <w:tc>
                <w:tcPr>
                  <w:tcW w:w="1235" w:type="dxa"/>
                  <w:tcBorders>
                    <w:top w:val="single" w:color="000000" w:sz="4" w:space="0"/>
                    <w:bottom w:val="single" w:color="000000" w:sz="4" w:space="0"/>
                    <w:right w:val="single" w:color="000000" w:sz="4" w:space="0"/>
                  </w:tcBorders>
                  <w:noWrap/>
                  <w:tcMar>
                    <w:top w:w="15" w:type="dxa"/>
                    <w:left w:w="15" w:type="dxa"/>
                    <w:bottom w:w="0" w:type="dxa"/>
                    <w:right w:w="15" w:type="dxa"/>
                  </w:tcMar>
                  <w:vAlign w:val="center"/>
                </w:tcPr>
                <w:p>
                  <w:pPr>
                    <w:pStyle w:val="36"/>
                  </w:pPr>
                  <w:r>
                    <w:t>B0+050</w:t>
                  </w:r>
                </w:p>
              </w:tc>
              <w:tc>
                <w:tcPr>
                  <w:tcW w:w="1366"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pStyle w:val="36"/>
                  </w:pPr>
                  <w:r>
                    <w:t>410</w:t>
                  </w:r>
                </w:p>
              </w:tc>
              <w:tc>
                <w:tcPr>
                  <w:tcW w:w="1365" w:type="dxa"/>
                  <w:tcBorders>
                    <w:top w:val="single" w:color="000000" w:sz="4" w:space="0"/>
                    <w:left w:val="nil"/>
                    <w:bottom w:val="single" w:color="000000" w:sz="4" w:space="0"/>
                    <w:right w:val="single" w:color="auto" w:sz="4" w:space="0"/>
                  </w:tcBorders>
                  <w:noWrap/>
                  <w:tcMar>
                    <w:top w:w="15" w:type="dxa"/>
                    <w:left w:w="15" w:type="dxa"/>
                    <w:bottom w:w="0" w:type="dxa"/>
                    <w:right w:w="15" w:type="dxa"/>
                  </w:tcMar>
                  <w:vAlign w:val="center"/>
                </w:tcPr>
                <w:p>
                  <w:pPr>
                    <w:pStyle w:val="36"/>
                  </w:pPr>
                  <w:r>
                    <w:t>0</w:t>
                  </w:r>
                </w:p>
              </w:tc>
              <w:tc>
                <w:tcPr>
                  <w:tcW w:w="989" w:type="dxa"/>
                  <w:tcBorders>
                    <w:top w:val="single" w:color="auto" w:sz="4" w:space="0"/>
                    <w:left w:val="single" w:color="auto" w:sz="4" w:space="0"/>
                    <w:bottom w:val="single" w:color="auto" w:sz="4" w:space="0"/>
                    <w:right w:val="single" w:color="auto" w:sz="4" w:space="0"/>
                  </w:tcBorders>
                </w:tcPr>
                <w:p>
                  <w:pPr>
                    <w:pStyle w:val="36"/>
                  </w:pPr>
                  <w:r>
                    <w:t>116</w:t>
                  </w:r>
                </w:p>
              </w:tc>
              <w:tc>
                <w:tcPr>
                  <w:tcW w:w="991" w:type="dxa"/>
                  <w:tcBorders>
                    <w:top w:val="single" w:color="000000" w:sz="4" w:space="0"/>
                    <w:left w:val="single" w:color="auto" w:sz="4" w:space="0"/>
                    <w:bottom w:val="single" w:color="000000" w:sz="4" w:space="0"/>
                    <w:right w:val="single" w:color="000000" w:sz="4" w:space="0"/>
                  </w:tcBorders>
                  <w:noWrap/>
                  <w:tcMar>
                    <w:top w:w="15" w:type="dxa"/>
                    <w:left w:w="15" w:type="dxa"/>
                    <w:bottom w:w="0" w:type="dxa"/>
                    <w:right w:w="15" w:type="dxa"/>
                  </w:tcMar>
                  <w:vAlign w:val="center"/>
                </w:tcPr>
                <w:p>
                  <w:pPr>
                    <w:pStyle w:val="36"/>
                  </w:pPr>
                  <w:r>
                    <w:t>10250</w:t>
                  </w:r>
                </w:p>
              </w:tc>
              <w:tc>
                <w:tcPr>
                  <w:tcW w:w="1500"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pStyle w:val="36"/>
                  </w:pPr>
                  <w:r>
                    <w:t>0</w:t>
                  </w:r>
                </w:p>
              </w:tc>
              <w:tc>
                <w:tcPr>
                  <w:tcW w:w="1497" w:type="dxa"/>
                  <w:tcBorders>
                    <w:top w:val="single" w:color="000000" w:sz="4" w:space="0"/>
                    <w:left w:val="nil"/>
                    <w:bottom w:val="single" w:color="000000" w:sz="4" w:space="0"/>
                  </w:tcBorders>
                </w:tcPr>
                <w:p>
                  <w:pPr>
                    <w:pStyle w:val="36"/>
                  </w:pPr>
                  <w:r>
                    <w:t>2900</w:t>
                  </w:r>
                </w:p>
              </w:tc>
            </w:tr>
            <w:tr>
              <w:tblPrEx>
                <w:tblLayout w:type="fixed"/>
                <w:tblCellMar>
                  <w:top w:w="0" w:type="dxa"/>
                  <w:left w:w="0" w:type="dxa"/>
                  <w:bottom w:w="0" w:type="dxa"/>
                  <w:right w:w="0" w:type="dxa"/>
                </w:tblCellMar>
              </w:tblPrEx>
              <w:trPr>
                <w:trHeight w:val="285" w:hRule="atLeast"/>
                <w:jc w:val="center"/>
              </w:trPr>
              <w:tc>
                <w:tcPr>
                  <w:tcW w:w="1235" w:type="dxa"/>
                  <w:tcBorders>
                    <w:top w:val="single" w:color="000000" w:sz="4" w:space="0"/>
                    <w:bottom w:val="single" w:color="000000" w:sz="4" w:space="0"/>
                    <w:right w:val="single" w:color="000000" w:sz="4" w:space="0"/>
                  </w:tcBorders>
                  <w:noWrap/>
                  <w:tcMar>
                    <w:top w:w="15" w:type="dxa"/>
                    <w:left w:w="15" w:type="dxa"/>
                    <w:bottom w:w="0" w:type="dxa"/>
                    <w:right w:w="15" w:type="dxa"/>
                  </w:tcMar>
                  <w:vAlign w:val="center"/>
                </w:tcPr>
                <w:p>
                  <w:pPr>
                    <w:pStyle w:val="36"/>
                  </w:pPr>
                  <w:r>
                    <w:t>B0+100</w:t>
                  </w:r>
                </w:p>
              </w:tc>
              <w:tc>
                <w:tcPr>
                  <w:tcW w:w="1366"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pStyle w:val="36"/>
                  </w:pPr>
                  <w:r>
                    <w:t>177</w:t>
                  </w:r>
                </w:p>
              </w:tc>
              <w:tc>
                <w:tcPr>
                  <w:tcW w:w="1365" w:type="dxa"/>
                  <w:tcBorders>
                    <w:top w:val="single" w:color="000000" w:sz="4" w:space="0"/>
                    <w:left w:val="nil"/>
                    <w:bottom w:val="single" w:color="000000" w:sz="4" w:space="0"/>
                    <w:right w:val="single" w:color="auto" w:sz="4" w:space="0"/>
                  </w:tcBorders>
                  <w:noWrap/>
                  <w:tcMar>
                    <w:top w:w="15" w:type="dxa"/>
                    <w:left w:w="15" w:type="dxa"/>
                    <w:bottom w:w="0" w:type="dxa"/>
                    <w:right w:w="15" w:type="dxa"/>
                  </w:tcMar>
                  <w:vAlign w:val="center"/>
                </w:tcPr>
                <w:p>
                  <w:pPr>
                    <w:pStyle w:val="36"/>
                  </w:pPr>
                  <w:r>
                    <w:t>52.05</w:t>
                  </w:r>
                </w:p>
              </w:tc>
              <w:tc>
                <w:tcPr>
                  <w:tcW w:w="989" w:type="dxa"/>
                  <w:tcBorders>
                    <w:top w:val="single" w:color="auto" w:sz="4" w:space="0"/>
                    <w:left w:val="single" w:color="auto" w:sz="4" w:space="0"/>
                    <w:bottom w:val="single" w:color="auto" w:sz="4" w:space="0"/>
                    <w:right w:val="single" w:color="auto" w:sz="4" w:space="0"/>
                  </w:tcBorders>
                </w:tcPr>
                <w:p>
                  <w:pPr>
                    <w:pStyle w:val="36"/>
                  </w:pPr>
                  <w:r>
                    <w:t>401.5</w:t>
                  </w:r>
                </w:p>
              </w:tc>
              <w:tc>
                <w:tcPr>
                  <w:tcW w:w="991" w:type="dxa"/>
                  <w:tcBorders>
                    <w:top w:val="single" w:color="000000" w:sz="4" w:space="0"/>
                    <w:left w:val="single" w:color="auto" w:sz="4" w:space="0"/>
                    <w:bottom w:val="single" w:color="000000" w:sz="4" w:space="0"/>
                    <w:right w:val="single" w:color="000000" w:sz="4" w:space="0"/>
                  </w:tcBorders>
                  <w:noWrap/>
                  <w:tcMar>
                    <w:top w:w="15" w:type="dxa"/>
                    <w:left w:w="15" w:type="dxa"/>
                    <w:bottom w:w="0" w:type="dxa"/>
                    <w:right w:w="15" w:type="dxa"/>
                  </w:tcMar>
                  <w:vAlign w:val="center"/>
                </w:tcPr>
                <w:p>
                  <w:pPr>
                    <w:pStyle w:val="36"/>
                  </w:pPr>
                  <w:r>
                    <w:t>14675</w:t>
                  </w:r>
                </w:p>
              </w:tc>
              <w:tc>
                <w:tcPr>
                  <w:tcW w:w="1500"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pStyle w:val="36"/>
                  </w:pPr>
                  <w:r>
                    <w:t>1301</w:t>
                  </w:r>
                </w:p>
              </w:tc>
              <w:tc>
                <w:tcPr>
                  <w:tcW w:w="1497" w:type="dxa"/>
                  <w:tcBorders>
                    <w:top w:val="single" w:color="000000" w:sz="4" w:space="0"/>
                    <w:left w:val="nil"/>
                    <w:bottom w:val="single" w:color="000000" w:sz="4" w:space="0"/>
                  </w:tcBorders>
                </w:tcPr>
                <w:p>
                  <w:pPr>
                    <w:pStyle w:val="36"/>
                  </w:pPr>
                  <w:r>
                    <w:t>12938</w:t>
                  </w:r>
                </w:p>
              </w:tc>
            </w:tr>
            <w:tr>
              <w:tblPrEx>
                <w:tblLayout w:type="fixed"/>
                <w:tblCellMar>
                  <w:top w:w="0" w:type="dxa"/>
                  <w:left w:w="0" w:type="dxa"/>
                  <w:bottom w:w="0" w:type="dxa"/>
                  <w:right w:w="0" w:type="dxa"/>
                </w:tblCellMar>
              </w:tblPrEx>
              <w:trPr>
                <w:trHeight w:val="285" w:hRule="atLeast"/>
                <w:jc w:val="center"/>
              </w:trPr>
              <w:tc>
                <w:tcPr>
                  <w:tcW w:w="1235" w:type="dxa"/>
                  <w:tcBorders>
                    <w:top w:val="single" w:color="000000" w:sz="4" w:space="0"/>
                    <w:bottom w:val="single" w:color="000000" w:sz="4" w:space="0"/>
                    <w:right w:val="single" w:color="000000" w:sz="4" w:space="0"/>
                  </w:tcBorders>
                  <w:noWrap/>
                  <w:tcMar>
                    <w:top w:w="15" w:type="dxa"/>
                    <w:left w:w="15" w:type="dxa"/>
                    <w:bottom w:w="0" w:type="dxa"/>
                    <w:right w:w="15" w:type="dxa"/>
                  </w:tcMar>
                  <w:vAlign w:val="center"/>
                </w:tcPr>
                <w:p>
                  <w:pPr>
                    <w:pStyle w:val="36"/>
                  </w:pPr>
                  <w:r>
                    <w:t>B0+150</w:t>
                  </w:r>
                </w:p>
              </w:tc>
              <w:tc>
                <w:tcPr>
                  <w:tcW w:w="1366"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pStyle w:val="36"/>
                  </w:pPr>
                  <w:r>
                    <w:t>0</w:t>
                  </w:r>
                </w:p>
              </w:tc>
              <w:tc>
                <w:tcPr>
                  <w:tcW w:w="1365" w:type="dxa"/>
                  <w:tcBorders>
                    <w:top w:val="single" w:color="000000" w:sz="4" w:space="0"/>
                    <w:left w:val="nil"/>
                    <w:bottom w:val="single" w:color="000000" w:sz="4" w:space="0"/>
                    <w:right w:val="single" w:color="auto" w:sz="4" w:space="0"/>
                  </w:tcBorders>
                  <w:noWrap/>
                  <w:tcMar>
                    <w:top w:w="15" w:type="dxa"/>
                    <w:left w:w="15" w:type="dxa"/>
                    <w:bottom w:w="0" w:type="dxa"/>
                    <w:right w:w="15" w:type="dxa"/>
                  </w:tcMar>
                  <w:vAlign w:val="center"/>
                </w:tcPr>
                <w:p>
                  <w:pPr>
                    <w:pStyle w:val="36"/>
                  </w:pPr>
                  <w:r>
                    <w:t>147.59</w:t>
                  </w:r>
                </w:p>
              </w:tc>
              <w:tc>
                <w:tcPr>
                  <w:tcW w:w="989" w:type="dxa"/>
                  <w:tcBorders>
                    <w:top w:val="single" w:color="auto" w:sz="4" w:space="0"/>
                    <w:left w:val="single" w:color="auto" w:sz="4" w:space="0"/>
                    <w:bottom w:val="single" w:color="auto" w:sz="4" w:space="0"/>
                    <w:right w:val="single" w:color="auto" w:sz="4" w:space="0"/>
                  </w:tcBorders>
                </w:tcPr>
                <w:p>
                  <w:pPr>
                    <w:pStyle w:val="36"/>
                  </w:pPr>
                  <w:r>
                    <w:t>143.04</w:t>
                  </w:r>
                </w:p>
              </w:tc>
              <w:tc>
                <w:tcPr>
                  <w:tcW w:w="991" w:type="dxa"/>
                  <w:tcBorders>
                    <w:top w:val="single" w:color="000000" w:sz="4" w:space="0"/>
                    <w:left w:val="single" w:color="auto" w:sz="4" w:space="0"/>
                    <w:bottom w:val="single" w:color="000000" w:sz="4" w:space="0"/>
                    <w:right w:val="single" w:color="000000" w:sz="4" w:space="0"/>
                  </w:tcBorders>
                  <w:noWrap/>
                  <w:tcMar>
                    <w:top w:w="15" w:type="dxa"/>
                    <w:left w:w="15" w:type="dxa"/>
                    <w:bottom w:w="0" w:type="dxa"/>
                    <w:right w:w="15" w:type="dxa"/>
                  </w:tcMar>
                  <w:vAlign w:val="center"/>
                </w:tcPr>
                <w:p>
                  <w:pPr>
                    <w:pStyle w:val="36"/>
                  </w:pPr>
                  <w:r>
                    <w:t>4425</w:t>
                  </w:r>
                </w:p>
              </w:tc>
              <w:tc>
                <w:tcPr>
                  <w:tcW w:w="1500"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pStyle w:val="36"/>
                  </w:pPr>
                  <w:r>
                    <w:t>4991</w:t>
                  </w:r>
                </w:p>
              </w:tc>
              <w:tc>
                <w:tcPr>
                  <w:tcW w:w="1497" w:type="dxa"/>
                  <w:tcBorders>
                    <w:top w:val="single" w:color="000000" w:sz="4" w:space="0"/>
                    <w:left w:val="nil"/>
                    <w:bottom w:val="single" w:color="000000" w:sz="4" w:space="0"/>
                  </w:tcBorders>
                </w:tcPr>
                <w:p>
                  <w:pPr>
                    <w:pStyle w:val="36"/>
                  </w:pPr>
                  <w:r>
                    <w:t>13614</w:t>
                  </w:r>
                </w:p>
              </w:tc>
            </w:tr>
            <w:tr>
              <w:tblPrEx>
                <w:tblLayout w:type="fixed"/>
                <w:tblCellMar>
                  <w:top w:w="0" w:type="dxa"/>
                  <w:left w:w="0" w:type="dxa"/>
                  <w:bottom w:w="0" w:type="dxa"/>
                  <w:right w:w="0" w:type="dxa"/>
                </w:tblCellMar>
              </w:tblPrEx>
              <w:trPr>
                <w:trHeight w:val="285" w:hRule="atLeast"/>
                <w:jc w:val="center"/>
              </w:trPr>
              <w:tc>
                <w:tcPr>
                  <w:tcW w:w="1235" w:type="dxa"/>
                  <w:tcBorders>
                    <w:top w:val="single" w:color="000000" w:sz="4" w:space="0"/>
                    <w:bottom w:val="single" w:color="000000" w:sz="4" w:space="0"/>
                    <w:right w:val="single" w:color="000000" w:sz="4" w:space="0"/>
                  </w:tcBorders>
                  <w:noWrap/>
                  <w:tcMar>
                    <w:top w:w="15" w:type="dxa"/>
                    <w:left w:w="15" w:type="dxa"/>
                    <w:bottom w:w="0" w:type="dxa"/>
                    <w:right w:w="15" w:type="dxa"/>
                  </w:tcMar>
                  <w:vAlign w:val="center"/>
                </w:tcPr>
                <w:p>
                  <w:pPr>
                    <w:pStyle w:val="36"/>
                  </w:pPr>
                  <w:r>
                    <w:t>B0+200</w:t>
                  </w:r>
                </w:p>
              </w:tc>
              <w:tc>
                <w:tcPr>
                  <w:tcW w:w="1366"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pStyle w:val="36"/>
                  </w:pPr>
                  <w:r>
                    <w:t>0.52</w:t>
                  </w:r>
                </w:p>
              </w:tc>
              <w:tc>
                <w:tcPr>
                  <w:tcW w:w="1365" w:type="dxa"/>
                  <w:tcBorders>
                    <w:top w:val="single" w:color="000000" w:sz="4" w:space="0"/>
                    <w:left w:val="nil"/>
                    <w:bottom w:val="single" w:color="000000" w:sz="4" w:space="0"/>
                    <w:right w:val="single" w:color="auto" w:sz="4" w:space="0"/>
                  </w:tcBorders>
                  <w:noWrap/>
                  <w:tcMar>
                    <w:top w:w="15" w:type="dxa"/>
                    <w:left w:w="15" w:type="dxa"/>
                    <w:bottom w:w="0" w:type="dxa"/>
                    <w:right w:w="15" w:type="dxa"/>
                  </w:tcMar>
                  <w:vAlign w:val="center"/>
                </w:tcPr>
                <w:p>
                  <w:pPr>
                    <w:pStyle w:val="36"/>
                  </w:pPr>
                  <w:r>
                    <w:t>88.14</w:t>
                  </w:r>
                </w:p>
              </w:tc>
              <w:tc>
                <w:tcPr>
                  <w:tcW w:w="989" w:type="dxa"/>
                  <w:tcBorders>
                    <w:top w:val="single" w:color="auto" w:sz="4" w:space="0"/>
                    <w:left w:val="single" w:color="auto" w:sz="4" w:space="0"/>
                    <w:bottom w:val="single" w:color="auto" w:sz="4" w:space="0"/>
                    <w:right w:val="single" w:color="auto" w:sz="4" w:space="0"/>
                  </w:tcBorders>
                </w:tcPr>
                <w:p>
                  <w:pPr>
                    <w:pStyle w:val="36"/>
                  </w:pPr>
                  <w:r>
                    <w:t>133.05</w:t>
                  </w:r>
                </w:p>
              </w:tc>
              <w:tc>
                <w:tcPr>
                  <w:tcW w:w="991" w:type="dxa"/>
                  <w:tcBorders>
                    <w:top w:val="single" w:color="000000" w:sz="4" w:space="0"/>
                    <w:left w:val="single" w:color="auto" w:sz="4" w:space="0"/>
                    <w:bottom w:val="single" w:color="000000" w:sz="4" w:space="0"/>
                    <w:right w:val="single" w:color="000000" w:sz="4" w:space="0"/>
                  </w:tcBorders>
                  <w:noWrap/>
                  <w:tcMar>
                    <w:top w:w="15" w:type="dxa"/>
                    <w:left w:w="15" w:type="dxa"/>
                    <w:bottom w:w="0" w:type="dxa"/>
                    <w:right w:w="15" w:type="dxa"/>
                  </w:tcMar>
                  <w:vAlign w:val="center"/>
                </w:tcPr>
                <w:p>
                  <w:pPr>
                    <w:pStyle w:val="36"/>
                  </w:pPr>
                  <w:r>
                    <w:t>13</w:t>
                  </w:r>
                </w:p>
              </w:tc>
              <w:tc>
                <w:tcPr>
                  <w:tcW w:w="1500"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pStyle w:val="36"/>
                  </w:pPr>
                  <w:r>
                    <w:t>5893</w:t>
                  </w:r>
                </w:p>
              </w:tc>
              <w:tc>
                <w:tcPr>
                  <w:tcW w:w="1497" w:type="dxa"/>
                  <w:tcBorders>
                    <w:top w:val="single" w:color="000000" w:sz="4" w:space="0"/>
                    <w:left w:val="nil"/>
                    <w:bottom w:val="single" w:color="000000" w:sz="4" w:space="0"/>
                  </w:tcBorders>
                </w:tcPr>
                <w:p>
                  <w:pPr>
                    <w:pStyle w:val="36"/>
                  </w:pPr>
                  <w:r>
                    <w:t>6902</w:t>
                  </w:r>
                </w:p>
              </w:tc>
            </w:tr>
            <w:tr>
              <w:tblPrEx>
                <w:tblLayout w:type="fixed"/>
                <w:tblCellMar>
                  <w:top w:w="0" w:type="dxa"/>
                  <w:left w:w="0" w:type="dxa"/>
                  <w:bottom w:w="0" w:type="dxa"/>
                  <w:right w:w="0" w:type="dxa"/>
                </w:tblCellMar>
              </w:tblPrEx>
              <w:trPr>
                <w:trHeight w:val="285" w:hRule="atLeast"/>
                <w:jc w:val="center"/>
              </w:trPr>
              <w:tc>
                <w:tcPr>
                  <w:tcW w:w="1235" w:type="dxa"/>
                  <w:tcBorders>
                    <w:top w:val="single" w:color="000000" w:sz="4" w:space="0"/>
                    <w:bottom w:val="single" w:color="000000" w:sz="4" w:space="0"/>
                    <w:right w:val="single" w:color="000000" w:sz="4" w:space="0"/>
                  </w:tcBorders>
                  <w:noWrap/>
                  <w:tcMar>
                    <w:top w:w="15" w:type="dxa"/>
                    <w:left w:w="15" w:type="dxa"/>
                    <w:bottom w:w="0" w:type="dxa"/>
                    <w:right w:w="15" w:type="dxa"/>
                  </w:tcMar>
                  <w:vAlign w:val="center"/>
                </w:tcPr>
                <w:p>
                  <w:pPr>
                    <w:pStyle w:val="36"/>
                  </w:pPr>
                  <w:r>
                    <w:t>B0+250</w:t>
                  </w:r>
                </w:p>
              </w:tc>
              <w:tc>
                <w:tcPr>
                  <w:tcW w:w="1366"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pStyle w:val="36"/>
                  </w:pPr>
                  <w:r>
                    <w:t>0</w:t>
                  </w:r>
                </w:p>
              </w:tc>
              <w:tc>
                <w:tcPr>
                  <w:tcW w:w="1365" w:type="dxa"/>
                  <w:tcBorders>
                    <w:top w:val="single" w:color="000000" w:sz="4" w:space="0"/>
                    <w:left w:val="nil"/>
                    <w:bottom w:val="single" w:color="000000" w:sz="4" w:space="0"/>
                    <w:right w:val="single" w:color="auto" w:sz="4" w:space="0"/>
                  </w:tcBorders>
                  <w:noWrap/>
                  <w:tcMar>
                    <w:top w:w="15" w:type="dxa"/>
                    <w:left w:w="15" w:type="dxa"/>
                    <w:bottom w:w="0" w:type="dxa"/>
                    <w:right w:w="15" w:type="dxa"/>
                  </w:tcMar>
                  <w:vAlign w:val="center"/>
                </w:tcPr>
                <w:p>
                  <w:pPr>
                    <w:pStyle w:val="36"/>
                  </w:pPr>
                  <w:r>
                    <w:t>406.72</w:t>
                  </w:r>
                </w:p>
              </w:tc>
              <w:tc>
                <w:tcPr>
                  <w:tcW w:w="989" w:type="dxa"/>
                  <w:tcBorders>
                    <w:top w:val="single" w:color="auto" w:sz="4" w:space="0"/>
                    <w:left w:val="single" w:color="auto" w:sz="4" w:space="0"/>
                    <w:bottom w:val="single" w:color="auto" w:sz="4" w:space="0"/>
                    <w:right w:val="single" w:color="auto" w:sz="4" w:space="0"/>
                  </w:tcBorders>
                </w:tcPr>
                <w:p>
                  <w:pPr>
                    <w:pStyle w:val="36"/>
                  </w:pPr>
                  <w:r>
                    <w:t>360.24</w:t>
                  </w:r>
                </w:p>
              </w:tc>
              <w:tc>
                <w:tcPr>
                  <w:tcW w:w="991" w:type="dxa"/>
                  <w:tcBorders>
                    <w:top w:val="single" w:color="000000" w:sz="4" w:space="0"/>
                    <w:left w:val="single" w:color="auto" w:sz="4" w:space="0"/>
                    <w:bottom w:val="single" w:color="000000" w:sz="4" w:space="0"/>
                    <w:right w:val="single" w:color="000000" w:sz="4" w:space="0"/>
                  </w:tcBorders>
                  <w:noWrap/>
                  <w:tcMar>
                    <w:top w:w="15" w:type="dxa"/>
                    <w:left w:w="15" w:type="dxa"/>
                    <w:bottom w:w="0" w:type="dxa"/>
                    <w:right w:w="15" w:type="dxa"/>
                  </w:tcMar>
                  <w:vAlign w:val="center"/>
                </w:tcPr>
                <w:p>
                  <w:pPr>
                    <w:pStyle w:val="36"/>
                  </w:pPr>
                  <w:r>
                    <w:t>13</w:t>
                  </w:r>
                </w:p>
              </w:tc>
              <w:tc>
                <w:tcPr>
                  <w:tcW w:w="1500"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pStyle w:val="36"/>
                  </w:pPr>
                  <w:r>
                    <w:t>12372</w:t>
                  </w:r>
                </w:p>
              </w:tc>
              <w:tc>
                <w:tcPr>
                  <w:tcW w:w="1497" w:type="dxa"/>
                  <w:tcBorders>
                    <w:top w:val="single" w:color="000000" w:sz="4" w:space="0"/>
                    <w:left w:val="nil"/>
                    <w:bottom w:val="single" w:color="000000" w:sz="4" w:space="0"/>
                  </w:tcBorders>
                </w:tcPr>
                <w:p>
                  <w:pPr>
                    <w:pStyle w:val="36"/>
                  </w:pPr>
                  <w:r>
                    <w:t>12332</w:t>
                  </w:r>
                </w:p>
              </w:tc>
            </w:tr>
            <w:tr>
              <w:tblPrEx>
                <w:tblLayout w:type="fixed"/>
                <w:tblCellMar>
                  <w:top w:w="0" w:type="dxa"/>
                  <w:left w:w="0" w:type="dxa"/>
                  <w:bottom w:w="0" w:type="dxa"/>
                  <w:right w:w="0" w:type="dxa"/>
                </w:tblCellMar>
              </w:tblPrEx>
              <w:trPr>
                <w:trHeight w:val="285" w:hRule="atLeast"/>
                <w:jc w:val="center"/>
              </w:trPr>
              <w:tc>
                <w:tcPr>
                  <w:tcW w:w="1235" w:type="dxa"/>
                  <w:tcBorders>
                    <w:top w:val="single" w:color="000000" w:sz="4" w:space="0"/>
                    <w:bottom w:val="single" w:color="000000" w:sz="4" w:space="0"/>
                    <w:right w:val="single" w:color="000000" w:sz="4" w:space="0"/>
                  </w:tcBorders>
                  <w:noWrap/>
                  <w:tcMar>
                    <w:top w:w="15" w:type="dxa"/>
                    <w:left w:w="15" w:type="dxa"/>
                    <w:bottom w:w="0" w:type="dxa"/>
                    <w:right w:w="15" w:type="dxa"/>
                  </w:tcMar>
                  <w:vAlign w:val="center"/>
                </w:tcPr>
                <w:p>
                  <w:pPr>
                    <w:pStyle w:val="36"/>
                  </w:pPr>
                  <w:r>
                    <w:t>B0+300</w:t>
                  </w:r>
                </w:p>
              </w:tc>
              <w:tc>
                <w:tcPr>
                  <w:tcW w:w="1366"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pStyle w:val="36"/>
                  </w:pPr>
                  <w:r>
                    <w:t>1032.63</w:t>
                  </w:r>
                </w:p>
              </w:tc>
              <w:tc>
                <w:tcPr>
                  <w:tcW w:w="1365" w:type="dxa"/>
                  <w:tcBorders>
                    <w:top w:val="single" w:color="000000" w:sz="4" w:space="0"/>
                    <w:left w:val="nil"/>
                    <w:bottom w:val="single" w:color="000000" w:sz="4" w:space="0"/>
                    <w:right w:val="single" w:color="auto" w:sz="4" w:space="0"/>
                  </w:tcBorders>
                  <w:noWrap/>
                  <w:tcMar>
                    <w:top w:w="15" w:type="dxa"/>
                    <w:left w:w="15" w:type="dxa"/>
                    <w:bottom w:w="0" w:type="dxa"/>
                    <w:right w:w="15" w:type="dxa"/>
                  </w:tcMar>
                  <w:vAlign w:val="center"/>
                </w:tcPr>
                <w:p>
                  <w:pPr>
                    <w:pStyle w:val="36"/>
                  </w:pPr>
                  <w:r>
                    <w:t>185.18</w:t>
                  </w:r>
                </w:p>
              </w:tc>
              <w:tc>
                <w:tcPr>
                  <w:tcW w:w="989" w:type="dxa"/>
                  <w:tcBorders>
                    <w:top w:val="single" w:color="auto" w:sz="4" w:space="0"/>
                    <w:left w:val="single" w:color="auto" w:sz="4" w:space="0"/>
                    <w:bottom w:val="single" w:color="auto" w:sz="4" w:space="0"/>
                    <w:right w:val="single" w:color="auto" w:sz="4" w:space="0"/>
                  </w:tcBorders>
                </w:tcPr>
                <w:p>
                  <w:pPr>
                    <w:pStyle w:val="36"/>
                  </w:pPr>
                  <w:r>
                    <w:t>350.14</w:t>
                  </w:r>
                </w:p>
              </w:tc>
              <w:tc>
                <w:tcPr>
                  <w:tcW w:w="991" w:type="dxa"/>
                  <w:tcBorders>
                    <w:top w:val="single" w:color="000000" w:sz="4" w:space="0"/>
                    <w:left w:val="single" w:color="auto" w:sz="4" w:space="0"/>
                    <w:bottom w:val="single" w:color="000000" w:sz="4" w:space="0"/>
                    <w:right w:val="single" w:color="000000" w:sz="4" w:space="0"/>
                  </w:tcBorders>
                  <w:noWrap/>
                  <w:tcMar>
                    <w:top w:w="15" w:type="dxa"/>
                    <w:left w:w="15" w:type="dxa"/>
                    <w:bottom w:w="0" w:type="dxa"/>
                    <w:right w:w="15" w:type="dxa"/>
                  </w:tcMar>
                  <w:vAlign w:val="center"/>
                </w:tcPr>
                <w:p>
                  <w:pPr>
                    <w:pStyle w:val="36"/>
                  </w:pPr>
                  <w:r>
                    <w:t>25816</w:t>
                  </w:r>
                </w:p>
              </w:tc>
              <w:tc>
                <w:tcPr>
                  <w:tcW w:w="1500"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pStyle w:val="36"/>
                  </w:pPr>
                  <w:r>
                    <w:t>14798</w:t>
                  </w:r>
                </w:p>
              </w:tc>
              <w:tc>
                <w:tcPr>
                  <w:tcW w:w="1497" w:type="dxa"/>
                  <w:tcBorders>
                    <w:top w:val="single" w:color="000000" w:sz="4" w:space="0"/>
                    <w:left w:val="nil"/>
                    <w:bottom w:val="single" w:color="000000" w:sz="4" w:space="0"/>
                  </w:tcBorders>
                </w:tcPr>
                <w:p>
                  <w:pPr>
                    <w:pStyle w:val="36"/>
                  </w:pPr>
                  <w:r>
                    <w:t>17760</w:t>
                  </w:r>
                </w:p>
              </w:tc>
            </w:tr>
            <w:tr>
              <w:tblPrEx>
                <w:tblLayout w:type="fixed"/>
                <w:tblCellMar>
                  <w:top w:w="0" w:type="dxa"/>
                  <w:left w:w="0" w:type="dxa"/>
                  <w:bottom w:w="0" w:type="dxa"/>
                  <w:right w:w="0" w:type="dxa"/>
                </w:tblCellMar>
              </w:tblPrEx>
              <w:trPr>
                <w:trHeight w:val="285" w:hRule="atLeast"/>
                <w:jc w:val="center"/>
              </w:trPr>
              <w:tc>
                <w:tcPr>
                  <w:tcW w:w="1235" w:type="dxa"/>
                  <w:tcBorders>
                    <w:top w:val="single" w:color="000000" w:sz="4" w:space="0"/>
                    <w:bottom w:val="single" w:color="000000" w:sz="4" w:space="0"/>
                    <w:right w:val="single" w:color="000000" w:sz="4" w:space="0"/>
                  </w:tcBorders>
                  <w:noWrap/>
                  <w:tcMar>
                    <w:top w:w="15" w:type="dxa"/>
                    <w:left w:w="15" w:type="dxa"/>
                    <w:bottom w:w="0" w:type="dxa"/>
                    <w:right w:w="15" w:type="dxa"/>
                  </w:tcMar>
                  <w:vAlign w:val="center"/>
                </w:tcPr>
                <w:p>
                  <w:pPr>
                    <w:pStyle w:val="36"/>
                  </w:pPr>
                  <w:r>
                    <w:t>B0+350</w:t>
                  </w:r>
                </w:p>
              </w:tc>
              <w:tc>
                <w:tcPr>
                  <w:tcW w:w="1366"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pStyle w:val="36"/>
                  </w:pPr>
                  <w:r>
                    <w:t>873.87</w:t>
                  </w:r>
                </w:p>
              </w:tc>
              <w:tc>
                <w:tcPr>
                  <w:tcW w:w="1365" w:type="dxa"/>
                  <w:tcBorders>
                    <w:top w:val="single" w:color="000000" w:sz="4" w:space="0"/>
                    <w:left w:val="nil"/>
                    <w:bottom w:val="single" w:color="000000" w:sz="4" w:space="0"/>
                    <w:right w:val="single" w:color="auto" w:sz="4" w:space="0"/>
                  </w:tcBorders>
                  <w:noWrap/>
                  <w:tcMar>
                    <w:top w:w="15" w:type="dxa"/>
                    <w:left w:w="15" w:type="dxa"/>
                    <w:bottom w:w="0" w:type="dxa"/>
                    <w:right w:w="15" w:type="dxa"/>
                  </w:tcMar>
                  <w:vAlign w:val="center"/>
                </w:tcPr>
                <w:p>
                  <w:pPr>
                    <w:pStyle w:val="36"/>
                  </w:pPr>
                  <w:r>
                    <w:t>302.97</w:t>
                  </w:r>
                </w:p>
              </w:tc>
              <w:tc>
                <w:tcPr>
                  <w:tcW w:w="989" w:type="dxa"/>
                  <w:tcBorders>
                    <w:top w:val="single" w:color="auto" w:sz="4" w:space="0"/>
                    <w:left w:val="single" w:color="auto" w:sz="4" w:space="0"/>
                    <w:bottom w:val="single" w:color="auto" w:sz="4" w:space="0"/>
                    <w:right w:val="single" w:color="auto" w:sz="4" w:space="0"/>
                  </w:tcBorders>
                </w:tcPr>
                <w:p>
                  <w:pPr>
                    <w:pStyle w:val="36"/>
                  </w:pPr>
                  <w:r>
                    <w:t>393.27</w:t>
                  </w:r>
                </w:p>
              </w:tc>
              <w:tc>
                <w:tcPr>
                  <w:tcW w:w="991" w:type="dxa"/>
                  <w:tcBorders>
                    <w:top w:val="single" w:color="000000" w:sz="4" w:space="0"/>
                    <w:left w:val="single" w:color="auto" w:sz="4" w:space="0"/>
                    <w:bottom w:val="single" w:color="000000" w:sz="4" w:space="0"/>
                    <w:right w:val="single" w:color="000000" w:sz="4" w:space="0"/>
                  </w:tcBorders>
                  <w:noWrap/>
                  <w:tcMar>
                    <w:top w:w="15" w:type="dxa"/>
                    <w:left w:w="15" w:type="dxa"/>
                    <w:bottom w:w="0" w:type="dxa"/>
                    <w:right w:w="15" w:type="dxa"/>
                  </w:tcMar>
                  <w:vAlign w:val="center"/>
                </w:tcPr>
                <w:p>
                  <w:pPr>
                    <w:pStyle w:val="36"/>
                  </w:pPr>
                  <w:r>
                    <w:t>47663</w:t>
                  </w:r>
                </w:p>
              </w:tc>
              <w:tc>
                <w:tcPr>
                  <w:tcW w:w="1500"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pStyle w:val="36"/>
                  </w:pPr>
                  <w:r>
                    <w:t>12204</w:t>
                  </w:r>
                </w:p>
              </w:tc>
              <w:tc>
                <w:tcPr>
                  <w:tcW w:w="1497" w:type="dxa"/>
                  <w:tcBorders>
                    <w:top w:val="single" w:color="000000" w:sz="4" w:space="0"/>
                    <w:left w:val="nil"/>
                    <w:bottom w:val="single" w:color="000000" w:sz="4" w:space="0"/>
                  </w:tcBorders>
                </w:tcPr>
                <w:p>
                  <w:pPr>
                    <w:pStyle w:val="36"/>
                  </w:pPr>
                  <w:r>
                    <w:t>18585</w:t>
                  </w:r>
                </w:p>
              </w:tc>
            </w:tr>
            <w:tr>
              <w:tblPrEx>
                <w:tblLayout w:type="fixed"/>
                <w:tblCellMar>
                  <w:top w:w="0" w:type="dxa"/>
                  <w:left w:w="0" w:type="dxa"/>
                  <w:bottom w:w="0" w:type="dxa"/>
                  <w:right w:w="0" w:type="dxa"/>
                </w:tblCellMar>
              </w:tblPrEx>
              <w:trPr>
                <w:trHeight w:val="285" w:hRule="atLeast"/>
                <w:jc w:val="center"/>
              </w:trPr>
              <w:tc>
                <w:tcPr>
                  <w:tcW w:w="1235" w:type="dxa"/>
                  <w:tcBorders>
                    <w:top w:val="single" w:color="000000" w:sz="4" w:space="0"/>
                    <w:bottom w:val="single" w:color="000000" w:sz="4" w:space="0"/>
                    <w:right w:val="single" w:color="000000" w:sz="4" w:space="0"/>
                  </w:tcBorders>
                  <w:noWrap/>
                  <w:tcMar>
                    <w:top w:w="15" w:type="dxa"/>
                    <w:left w:w="15" w:type="dxa"/>
                    <w:bottom w:w="0" w:type="dxa"/>
                    <w:right w:w="15" w:type="dxa"/>
                  </w:tcMar>
                  <w:vAlign w:val="center"/>
                </w:tcPr>
                <w:p>
                  <w:pPr>
                    <w:pStyle w:val="36"/>
                  </w:pPr>
                  <w:r>
                    <w:t>B0+400</w:t>
                  </w:r>
                </w:p>
              </w:tc>
              <w:tc>
                <w:tcPr>
                  <w:tcW w:w="1366"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pStyle w:val="36"/>
                  </w:pPr>
                  <w:r>
                    <w:t>52.83</w:t>
                  </w:r>
                </w:p>
              </w:tc>
              <w:tc>
                <w:tcPr>
                  <w:tcW w:w="1365" w:type="dxa"/>
                  <w:tcBorders>
                    <w:top w:val="single" w:color="000000" w:sz="4" w:space="0"/>
                    <w:left w:val="nil"/>
                    <w:bottom w:val="single" w:color="000000" w:sz="4" w:space="0"/>
                    <w:right w:val="single" w:color="auto" w:sz="4" w:space="0"/>
                  </w:tcBorders>
                  <w:noWrap/>
                  <w:tcMar>
                    <w:top w:w="15" w:type="dxa"/>
                    <w:left w:w="15" w:type="dxa"/>
                    <w:bottom w:w="0" w:type="dxa"/>
                    <w:right w:w="15" w:type="dxa"/>
                  </w:tcMar>
                  <w:vAlign w:val="center"/>
                </w:tcPr>
                <w:p>
                  <w:pPr>
                    <w:pStyle w:val="36"/>
                  </w:pPr>
                  <w:r>
                    <w:t>406.86</w:t>
                  </w:r>
                </w:p>
              </w:tc>
              <w:tc>
                <w:tcPr>
                  <w:tcW w:w="989" w:type="dxa"/>
                  <w:tcBorders>
                    <w:top w:val="single" w:color="auto" w:sz="4" w:space="0"/>
                    <w:left w:val="single" w:color="auto" w:sz="4" w:space="0"/>
                    <w:bottom w:val="single" w:color="auto" w:sz="4" w:space="0"/>
                    <w:right w:val="single" w:color="auto" w:sz="4" w:space="0"/>
                  </w:tcBorders>
                </w:tcPr>
                <w:p>
                  <w:pPr>
                    <w:pStyle w:val="36"/>
                  </w:pPr>
                  <w:r>
                    <w:t>460.59</w:t>
                  </w:r>
                </w:p>
              </w:tc>
              <w:tc>
                <w:tcPr>
                  <w:tcW w:w="991" w:type="dxa"/>
                  <w:tcBorders>
                    <w:top w:val="single" w:color="000000" w:sz="4" w:space="0"/>
                    <w:left w:val="single" w:color="auto" w:sz="4" w:space="0"/>
                    <w:bottom w:val="single" w:color="000000" w:sz="4" w:space="0"/>
                    <w:right w:val="single" w:color="000000" w:sz="4" w:space="0"/>
                  </w:tcBorders>
                  <w:noWrap/>
                  <w:tcMar>
                    <w:top w:w="15" w:type="dxa"/>
                    <w:left w:w="15" w:type="dxa"/>
                    <w:bottom w:w="0" w:type="dxa"/>
                    <w:right w:w="15" w:type="dxa"/>
                  </w:tcMar>
                  <w:vAlign w:val="center"/>
                </w:tcPr>
                <w:p>
                  <w:pPr>
                    <w:pStyle w:val="36"/>
                  </w:pPr>
                  <w:r>
                    <w:t>23168</w:t>
                  </w:r>
                </w:p>
              </w:tc>
              <w:tc>
                <w:tcPr>
                  <w:tcW w:w="1500"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pStyle w:val="36"/>
                  </w:pPr>
                  <w:r>
                    <w:t>17746</w:t>
                  </w:r>
                </w:p>
              </w:tc>
              <w:tc>
                <w:tcPr>
                  <w:tcW w:w="1497" w:type="dxa"/>
                  <w:tcBorders>
                    <w:top w:val="single" w:color="000000" w:sz="4" w:space="0"/>
                    <w:left w:val="nil"/>
                    <w:bottom w:val="single" w:color="000000" w:sz="4" w:space="0"/>
                  </w:tcBorders>
                </w:tcPr>
                <w:p>
                  <w:pPr>
                    <w:pStyle w:val="36"/>
                  </w:pPr>
                  <w:r>
                    <w:t>21347</w:t>
                  </w:r>
                </w:p>
              </w:tc>
            </w:tr>
            <w:tr>
              <w:tblPrEx>
                <w:tblLayout w:type="fixed"/>
                <w:tblCellMar>
                  <w:top w:w="0" w:type="dxa"/>
                  <w:left w:w="0" w:type="dxa"/>
                  <w:bottom w:w="0" w:type="dxa"/>
                  <w:right w:w="0" w:type="dxa"/>
                </w:tblCellMar>
              </w:tblPrEx>
              <w:trPr>
                <w:trHeight w:val="285" w:hRule="atLeast"/>
                <w:jc w:val="center"/>
              </w:trPr>
              <w:tc>
                <w:tcPr>
                  <w:tcW w:w="1235" w:type="dxa"/>
                  <w:tcBorders>
                    <w:top w:val="single" w:color="000000" w:sz="4" w:space="0"/>
                    <w:bottom w:val="single" w:color="000000" w:sz="4" w:space="0"/>
                    <w:right w:val="single" w:color="000000" w:sz="4" w:space="0"/>
                  </w:tcBorders>
                  <w:noWrap/>
                  <w:tcMar>
                    <w:top w:w="15" w:type="dxa"/>
                    <w:left w:w="15" w:type="dxa"/>
                    <w:bottom w:w="0" w:type="dxa"/>
                    <w:right w:w="15" w:type="dxa"/>
                  </w:tcMar>
                  <w:vAlign w:val="center"/>
                </w:tcPr>
                <w:p>
                  <w:pPr>
                    <w:pStyle w:val="36"/>
                  </w:pPr>
                  <w:r>
                    <w:t>B0+450</w:t>
                  </w:r>
                </w:p>
              </w:tc>
              <w:tc>
                <w:tcPr>
                  <w:tcW w:w="1366"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pStyle w:val="36"/>
                  </w:pPr>
                  <w:r>
                    <w:t>2.8</w:t>
                  </w:r>
                </w:p>
              </w:tc>
              <w:tc>
                <w:tcPr>
                  <w:tcW w:w="1365" w:type="dxa"/>
                  <w:tcBorders>
                    <w:top w:val="single" w:color="000000" w:sz="4" w:space="0"/>
                    <w:left w:val="nil"/>
                    <w:bottom w:val="single" w:color="000000" w:sz="4" w:space="0"/>
                    <w:right w:val="single" w:color="auto" w:sz="4" w:space="0"/>
                  </w:tcBorders>
                  <w:noWrap/>
                  <w:tcMar>
                    <w:top w:w="15" w:type="dxa"/>
                    <w:left w:w="15" w:type="dxa"/>
                    <w:bottom w:w="0" w:type="dxa"/>
                    <w:right w:w="15" w:type="dxa"/>
                  </w:tcMar>
                  <w:vAlign w:val="center"/>
                </w:tcPr>
                <w:p>
                  <w:pPr>
                    <w:pStyle w:val="36"/>
                  </w:pPr>
                  <w:r>
                    <w:t>537.74</w:t>
                  </w:r>
                </w:p>
              </w:tc>
              <w:tc>
                <w:tcPr>
                  <w:tcW w:w="989" w:type="dxa"/>
                  <w:tcBorders>
                    <w:top w:val="single" w:color="auto" w:sz="4" w:space="0"/>
                    <w:left w:val="single" w:color="auto" w:sz="4" w:space="0"/>
                    <w:bottom w:val="single" w:color="auto" w:sz="4" w:space="0"/>
                    <w:right w:val="single" w:color="auto" w:sz="4" w:space="0"/>
                  </w:tcBorders>
                </w:tcPr>
                <w:p>
                  <w:pPr>
                    <w:pStyle w:val="36"/>
                  </w:pPr>
                  <w:r>
                    <w:t>404.89</w:t>
                  </w:r>
                </w:p>
              </w:tc>
              <w:tc>
                <w:tcPr>
                  <w:tcW w:w="991" w:type="dxa"/>
                  <w:tcBorders>
                    <w:top w:val="single" w:color="000000" w:sz="4" w:space="0"/>
                    <w:left w:val="single" w:color="auto" w:sz="4" w:space="0"/>
                    <w:bottom w:val="single" w:color="000000" w:sz="4" w:space="0"/>
                    <w:right w:val="single" w:color="000000" w:sz="4" w:space="0"/>
                  </w:tcBorders>
                  <w:noWrap/>
                  <w:tcMar>
                    <w:top w:w="15" w:type="dxa"/>
                    <w:left w:w="15" w:type="dxa"/>
                    <w:bottom w:w="0" w:type="dxa"/>
                    <w:right w:w="15" w:type="dxa"/>
                  </w:tcMar>
                  <w:vAlign w:val="center"/>
                </w:tcPr>
                <w:p>
                  <w:pPr>
                    <w:pStyle w:val="36"/>
                  </w:pPr>
                  <w:r>
                    <w:t>1391</w:t>
                  </w:r>
                </w:p>
              </w:tc>
              <w:tc>
                <w:tcPr>
                  <w:tcW w:w="1500"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pStyle w:val="36"/>
                  </w:pPr>
                  <w:r>
                    <w:t>23615</w:t>
                  </w:r>
                </w:p>
              </w:tc>
              <w:tc>
                <w:tcPr>
                  <w:tcW w:w="1497" w:type="dxa"/>
                  <w:tcBorders>
                    <w:top w:val="single" w:color="000000" w:sz="4" w:space="0"/>
                    <w:left w:val="nil"/>
                    <w:bottom w:val="single" w:color="000000" w:sz="4" w:space="0"/>
                  </w:tcBorders>
                </w:tcPr>
                <w:p>
                  <w:pPr>
                    <w:pStyle w:val="36"/>
                  </w:pPr>
                  <w:r>
                    <w:t>21637</w:t>
                  </w:r>
                </w:p>
              </w:tc>
            </w:tr>
            <w:tr>
              <w:tblPrEx>
                <w:tblLayout w:type="fixed"/>
                <w:tblCellMar>
                  <w:top w:w="0" w:type="dxa"/>
                  <w:left w:w="0" w:type="dxa"/>
                  <w:bottom w:w="0" w:type="dxa"/>
                  <w:right w:w="0" w:type="dxa"/>
                </w:tblCellMar>
              </w:tblPrEx>
              <w:trPr>
                <w:trHeight w:val="285" w:hRule="atLeast"/>
                <w:jc w:val="center"/>
              </w:trPr>
              <w:tc>
                <w:tcPr>
                  <w:tcW w:w="1235" w:type="dxa"/>
                  <w:tcBorders>
                    <w:top w:val="single" w:color="000000" w:sz="4" w:space="0"/>
                    <w:bottom w:val="single" w:color="000000" w:sz="4" w:space="0"/>
                    <w:right w:val="single" w:color="000000" w:sz="4" w:space="0"/>
                  </w:tcBorders>
                  <w:noWrap/>
                  <w:tcMar>
                    <w:top w:w="15" w:type="dxa"/>
                    <w:left w:w="15" w:type="dxa"/>
                    <w:bottom w:w="0" w:type="dxa"/>
                    <w:right w:w="15" w:type="dxa"/>
                  </w:tcMar>
                  <w:vAlign w:val="center"/>
                </w:tcPr>
                <w:p>
                  <w:pPr>
                    <w:pStyle w:val="36"/>
                  </w:pPr>
                  <w:r>
                    <w:t>B0+500</w:t>
                  </w:r>
                </w:p>
              </w:tc>
              <w:tc>
                <w:tcPr>
                  <w:tcW w:w="1366"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pStyle w:val="36"/>
                  </w:pPr>
                  <w:r>
                    <w:t>68.64</w:t>
                  </w:r>
                </w:p>
              </w:tc>
              <w:tc>
                <w:tcPr>
                  <w:tcW w:w="1365" w:type="dxa"/>
                  <w:tcBorders>
                    <w:top w:val="single" w:color="000000" w:sz="4" w:space="0"/>
                    <w:left w:val="nil"/>
                    <w:bottom w:val="single" w:color="000000" w:sz="4" w:space="0"/>
                    <w:right w:val="single" w:color="auto" w:sz="4" w:space="0"/>
                  </w:tcBorders>
                  <w:noWrap/>
                  <w:tcMar>
                    <w:top w:w="15" w:type="dxa"/>
                    <w:left w:w="15" w:type="dxa"/>
                    <w:bottom w:w="0" w:type="dxa"/>
                    <w:right w:w="15" w:type="dxa"/>
                  </w:tcMar>
                  <w:vAlign w:val="center"/>
                </w:tcPr>
                <w:p>
                  <w:pPr>
                    <w:pStyle w:val="36"/>
                  </w:pPr>
                  <w:r>
                    <w:t>604.06</w:t>
                  </w:r>
                </w:p>
              </w:tc>
              <w:tc>
                <w:tcPr>
                  <w:tcW w:w="989" w:type="dxa"/>
                  <w:tcBorders>
                    <w:top w:val="single" w:color="auto" w:sz="4" w:space="0"/>
                    <w:left w:val="single" w:color="auto" w:sz="4" w:space="0"/>
                    <w:bottom w:val="single" w:color="auto" w:sz="4" w:space="0"/>
                    <w:right w:val="single" w:color="auto" w:sz="4" w:space="0"/>
                  </w:tcBorders>
                </w:tcPr>
                <w:p>
                  <w:pPr>
                    <w:pStyle w:val="36"/>
                  </w:pPr>
                  <w:r>
                    <w:t>245.26</w:t>
                  </w:r>
                </w:p>
              </w:tc>
              <w:tc>
                <w:tcPr>
                  <w:tcW w:w="991" w:type="dxa"/>
                  <w:tcBorders>
                    <w:top w:val="single" w:color="000000" w:sz="4" w:space="0"/>
                    <w:left w:val="single" w:color="auto" w:sz="4" w:space="0"/>
                    <w:bottom w:val="single" w:color="000000" w:sz="4" w:space="0"/>
                    <w:right w:val="single" w:color="000000" w:sz="4" w:space="0"/>
                  </w:tcBorders>
                  <w:noWrap/>
                  <w:tcMar>
                    <w:top w:w="15" w:type="dxa"/>
                    <w:left w:w="15" w:type="dxa"/>
                    <w:bottom w:w="0" w:type="dxa"/>
                    <w:right w:w="15" w:type="dxa"/>
                  </w:tcMar>
                  <w:vAlign w:val="center"/>
                </w:tcPr>
                <w:p>
                  <w:pPr>
                    <w:pStyle w:val="36"/>
                  </w:pPr>
                  <w:r>
                    <w:t>1786</w:t>
                  </w:r>
                </w:p>
              </w:tc>
              <w:tc>
                <w:tcPr>
                  <w:tcW w:w="1500"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pStyle w:val="36"/>
                  </w:pPr>
                  <w:r>
                    <w:t>28545</w:t>
                  </w:r>
                </w:p>
              </w:tc>
              <w:tc>
                <w:tcPr>
                  <w:tcW w:w="1497" w:type="dxa"/>
                  <w:tcBorders>
                    <w:top w:val="single" w:color="000000" w:sz="4" w:space="0"/>
                    <w:left w:val="nil"/>
                    <w:bottom w:val="single" w:color="000000" w:sz="4" w:space="0"/>
                  </w:tcBorders>
                </w:tcPr>
                <w:p>
                  <w:pPr>
                    <w:pStyle w:val="36"/>
                  </w:pPr>
                  <w:r>
                    <w:t>16254</w:t>
                  </w:r>
                </w:p>
              </w:tc>
            </w:tr>
            <w:tr>
              <w:tblPrEx>
                <w:tblLayout w:type="fixed"/>
                <w:tblCellMar>
                  <w:top w:w="0" w:type="dxa"/>
                  <w:left w:w="0" w:type="dxa"/>
                  <w:bottom w:w="0" w:type="dxa"/>
                  <w:right w:w="0" w:type="dxa"/>
                </w:tblCellMar>
              </w:tblPrEx>
              <w:trPr>
                <w:trHeight w:val="285" w:hRule="atLeast"/>
                <w:jc w:val="center"/>
              </w:trPr>
              <w:tc>
                <w:tcPr>
                  <w:tcW w:w="1235" w:type="dxa"/>
                  <w:tcBorders>
                    <w:top w:val="single" w:color="000000" w:sz="4" w:space="0"/>
                    <w:bottom w:val="single" w:color="000000" w:sz="4" w:space="0"/>
                    <w:right w:val="single" w:color="000000" w:sz="4" w:space="0"/>
                  </w:tcBorders>
                  <w:noWrap/>
                  <w:tcMar>
                    <w:top w:w="15" w:type="dxa"/>
                    <w:left w:w="15" w:type="dxa"/>
                    <w:bottom w:w="0" w:type="dxa"/>
                    <w:right w:w="15" w:type="dxa"/>
                  </w:tcMar>
                  <w:vAlign w:val="center"/>
                </w:tcPr>
                <w:p>
                  <w:pPr>
                    <w:pStyle w:val="36"/>
                  </w:pPr>
                  <w:r>
                    <w:t>B0+550</w:t>
                  </w:r>
                </w:p>
              </w:tc>
              <w:tc>
                <w:tcPr>
                  <w:tcW w:w="1366"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pStyle w:val="36"/>
                  </w:pPr>
                  <w:r>
                    <w:t>857.7</w:t>
                  </w:r>
                </w:p>
              </w:tc>
              <w:tc>
                <w:tcPr>
                  <w:tcW w:w="1365" w:type="dxa"/>
                  <w:tcBorders>
                    <w:top w:val="single" w:color="000000" w:sz="4" w:space="0"/>
                    <w:left w:val="nil"/>
                    <w:bottom w:val="single" w:color="000000" w:sz="4" w:space="0"/>
                    <w:right w:val="single" w:color="auto" w:sz="4" w:space="0"/>
                  </w:tcBorders>
                  <w:noWrap/>
                  <w:tcMar>
                    <w:top w:w="15" w:type="dxa"/>
                    <w:left w:w="15" w:type="dxa"/>
                    <w:bottom w:w="0" w:type="dxa"/>
                    <w:right w:w="15" w:type="dxa"/>
                  </w:tcMar>
                  <w:vAlign w:val="center"/>
                </w:tcPr>
                <w:p>
                  <w:pPr>
                    <w:pStyle w:val="36"/>
                  </w:pPr>
                  <w:r>
                    <w:t>358.4</w:t>
                  </w:r>
                </w:p>
              </w:tc>
              <w:tc>
                <w:tcPr>
                  <w:tcW w:w="989" w:type="dxa"/>
                  <w:tcBorders>
                    <w:top w:val="single" w:color="auto" w:sz="4" w:space="0"/>
                    <w:left w:val="single" w:color="auto" w:sz="4" w:space="0"/>
                    <w:bottom w:val="single" w:color="auto" w:sz="4" w:space="0"/>
                    <w:right w:val="single" w:color="auto" w:sz="4" w:space="0"/>
                  </w:tcBorders>
                </w:tcPr>
                <w:p>
                  <w:pPr>
                    <w:pStyle w:val="36"/>
                  </w:pPr>
                  <w:r>
                    <w:t>642.41</w:t>
                  </w:r>
                </w:p>
              </w:tc>
              <w:tc>
                <w:tcPr>
                  <w:tcW w:w="991" w:type="dxa"/>
                  <w:tcBorders>
                    <w:top w:val="single" w:color="000000" w:sz="4" w:space="0"/>
                    <w:left w:val="single" w:color="auto" w:sz="4" w:space="0"/>
                    <w:bottom w:val="single" w:color="000000" w:sz="4" w:space="0"/>
                    <w:right w:val="single" w:color="000000" w:sz="4" w:space="0"/>
                  </w:tcBorders>
                  <w:noWrap/>
                  <w:tcMar>
                    <w:top w:w="15" w:type="dxa"/>
                    <w:left w:w="15" w:type="dxa"/>
                    <w:bottom w:w="0" w:type="dxa"/>
                    <w:right w:w="15" w:type="dxa"/>
                  </w:tcMar>
                  <w:vAlign w:val="center"/>
                </w:tcPr>
                <w:p>
                  <w:pPr>
                    <w:pStyle w:val="36"/>
                  </w:pPr>
                  <w:r>
                    <w:t>23151</w:t>
                  </w:r>
                </w:p>
              </w:tc>
              <w:tc>
                <w:tcPr>
                  <w:tcW w:w="1500"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pStyle w:val="36"/>
                  </w:pPr>
                  <w:r>
                    <w:t>24062</w:t>
                  </w:r>
                </w:p>
              </w:tc>
              <w:tc>
                <w:tcPr>
                  <w:tcW w:w="1497" w:type="dxa"/>
                  <w:tcBorders>
                    <w:top w:val="single" w:color="000000" w:sz="4" w:space="0"/>
                    <w:left w:val="nil"/>
                    <w:bottom w:val="single" w:color="000000" w:sz="4" w:space="0"/>
                  </w:tcBorders>
                </w:tcPr>
                <w:p>
                  <w:pPr>
                    <w:pStyle w:val="36"/>
                  </w:pPr>
                  <w:r>
                    <w:t>22192</w:t>
                  </w:r>
                </w:p>
              </w:tc>
            </w:tr>
            <w:tr>
              <w:tblPrEx>
                <w:tblLayout w:type="fixed"/>
                <w:tblCellMar>
                  <w:top w:w="0" w:type="dxa"/>
                  <w:left w:w="0" w:type="dxa"/>
                  <w:bottom w:w="0" w:type="dxa"/>
                  <w:right w:w="0" w:type="dxa"/>
                </w:tblCellMar>
              </w:tblPrEx>
              <w:trPr>
                <w:trHeight w:val="285" w:hRule="atLeast"/>
                <w:jc w:val="center"/>
              </w:trPr>
              <w:tc>
                <w:tcPr>
                  <w:tcW w:w="1235" w:type="dxa"/>
                  <w:tcBorders>
                    <w:top w:val="single" w:color="000000" w:sz="4" w:space="0"/>
                    <w:bottom w:val="single" w:color="000000" w:sz="4" w:space="0"/>
                    <w:right w:val="single" w:color="000000" w:sz="4" w:space="0"/>
                  </w:tcBorders>
                  <w:noWrap/>
                  <w:tcMar>
                    <w:top w:w="15" w:type="dxa"/>
                    <w:left w:w="15" w:type="dxa"/>
                    <w:bottom w:w="0" w:type="dxa"/>
                    <w:right w:w="15" w:type="dxa"/>
                  </w:tcMar>
                  <w:vAlign w:val="center"/>
                </w:tcPr>
                <w:p>
                  <w:pPr>
                    <w:pStyle w:val="36"/>
                  </w:pPr>
                  <w:r>
                    <w:t>B0+600</w:t>
                  </w:r>
                </w:p>
              </w:tc>
              <w:tc>
                <w:tcPr>
                  <w:tcW w:w="1366"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pStyle w:val="36"/>
                  </w:pPr>
                  <w:r>
                    <w:t>2142.99</w:t>
                  </w:r>
                </w:p>
              </w:tc>
              <w:tc>
                <w:tcPr>
                  <w:tcW w:w="1365" w:type="dxa"/>
                  <w:tcBorders>
                    <w:top w:val="single" w:color="000000" w:sz="4" w:space="0"/>
                    <w:left w:val="nil"/>
                    <w:bottom w:val="single" w:color="000000" w:sz="4" w:space="0"/>
                    <w:right w:val="single" w:color="auto" w:sz="4" w:space="0"/>
                  </w:tcBorders>
                  <w:noWrap/>
                  <w:tcMar>
                    <w:top w:w="15" w:type="dxa"/>
                    <w:left w:w="15" w:type="dxa"/>
                    <w:bottom w:w="0" w:type="dxa"/>
                    <w:right w:w="15" w:type="dxa"/>
                  </w:tcMar>
                  <w:vAlign w:val="center"/>
                </w:tcPr>
                <w:p>
                  <w:pPr>
                    <w:pStyle w:val="36"/>
                  </w:pPr>
                  <w:r>
                    <w:t>392.9</w:t>
                  </w:r>
                </w:p>
              </w:tc>
              <w:tc>
                <w:tcPr>
                  <w:tcW w:w="989" w:type="dxa"/>
                  <w:tcBorders>
                    <w:top w:val="single" w:color="auto" w:sz="4" w:space="0"/>
                    <w:left w:val="single" w:color="auto" w:sz="4" w:space="0"/>
                    <w:bottom w:val="single" w:color="auto" w:sz="4" w:space="0"/>
                    <w:right w:val="single" w:color="auto" w:sz="4" w:space="0"/>
                  </w:tcBorders>
                </w:tcPr>
                <w:p>
                  <w:pPr>
                    <w:pStyle w:val="36"/>
                  </w:pPr>
                  <w:r>
                    <w:t>682.64</w:t>
                  </w:r>
                </w:p>
              </w:tc>
              <w:tc>
                <w:tcPr>
                  <w:tcW w:w="991" w:type="dxa"/>
                  <w:tcBorders>
                    <w:top w:val="single" w:color="000000" w:sz="4" w:space="0"/>
                    <w:left w:val="single" w:color="auto" w:sz="4" w:space="0"/>
                    <w:bottom w:val="single" w:color="000000" w:sz="4" w:space="0"/>
                    <w:right w:val="single" w:color="000000" w:sz="4" w:space="0"/>
                  </w:tcBorders>
                  <w:noWrap/>
                  <w:tcMar>
                    <w:top w:w="15" w:type="dxa"/>
                    <w:left w:w="15" w:type="dxa"/>
                    <w:bottom w:w="0" w:type="dxa"/>
                    <w:right w:w="15" w:type="dxa"/>
                  </w:tcMar>
                  <w:vAlign w:val="center"/>
                </w:tcPr>
                <w:p>
                  <w:pPr>
                    <w:pStyle w:val="36"/>
                  </w:pPr>
                  <w:r>
                    <w:t>75010</w:t>
                  </w:r>
                </w:p>
              </w:tc>
              <w:tc>
                <w:tcPr>
                  <w:tcW w:w="1500"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pStyle w:val="36"/>
                  </w:pPr>
                  <w:r>
                    <w:t>18783</w:t>
                  </w:r>
                </w:p>
              </w:tc>
              <w:tc>
                <w:tcPr>
                  <w:tcW w:w="1497" w:type="dxa"/>
                  <w:tcBorders>
                    <w:top w:val="single" w:color="000000" w:sz="4" w:space="0"/>
                    <w:left w:val="nil"/>
                    <w:bottom w:val="single" w:color="000000" w:sz="4" w:space="0"/>
                  </w:tcBorders>
                </w:tcPr>
                <w:p>
                  <w:pPr>
                    <w:pStyle w:val="36"/>
                  </w:pPr>
                  <w:r>
                    <w:t>33126</w:t>
                  </w:r>
                </w:p>
              </w:tc>
            </w:tr>
            <w:tr>
              <w:tblPrEx>
                <w:tblLayout w:type="fixed"/>
                <w:tblCellMar>
                  <w:top w:w="0" w:type="dxa"/>
                  <w:left w:w="0" w:type="dxa"/>
                  <w:bottom w:w="0" w:type="dxa"/>
                  <w:right w:w="0" w:type="dxa"/>
                </w:tblCellMar>
              </w:tblPrEx>
              <w:trPr>
                <w:trHeight w:val="285" w:hRule="atLeast"/>
                <w:jc w:val="center"/>
              </w:trPr>
              <w:tc>
                <w:tcPr>
                  <w:tcW w:w="1235" w:type="dxa"/>
                  <w:tcBorders>
                    <w:top w:val="single" w:color="000000" w:sz="4" w:space="0"/>
                    <w:bottom w:val="single" w:color="000000" w:sz="4" w:space="0"/>
                    <w:right w:val="single" w:color="000000" w:sz="4" w:space="0"/>
                  </w:tcBorders>
                  <w:noWrap/>
                  <w:tcMar>
                    <w:top w:w="15" w:type="dxa"/>
                    <w:left w:w="15" w:type="dxa"/>
                    <w:bottom w:w="0" w:type="dxa"/>
                    <w:right w:w="15" w:type="dxa"/>
                  </w:tcMar>
                  <w:vAlign w:val="center"/>
                </w:tcPr>
                <w:p>
                  <w:pPr>
                    <w:pStyle w:val="36"/>
                  </w:pPr>
                  <w:r>
                    <w:t>B0+650</w:t>
                  </w:r>
                </w:p>
              </w:tc>
              <w:tc>
                <w:tcPr>
                  <w:tcW w:w="1366"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pStyle w:val="36"/>
                  </w:pPr>
                  <w:r>
                    <w:t>701.41</w:t>
                  </w:r>
                </w:p>
              </w:tc>
              <w:tc>
                <w:tcPr>
                  <w:tcW w:w="1365" w:type="dxa"/>
                  <w:tcBorders>
                    <w:top w:val="single" w:color="000000" w:sz="4" w:space="0"/>
                    <w:left w:val="nil"/>
                    <w:bottom w:val="single" w:color="000000" w:sz="4" w:space="0"/>
                    <w:right w:val="single" w:color="auto" w:sz="4" w:space="0"/>
                  </w:tcBorders>
                  <w:noWrap/>
                  <w:tcMar>
                    <w:top w:w="15" w:type="dxa"/>
                    <w:left w:w="15" w:type="dxa"/>
                    <w:bottom w:w="0" w:type="dxa"/>
                    <w:right w:w="15" w:type="dxa"/>
                  </w:tcMar>
                  <w:vAlign w:val="center"/>
                </w:tcPr>
                <w:p>
                  <w:pPr>
                    <w:pStyle w:val="36"/>
                  </w:pPr>
                  <w:r>
                    <w:t>336.62</w:t>
                  </w:r>
                </w:p>
              </w:tc>
              <w:tc>
                <w:tcPr>
                  <w:tcW w:w="989" w:type="dxa"/>
                  <w:tcBorders>
                    <w:top w:val="single" w:color="auto" w:sz="4" w:space="0"/>
                    <w:left w:val="single" w:color="auto" w:sz="4" w:space="0"/>
                    <w:bottom w:val="single" w:color="auto" w:sz="4" w:space="0"/>
                    <w:right w:val="single" w:color="auto" w:sz="4" w:space="0"/>
                  </w:tcBorders>
                </w:tcPr>
                <w:p>
                  <w:pPr>
                    <w:pStyle w:val="36"/>
                  </w:pPr>
                  <w:r>
                    <w:t>589.33</w:t>
                  </w:r>
                </w:p>
              </w:tc>
              <w:tc>
                <w:tcPr>
                  <w:tcW w:w="991" w:type="dxa"/>
                  <w:tcBorders>
                    <w:top w:val="single" w:color="000000" w:sz="4" w:space="0"/>
                    <w:left w:val="single" w:color="auto" w:sz="4" w:space="0"/>
                    <w:bottom w:val="single" w:color="000000" w:sz="4" w:space="0"/>
                    <w:right w:val="single" w:color="000000" w:sz="4" w:space="0"/>
                  </w:tcBorders>
                  <w:noWrap/>
                  <w:tcMar>
                    <w:top w:w="15" w:type="dxa"/>
                    <w:left w:w="15" w:type="dxa"/>
                    <w:bottom w:w="0" w:type="dxa"/>
                    <w:right w:w="15" w:type="dxa"/>
                  </w:tcMar>
                  <w:vAlign w:val="center"/>
                </w:tcPr>
                <w:p>
                  <w:pPr>
                    <w:pStyle w:val="36"/>
                  </w:pPr>
                  <w:r>
                    <w:t>71110</w:t>
                  </w:r>
                </w:p>
              </w:tc>
              <w:tc>
                <w:tcPr>
                  <w:tcW w:w="1500"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pStyle w:val="36"/>
                  </w:pPr>
                  <w:r>
                    <w:t>18238</w:t>
                  </w:r>
                </w:p>
              </w:tc>
              <w:tc>
                <w:tcPr>
                  <w:tcW w:w="1497" w:type="dxa"/>
                  <w:tcBorders>
                    <w:top w:val="single" w:color="000000" w:sz="4" w:space="0"/>
                    <w:left w:val="nil"/>
                    <w:bottom w:val="single" w:color="000000" w:sz="4" w:space="0"/>
                  </w:tcBorders>
                </w:tcPr>
                <w:p>
                  <w:pPr>
                    <w:pStyle w:val="36"/>
                  </w:pPr>
                  <w:r>
                    <w:t>31799</w:t>
                  </w:r>
                </w:p>
              </w:tc>
            </w:tr>
            <w:tr>
              <w:tblPrEx>
                <w:tblLayout w:type="fixed"/>
                <w:tblCellMar>
                  <w:top w:w="0" w:type="dxa"/>
                  <w:left w:w="0" w:type="dxa"/>
                  <w:bottom w:w="0" w:type="dxa"/>
                  <w:right w:w="0" w:type="dxa"/>
                </w:tblCellMar>
              </w:tblPrEx>
              <w:trPr>
                <w:trHeight w:val="285" w:hRule="atLeast"/>
                <w:jc w:val="center"/>
              </w:trPr>
              <w:tc>
                <w:tcPr>
                  <w:tcW w:w="1235" w:type="dxa"/>
                  <w:tcBorders>
                    <w:top w:val="single" w:color="000000" w:sz="4" w:space="0"/>
                    <w:bottom w:val="single" w:color="000000" w:sz="4" w:space="0"/>
                    <w:right w:val="single" w:color="000000" w:sz="4" w:space="0"/>
                  </w:tcBorders>
                  <w:noWrap/>
                  <w:tcMar>
                    <w:top w:w="15" w:type="dxa"/>
                    <w:left w:w="15" w:type="dxa"/>
                    <w:bottom w:w="0" w:type="dxa"/>
                    <w:right w:w="15" w:type="dxa"/>
                  </w:tcMar>
                  <w:vAlign w:val="center"/>
                </w:tcPr>
                <w:p>
                  <w:pPr>
                    <w:pStyle w:val="36"/>
                  </w:pPr>
                  <w:r>
                    <w:t>B0+700</w:t>
                  </w:r>
                </w:p>
              </w:tc>
              <w:tc>
                <w:tcPr>
                  <w:tcW w:w="1366"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pStyle w:val="36"/>
                  </w:pPr>
                  <w:r>
                    <w:t>7.68</w:t>
                  </w:r>
                </w:p>
              </w:tc>
              <w:tc>
                <w:tcPr>
                  <w:tcW w:w="1365" w:type="dxa"/>
                  <w:tcBorders>
                    <w:top w:val="single" w:color="000000" w:sz="4" w:space="0"/>
                    <w:left w:val="nil"/>
                    <w:bottom w:val="single" w:color="000000" w:sz="4" w:space="0"/>
                    <w:right w:val="single" w:color="auto" w:sz="4" w:space="0"/>
                  </w:tcBorders>
                  <w:noWrap/>
                  <w:tcMar>
                    <w:top w:w="15" w:type="dxa"/>
                    <w:left w:w="15" w:type="dxa"/>
                    <w:bottom w:w="0" w:type="dxa"/>
                    <w:right w:w="15" w:type="dxa"/>
                  </w:tcMar>
                  <w:vAlign w:val="center"/>
                </w:tcPr>
                <w:p>
                  <w:pPr>
                    <w:pStyle w:val="36"/>
                  </w:pPr>
                  <w:r>
                    <w:t>609.23</w:t>
                  </w:r>
                </w:p>
              </w:tc>
              <w:tc>
                <w:tcPr>
                  <w:tcW w:w="989" w:type="dxa"/>
                  <w:tcBorders>
                    <w:top w:val="single" w:color="auto" w:sz="4" w:space="0"/>
                    <w:left w:val="single" w:color="auto" w:sz="4" w:space="0"/>
                    <w:bottom w:val="single" w:color="auto" w:sz="4" w:space="0"/>
                    <w:right w:val="single" w:color="auto" w:sz="4" w:space="0"/>
                  </w:tcBorders>
                </w:tcPr>
                <w:p>
                  <w:pPr>
                    <w:pStyle w:val="36"/>
                  </w:pPr>
                  <w:r>
                    <w:t>419.7</w:t>
                  </w:r>
                </w:p>
              </w:tc>
              <w:tc>
                <w:tcPr>
                  <w:tcW w:w="991" w:type="dxa"/>
                  <w:tcBorders>
                    <w:top w:val="single" w:color="000000" w:sz="4" w:space="0"/>
                    <w:left w:val="single" w:color="auto" w:sz="4" w:space="0"/>
                    <w:bottom w:val="single" w:color="000000" w:sz="4" w:space="0"/>
                    <w:right w:val="single" w:color="000000" w:sz="4" w:space="0"/>
                  </w:tcBorders>
                  <w:noWrap/>
                  <w:tcMar>
                    <w:top w:w="15" w:type="dxa"/>
                    <w:left w:w="15" w:type="dxa"/>
                    <w:bottom w:w="0" w:type="dxa"/>
                    <w:right w:w="15" w:type="dxa"/>
                  </w:tcMar>
                  <w:vAlign w:val="center"/>
                </w:tcPr>
                <w:p>
                  <w:pPr>
                    <w:pStyle w:val="36"/>
                  </w:pPr>
                  <w:r>
                    <w:t>17727</w:t>
                  </w:r>
                </w:p>
              </w:tc>
              <w:tc>
                <w:tcPr>
                  <w:tcW w:w="1500"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pStyle w:val="36"/>
                  </w:pPr>
                  <w:r>
                    <w:t>23646</w:t>
                  </w:r>
                </w:p>
              </w:tc>
              <w:tc>
                <w:tcPr>
                  <w:tcW w:w="1497" w:type="dxa"/>
                  <w:tcBorders>
                    <w:top w:val="single" w:color="000000" w:sz="4" w:space="0"/>
                    <w:left w:val="nil"/>
                    <w:bottom w:val="single" w:color="000000" w:sz="4" w:space="0"/>
                  </w:tcBorders>
                </w:tcPr>
                <w:p>
                  <w:pPr>
                    <w:pStyle w:val="36"/>
                  </w:pPr>
                  <w:r>
                    <w:t>25226</w:t>
                  </w:r>
                </w:p>
              </w:tc>
            </w:tr>
            <w:tr>
              <w:tblPrEx>
                <w:tblLayout w:type="fixed"/>
                <w:tblCellMar>
                  <w:top w:w="0" w:type="dxa"/>
                  <w:left w:w="0" w:type="dxa"/>
                  <w:bottom w:w="0" w:type="dxa"/>
                  <w:right w:w="0" w:type="dxa"/>
                </w:tblCellMar>
              </w:tblPrEx>
              <w:trPr>
                <w:trHeight w:val="285" w:hRule="atLeast"/>
                <w:jc w:val="center"/>
              </w:trPr>
              <w:tc>
                <w:tcPr>
                  <w:tcW w:w="1235" w:type="dxa"/>
                  <w:tcBorders>
                    <w:top w:val="single" w:color="000000" w:sz="4" w:space="0"/>
                    <w:bottom w:val="single" w:color="000000" w:sz="4" w:space="0"/>
                    <w:right w:val="single" w:color="000000" w:sz="4" w:space="0"/>
                  </w:tcBorders>
                  <w:noWrap/>
                  <w:tcMar>
                    <w:top w:w="15" w:type="dxa"/>
                    <w:left w:w="15" w:type="dxa"/>
                    <w:bottom w:w="0" w:type="dxa"/>
                    <w:right w:w="15" w:type="dxa"/>
                  </w:tcMar>
                  <w:vAlign w:val="center"/>
                </w:tcPr>
                <w:p>
                  <w:pPr>
                    <w:pStyle w:val="36"/>
                  </w:pPr>
                  <w:r>
                    <w:t>B0+750</w:t>
                  </w:r>
                </w:p>
              </w:tc>
              <w:tc>
                <w:tcPr>
                  <w:tcW w:w="1366"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pStyle w:val="36"/>
                  </w:pPr>
                  <w:r>
                    <w:t>22.35</w:t>
                  </w:r>
                </w:p>
              </w:tc>
              <w:tc>
                <w:tcPr>
                  <w:tcW w:w="1365" w:type="dxa"/>
                  <w:tcBorders>
                    <w:top w:val="single" w:color="000000" w:sz="4" w:space="0"/>
                    <w:left w:val="nil"/>
                    <w:bottom w:val="single" w:color="000000" w:sz="4" w:space="0"/>
                    <w:right w:val="single" w:color="auto" w:sz="4" w:space="0"/>
                  </w:tcBorders>
                  <w:noWrap/>
                  <w:tcMar>
                    <w:top w:w="15" w:type="dxa"/>
                    <w:left w:w="15" w:type="dxa"/>
                    <w:bottom w:w="0" w:type="dxa"/>
                    <w:right w:w="15" w:type="dxa"/>
                  </w:tcMar>
                  <w:vAlign w:val="center"/>
                </w:tcPr>
                <w:p>
                  <w:pPr>
                    <w:pStyle w:val="36"/>
                  </w:pPr>
                  <w:r>
                    <w:t>874.57</w:t>
                  </w:r>
                </w:p>
              </w:tc>
              <w:tc>
                <w:tcPr>
                  <w:tcW w:w="989" w:type="dxa"/>
                  <w:tcBorders>
                    <w:top w:val="single" w:color="auto" w:sz="4" w:space="0"/>
                    <w:left w:val="single" w:color="auto" w:sz="4" w:space="0"/>
                    <w:bottom w:val="single" w:color="auto" w:sz="4" w:space="0"/>
                    <w:right w:val="single" w:color="auto" w:sz="4" w:space="0"/>
                  </w:tcBorders>
                </w:tcPr>
                <w:p>
                  <w:pPr>
                    <w:pStyle w:val="36"/>
                  </w:pPr>
                  <w:r>
                    <w:t>509</w:t>
                  </w:r>
                </w:p>
              </w:tc>
              <w:tc>
                <w:tcPr>
                  <w:tcW w:w="991" w:type="dxa"/>
                  <w:tcBorders>
                    <w:top w:val="single" w:color="000000" w:sz="4" w:space="0"/>
                    <w:left w:val="single" w:color="auto" w:sz="4" w:space="0"/>
                    <w:bottom w:val="single" w:color="000000" w:sz="4" w:space="0"/>
                    <w:right w:val="single" w:color="000000" w:sz="4" w:space="0"/>
                  </w:tcBorders>
                  <w:noWrap/>
                  <w:tcMar>
                    <w:top w:w="15" w:type="dxa"/>
                    <w:left w:w="15" w:type="dxa"/>
                    <w:bottom w:w="0" w:type="dxa"/>
                    <w:right w:w="15" w:type="dxa"/>
                  </w:tcMar>
                  <w:vAlign w:val="center"/>
                </w:tcPr>
                <w:p>
                  <w:pPr>
                    <w:pStyle w:val="36"/>
                  </w:pPr>
                  <w:r>
                    <w:t>751</w:t>
                  </w:r>
                </w:p>
              </w:tc>
              <w:tc>
                <w:tcPr>
                  <w:tcW w:w="1500"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pStyle w:val="36"/>
                  </w:pPr>
                  <w:r>
                    <w:t>37095</w:t>
                  </w:r>
                </w:p>
              </w:tc>
              <w:tc>
                <w:tcPr>
                  <w:tcW w:w="1497" w:type="dxa"/>
                  <w:tcBorders>
                    <w:top w:val="single" w:color="000000" w:sz="4" w:space="0"/>
                    <w:left w:val="nil"/>
                    <w:bottom w:val="single" w:color="000000" w:sz="4" w:space="0"/>
                  </w:tcBorders>
                </w:tcPr>
                <w:p>
                  <w:pPr>
                    <w:pStyle w:val="36"/>
                  </w:pPr>
                  <w:r>
                    <w:t>23218</w:t>
                  </w:r>
                </w:p>
              </w:tc>
            </w:tr>
            <w:tr>
              <w:tblPrEx>
                <w:tblLayout w:type="fixed"/>
                <w:tblCellMar>
                  <w:top w:w="0" w:type="dxa"/>
                  <w:left w:w="0" w:type="dxa"/>
                  <w:bottom w:w="0" w:type="dxa"/>
                  <w:right w:w="0" w:type="dxa"/>
                </w:tblCellMar>
              </w:tblPrEx>
              <w:trPr>
                <w:trHeight w:val="285" w:hRule="atLeast"/>
                <w:jc w:val="center"/>
              </w:trPr>
              <w:tc>
                <w:tcPr>
                  <w:tcW w:w="1235" w:type="dxa"/>
                  <w:tcBorders>
                    <w:top w:val="single" w:color="000000" w:sz="4" w:space="0"/>
                    <w:bottom w:val="single" w:color="000000" w:sz="4" w:space="0"/>
                    <w:right w:val="single" w:color="000000" w:sz="4" w:space="0"/>
                  </w:tcBorders>
                  <w:noWrap/>
                  <w:tcMar>
                    <w:top w:w="15" w:type="dxa"/>
                    <w:left w:w="15" w:type="dxa"/>
                    <w:bottom w:w="0" w:type="dxa"/>
                    <w:right w:w="15" w:type="dxa"/>
                  </w:tcMar>
                  <w:vAlign w:val="center"/>
                </w:tcPr>
                <w:p>
                  <w:pPr>
                    <w:pStyle w:val="36"/>
                  </w:pPr>
                  <w:r>
                    <w:t>B0+800</w:t>
                  </w:r>
                </w:p>
              </w:tc>
              <w:tc>
                <w:tcPr>
                  <w:tcW w:w="1366"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pStyle w:val="36"/>
                  </w:pPr>
                  <w:r>
                    <w:t>128.97</w:t>
                  </w:r>
                </w:p>
              </w:tc>
              <w:tc>
                <w:tcPr>
                  <w:tcW w:w="1365" w:type="dxa"/>
                  <w:tcBorders>
                    <w:top w:val="single" w:color="000000" w:sz="4" w:space="0"/>
                    <w:left w:val="nil"/>
                    <w:bottom w:val="single" w:color="000000" w:sz="4" w:space="0"/>
                    <w:right w:val="single" w:color="auto" w:sz="4" w:space="0"/>
                  </w:tcBorders>
                  <w:noWrap/>
                  <w:tcMar>
                    <w:top w:w="15" w:type="dxa"/>
                    <w:left w:w="15" w:type="dxa"/>
                    <w:bottom w:w="0" w:type="dxa"/>
                    <w:right w:w="15" w:type="dxa"/>
                  </w:tcMar>
                  <w:vAlign w:val="center"/>
                </w:tcPr>
                <w:p>
                  <w:pPr>
                    <w:pStyle w:val="36"/>
                  </w:pPr>
                  <w:r>
                    <w:t>566.47</w:t>
                  </w:r>
                </w:p>
              </w:tc>
              <w:tc>
                <w:tcPr>
                  <w:tcW w:w="989" w:type="dxa"/>
                  <w:tcBorders>
                    <w:top w:val="single" w:color="auto" w:sz="4" w:space="0"/>
                    <w:left w:val="single" w:color="auto" w:sz="4" w:space="0"/>
                    <w:bottom w:val="single" w:color="auto" w:sz="4" w:space="0"/>
                    <w:right w:val="single" w:color="auto" w:sz="4" w:space="0"/>
                  </w:tcBorders>
                </w:tcPr>
                <w:p>
                  <w:pPr>
                    <w:pStyle w:val="36"/>
                  </w:pPr>
                  <w:r>
                    <w:t>722.19</w:t>
                  </w:r>
                </w:p>
              </w:tc>
              <w:tc>
                <w:tcPr>
                  <w:tcW w:w="991" w:type="dxa"/>
                  <w:tcBorders>
                    <w:top w:val="single" w:color="000000" w:sz="4" w:space="0"/>
                    <w:left w:val="single" w:color="auto" w:sz="4" w:space="0"/>
                    <w:bottom w:val="single" w:color="000000" w:sz="4" w:space="0"/>
                    <w:right w:val="single" w:color="000000" w:sz="4" w:space="0"/>
                  </w:tcBorders>
                  <w:noWrap/>
                  <w:tcMar>
                    <w:top w:w="15" w:type="dxa"/>
                    <w:left w:w="15" w:type="dxa"/>
                    <w:bottom w:w="0" w:type="dxa"/>
                    <w:right w:w="15" w:type="dxa"/>
                  </w:tcMar>
                  <w:vAlign w:val="center"/>
                </w:tcPr>
                <w:p>
                  <w:pPr>
                    <w:pStyle w:val="36"/>
                  </w:pPr>
                  <w:r>
                    <w:t>3783</w:t>
                  </w:r>
                </w:p>
              </w:tc>
              <w:tc>
                <w:tcPr>
                  <w:tcW w:w="1500"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pStyle w:val="36"/>
                  </w:pPr>
                  <w:r>
                    <w:t>36026</w:t>
                  </w:r>
                </w:p>
              </w:tc>
              <w:tc>
                <w:tcPr>
                  <w:tcW w:w="1497" w:type="dxa"/>
                  <w:tcBorders>
                    <w:top w:val="single" w:color="000000" w:sz="4" w:space="0"/>
                    <w:left w:val="nil"/>
                    <w:bottom w:val="single" w:color="000000" w:sz="4" w:space="0"/>
                  </w:tcBorders>
                </w:tcPr>
                <w:p>
                  <w:pPr>
                    <w:pStyle w:val="36"/>
                  </w:pPr>
                  <w:r>
                    <w:t>30780</w:t>
                  </w:r>
                </w:p>
              </w:tc>
            </w:tr>
            <w:tr>
              <w:tblPrEx>
                <w:tblLayout w:type="fixed"/>
                <w:tblCellMar>
                  <w:top w:w="0" w:type="dxa"/>
                  <w:left w:w="0" w:type="dxa"/>
                  <w:bottom w:w="0" w:type="dxa"/>
                  <w:right w:w="0" w:type="dxa"/>
                </w:tblCellMar>
              </w:tblPrEx>
              <w:trPr>
                <w:trHeight w:val="285" w:hRule="atLeast"/>
                <w:jc w:val="center"/>
              </w:trPr>
              <w:tc>
                <w:tcPr>
                  <w:tcW w:w="1235" w:type="dxa"/>
                  <w:tcBorders>
                    <w:top w:val="single" w:color="000000" w:sz="4" w:space="0"/>
                    <w:bottom w:val="single" w:color="000000" w:sz="4" w:space="0"/>
                    <w:right w:val="single" w:color="000000" w:sz="4" w:space="0"/>
                  </w:tcBorders>
                  <w:noWrap/>
                  <w:tcMar>
                    <w:top w:w="15" w:type="dxa"/>
                    <w:left w:w="15" w:type="dxa"/>
                    <w:bottom w:w="0" w:type="dxa"/>
                    <w:right w:w="15" w:type="dxa"/>
                  </w:tcMar>
                  <w:vAlign w:val="center"/>
                </w:tcPr>
                <w:p>
                  <w:pPr>
                    <w:pStyle w:val="36"/>
                  </w:pPr>
                  <w:r>
                    <w:t>B0+850</w:t>
                  </w:r>
                </w:p>
              </w:tc>
              <w:tc>
                <w:tcPr>
                  <w:tcW w:w="1366"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pStyle w:val="36"/>
                  </w:pPr>
                  <w:r>
                    <w:t>1489.38</w:t>
                  </w:r>
                </w:p>
              </w:tc>
              <w:tc>
                <w:tcPr>
                  <w:tcW w:w="1365" w:type="dxa"/>
                  <w:tcBorders>
                    <w:top w:val="single" w:color="000000" w:sz="4" w:space="0"/>
                    <w:left w:val="nil"/>
                    <w:bottom w:val="single" w:color="000000" w:sz="4" w:space="0"/>
                    <w:right w:val="single" w:color="auto" w:sz="4" w:space="0"/>
                  </w:tcBorders>
                  <w:noWrap/>
                  <w:tcMar>
                    <w:top w:w="15" w:type="dxa"/>
                    <w:left w:w="15" w:type="dxa"/>
                    <w:bottom w:w="0" w:type="dxa"/>
                    <w:right w:w="15" w:type="dxa"/>
                  </w:tcMar>
                  <w:vAlign w:val="center"/>
                </w:tcPr>
                <w:p>
                  <w:pPr>
                    <w:pStyle w:val="36"/>
                  </w:pPr>
                  <w:r>
                    <w:t>377.52</w:t>
                  </w:r>
                </w:p>
              </w:tc>
              <w:tc>
                <w:tcPr>
                  <w:tcW w:w="989" w:type="dxa"/>
                  <w:tcBorders>
                    <w:top w:val="single" w:color="auto" w:sz="4" w:space="0"/>
                    <w:left w:val="single" w:color="auto" w:sz="4" w:space="0"/>
                    <w:bottom w:val="single" w:color="auto" w:sz="4" w:space="0"/>
                    <w:right w:val="single" w:color="auto" w:sz="4" w:space="0"/>
                  </w:tcBorders>
                </w:tcPr>
                <w:p>
                  <w:pPr>
                    <w:pStyle w:val="36"/>
                  </w:pPr>
                  <w:r>
                    <w:t>609.02</w:t>
                  </w:r>
                </w:p>
              </w:tc>
              <w:tc>
                <w:tcPr>
                  <w:tcW w:w="991" w:type="dxa"/>
                  <w:tcBorders>
                    <w:top w:val="single" w:color="000000" w:sz="4" w:space="0"/>
                    <w:left w:val="single" w:color="auto" w:sz="4" w:space="0"/>
                    <w:bottom w:val="single" w:color="000000" w:sz="4" w:space="0"/>
                    <w:right w:val="single" w:color="000000" w:sz="4" w:space="0"/>
                  </w:tcBorders>
                  <w:noWrap/>
                  <w:tcMar>
                    <w:top w:w="15" w:type="dxa"/>
                    <w:left w:w="15" w:type="dxa"/>
                    <w:bottom w:w="0" w:type="dxa"/>
                    <w:right w:w="15" w:type="dxa"/>
                  </w:tcMar>
                  <w:vAlign w:val="center"/>
                </w:tcPr>
                <w:p>
                  <w:pPr>
                    <w:pStyle w:val="36"/>
                  </w:pPr>
                  <w:r>
                    <w:t>40459</w:t>
                  </w:r>
                </w:p>
              </w:tc>
              <w:tc>
                <w:tcPr>
                  <w:tcW w:w="1500"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pStyle w:val="36"/>
                  </w:pPr>
                  <w:r>
                    <w:t>23600</w:t>
                  </w:r>
                </w:p>
              </w:tc>
              <w:tc>
                <w:tcPr>
                  <w:tcW w:w="1497" w:type="dxa"/>
                  <w:tcBorders>
                    <w:top w:val="single" w:color="000000" w:sz="4" w:space="0"/>
                    <w:left w:val="nil"/>
                    <w:bottom w:val="single" w:color="000000" w:sz="4" w:space="0"/>
                  </w:tcBorders>
                </w:tcPr>
                <w:p>
                  <w:pPr>
                    <w:pStyle w:val="36"/>
                  </w:pPr>
                  <w:r>
                    <w:t>33280</w:t>
                  </w:r>
                </w:p>
              </w:tc>
            </w:tr>
            <w:tr>
              <w:tblPrEx>
                <w:tblLayout w:type="fixed"/>
                <w:tblCellMar>
                  <w:top w:w="0" w:type="dxa"/>
                  <w:left w:w="0" w:type="dxa"/>
                  <w:bottom w:w="0" w:type="dxa"/>
                  <w:right w:w="0" w:type="dxa"/>
                </w:tblCellMar>
              </w:tblPrEx>
              <w:trPr>
                <w:trHeight w:val="285" w:hRule="atLeast"/>
                <w:jc w:val="center"/>
              </w:trPr>
              <w:tc>
                <w:tcPr>
                  <w:tcW w:w="1235" w:type="dxa"/>
                  <w:tcBorders>
                    <w:top w:val="single" w:color="000000" w:sz="4" w:space="0"/>
                    <w:bottom w:val="single" w:color="000000" w:sz="4" w:space="0"/>
                    <w:right w:val="single" w:color="000000" w:sz="4" w:space="0"/>
                  </w:tcBorders>
                  <w:noWrap/>
                  <w:tcMar>
                    <w:top w:w="15" w:type="dxa"/>
                    <w:left w:w="15" w:type="dxa"/>
                    <w:bottom w:w="0" w:type="dxa"/>
                    <w:right w:w="15" w:type="dxa"/>
                  </w:tcMar>
                  <w:vAlign w:val="center"/>
                </w:tcPr>
                <w:p>
                  <w:pPr>
                    <w:pStyle w:val="36"/>
                  </w:pPr>
                  <w:r>
                    <w:t>B0+900</w:t>
                  </w:r>
                </w:p>
              </w:tc>
              <w:tc>
                <w:tcPr>
                  <w:tcW w:w="1366"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pStyle w:val="36"/>
                  </w:pPr>
                  <w:r>
                    <w:t>498.6</w:t>
                  </w:r>
                </w:p>
              </w:tc>
              <w:tc>
                <w:tcPr>
                  <w:tcW w:w="1365" w:type="dxa"/>
                  <w:tcBorders>
                    <w:top w:val="single" w:color="000000" w:sz="4" w:space="0"/>
                    <w:left w:val="nil"/>
                    <w:bottom w:val="single" w:color="000000" w:sz="4" w:space="0"/>
                    <w:right w:val="single" w:color="auto" w:sz="4" w:space="0"/>
                  </w:tcBorders>
                  <w:noWrap/>
                  <w:tcMar>
                    <w:top w:w="15" w:type="dxa"/>
                    <w:left w:w="15" w:type="dxa"/>
                    <w:bottom w:w="0" w:type="dxa"/>
                    <w:right w:w="15" w:type="dxa"/>
                  </w:tcMar>
                  <w:vAlign w:val="center"/>
                </w:tcPr>
                <w:p>
                  <w:pPr>
                    <w:pStyle w:val="36"/>
                  </w:pPr>
                  <w:r>
                    <w:t>420.25</w:t>
                  </w:r>
                </w:p>
              </w:tc>
              <w:tc>
                <w:tcPr>
                  <w:tcW w:w="989" w:type="dxa"/>
                  <w:tcBorders>
                    <w:top w:val="single" w:color="auto" w:sz="4" w:space="0"/>
                    <w:left w:val="single" w:color="auto" w:sz="4" w:space="0"/>
                    <w:bottom w:val="single" w:color="auto" w:sz="4" w:space="0"/>
                    <w:right w:val="single" w:color="auto" w:sz="4" w:space="0"/>
                  </w:tcBorders>
                </w:tcPr>
                <w:p>
                  <w:pPr>
                    <w:pStyle w:val="36"/>
                  </w:pPr>
                  <w:r>
                    <w:t>557.25</w:t>
                  </w:r>
                </w:p>
              </w:tc>
              <w:tc>
                <w:tcPr>
                  <w:tcW w:w="991" w:type="dxa"/>
                  <w:tcBorders>
                    <w:top w:val="single" w:color="000000" w:sz="4" w:space="0"/>
                    <w:left w:val="single" w:color="auto" w:sz="4" w:space="0"/>
                    <w:bottom w:val="single" w:color="000000" w:sz="4" w:space="0"/>
                    <w:right w:val="single" w:color="000000" w:sz="4" w:space="0"/>
                  </w:tcBorders>
                  <w:noWrap/>
                  <w:tcMar>
                    <w:top w:w="15" w:type="dxa"/>
                    <w:left w:w="15" w:type="dxa"/>
                    <w:bottom w:w="0" w:type="dxa"/>
                    <w:right w:w="15" w:type="dxa"/>
                  </w:tcMar>
                  <w:vAlign w:val="center"/>
                </w:tcPr>
                <w:p>
                  <w:pPr>
                    <w:pStyle w:val="36"/>
                  </w:pPr>
                  <w:r>
                    <w:t>49700</w:t>
                  </w:r>
                </w:p>
              </w:tc>
              <w:tc>
                <w:tcPr>
                  <w:tcW w:w="1500"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pStyle w:val="36"/>
                  </w:pPr>
                  <w:r>
                    <w:t>19944</w:t>
                  </w:r>
                </w:p>
              </w:tc>
              <w:tc>
                <w:tcPr>
                  <w:tcW w:w="1497" w:type="dxa"/>
                  <w:tcBorders>
                    <w:top w:val="single" w:color="000000" w:sz="4" w:space="0"/>
                    <w:left w:val="nil"/>
                    <w:bottom w:val="single" w:color="000000" w:sz="4" w:space="0"/>
                  </w:tcBorders>
                </w:tcPr>
                <w:p>
                  <w:pPr>
                    <w:pStyle w:val="36"/>
                  </w:pPr>
                  <w:r>
                    <w:t>29157</w:t>
                  </w:r>
                </w:p>
              </w:tc>
            </w:tr>
            <w:tr>
              <w:tblPrEx>
                <w:tblLayout w:type="fixed"/>
                <w:tblCellMar>
                  <w:top w:w="0" w:type="dxa"/>
                  <w:left w:w="0" w:type="dxa"/>
                  <w:bottom w:w="0" w:type="dxa"/>
                  <w:right w:w="0" w:type="dxa"/>
                </w:tblCellMar>
              </w:tblPrEx>
              <w:trPr>
                <w:trHeight w:val="285" w:hRule="atLeast"/>
                <w:jc w:val="center"/>
              </w:trPr>
              <w:tc>
                <w:tcPr>
                  <w:tcW w:w="1235" w:type="dxa"/>
                  <w:tcBorders>
                    <w:top w:val="single" w:color="000000" w:sz="4" w:space="0"/>
                    <w:bottom w:val="single" w:color="000000" w:sz="4" w:space="0"/>
                    <w:right w:val="single" w:color="000000" w:sz="4" w:space="0"/>
                  </w:tcBorders>
                  <w:noWrap/>
                  <w:tcMar>
                    <w:top w:w="15" w:type="dxa"/>
                    <w:left w:w="15" w:type="dxa"/>
                    <w:bottom w:w="0" w:type="dxa"/>
                    <w:right w:w="15" w:type="dxa"/>
                  </w:tcMar>
                  <w:vAlign w:val="center"/>
                </w:tcPr>
                <w:p>
                  <w:pPr>
                    <w:pStyle w:val="36"/>
                  </w:pPr>
                  <w:r>
                    <w:t>B0+950</w:t>
                  </w:r>
                </w:p>
              </w:tc>
              <w:tc>
                <w:tcPr>
                  <w:tcW w:w="1366"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pStyle w:val="36"/>
                  </w:pPr>
                  <w:r>
                    <w:t>0</w:t>
                  </w:r>
                </w:p>
              </w:tc>
              <w:tc>
                <w:tcPr>
                  <w:tcW w:w="1365" w:type="dxa"/>
                  <w:tcBorders>
                    <w:top w:val="single" w:color="000000" w:sz="4" w:space="0"/>
                    <w:left w:val="nil"/>
                    <w:bottom w:val="single" w:color="000000" w:sz="4" w:space="0"/>
                    <w:right w:val="single" w:color="auto" w:sz="4" w:space="0"/>
                  </w:tcBorders>
                  <w:noWrap/>
                  <w:tcMar>
                    <w:top w:w="15" w:type="dxa"/>
                    <w:left w:w="15" w:type="dxa"/>
                    <w:bottom w:w="0" w:type="dxa"/>
                    <w:right w:w="15" w:type="dxa"/>
                  </w:tcMar>
                  <w:vAlign w:val="center"/>
                </w:tcPr>
                <w:p>
                  <w:pPr>
                    <w:pStyle w:val="36"/>
                  </w:pPr>
                  <w:r>
                    <w:t>540.36</w:t>
                  </w:r>
                </w:p>
              </w:tc>
              <w:tc>
                <w:tcPr>
                  <w:tcW w:w="989" w:type="dxa"/>
                  <w:tcBorders>
                    <w:top w:val="single" w:color="auto" w:sz="4" w:space="0"/>
                    <w:left w:val="single" w:color="auto" w:sz="4" w:space="0"/>
                    <w:bottom w:val="single" w:color="auto" w:sz="4" w:space="0"/>
                    <w:right w:val="single" w:color="auto" w:sz="4" w:space="0"/>
                  </w:tcBorders>
                </w:tcPr>
                <w:p>
                  <w:pPr>
                    <w:pStyle w:val="36"/>
                  </w:pPr>
                  <w:r>
                    <w:t>419.78</w:t>
                  </w:r>
                </w:p>
              </w:tc>
              <w:tc>
                <w:tcPr>
                  <w:tcW w:w="991" w:type="dxa"/>
                  <w:tcBorders>
                    <w:top w:val="single" w:color="000000" w:sz="4" w:space="0"/>
                    <w:left w:val="single" w:color="auto" w:sz="4" w:space="0"/>
                    <w:bottom w:val="single" w:color="000000" w:sz="4" w:space="0"/>
                    <w:right w:val="single" w:color="000000" w:sz="4" w:space="0"/>
                  </w:tcBorders>
                  <w:noWrap/>
                  <w:tcMar>
                    <w:top w:w="15" w:type="dxa"/>
                    <w:left w:w="15" w:type="dxa"/>
                    <w:bottom w:w="0" w:type="dxa"/>
                    <w:right w:w="15" w:type="dxa"/>
                  </w:tcMar>
                  <w:vAlign w:val="center"/>
                </w:tcPr>
                <w:p>
                  <w:pPr>
                    <w:pStyle w:val="36"/>
                  </w:pPr>
                  <w:r>
                    <w:t>12465</w:t>
                  </w:r>
                </w:p>
              </w:tc>
              <w:tc>
                <w:tcPr>
                  <w:tcW w:w="1500"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pStyle w:val="36"/>
                  </w:pPr>
                  <w:r>
                    <w:t>24015</w:t>
                  </w:r>
                </w:p>
              </w:tc>
              <w:tc>
                <w:tcPr>
                  <w:tcW w:w="1497" w:type="dxa"/>
                  <w:tcBorders>
                    <w:top w:val="single" w:color="000000" w:sz="4" w:space="0"/>
                    <w:left w:val="nil"/>
                    <w:bottom w:val="single" w:color="000000" w:sz="4" w:space="0"/>
                  </w:tcBorders>
                </w:tcPr>
                <w:p>
                  <w:pPr>
                    <w:pStyle w:val="36"/>
                  </w:pPr>
                  <w:r>
                    <w:t>24426</w:t>
                  </w:r>
                </w:p>
              </w:tc>
            </w:tr>
            <w:tr>
              <w:tblPrEx>
                <w:tblLayout w:type="fixed"/>
                <w:tblCellMar>
                  <w:top w:w="0" w:type="dxa"/>
                  <w:left w:w="0" w:type="dxa"/>
                  <w:bottom w:w="0" w:type="dxa"/>
                  <w:right w:w="0" w:type="dxa"/>
                </w:tblCellMar>
              </w:tblPrEx>
              <w:trPr>
                <w:trHeight w:val="285" w:hRule="atLeast"/>
                <w:jc w:val="center"/>
              </w:trPr>
              <w:tc>
                <w:tcPr>
                  <w:tcW w:w="1235" w:type="dxa"/>
                  <w:tcBorders>
                    <w:top w:val="single" w:color="000000" w:sz="4" w:space="0"/>
                    <w:bottom w:val="single" w:color="000000" w:sz="4" w:space="0"/>
                    <w:right w:val="single" w:color="000000" w:sz="4" w:space="0"/>
                  </w:tcBorders>
                  <w:noWrap/>
                  <w:tcMar>
                    <w:top w:w="15" w:type="dxa"/>
                    <w:left w:w="15" w:type="dxa"/>
                    <w:bottom w:w="0" w:type="dxa"/>
                    <w:right w:w="15" w:type="dxa"/>
                  </w:tcMar>
                  <w:vAlign w:val="center"/>
                </w:tcPr>
                <w:p>
                  <w:pPr>
                    <w:pStyle w:val="36"/>
                  </w:pPr>
                  <w:r>
                    <w:t>B1+000</w:t>
                  </w:r>
                </w:p>
              </w:tc>
              <w:tc>
                <w:tcPr>
                  <w:tcW w:w="1366"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pStyle w:val="36"/>
                  </w:pPr>
                  <w:r>
                    <w:t>20.89</w:t>
                  </w:r>
                </w:p>
              </w:tc>
              <w:tc>
                <w:tcPr>
                  <w:tcW w:w="1365" w:type="dxa"/>
                  <w:tcBorders>
                    <w:top w:val="single" w:color="000000" w:sz="4" w:space="0"/>
                    <w:left w:val="nil"/>
                    <w:bottom w:val="single" w:color="000000" w:sz="4" w:space="0"/>
                    <w:right w:val="single" w:color="auto" w:sz="4" w:space="0"/>
                  </w:tcBorders>
                  <w:noWrap/>
                  <w:tcMar>
                    <w:top w:w="15" w:type="dxa"/>
                    <w:left w:w="15" w:type="dxa"/>
                    <w:bottom w:w="0" w:type="dxa"/>
                    <w:right w:w="15" w:type="dxa"/>
                  </w:tcMar>
                  <w:vAlign w:val="center"/>
                </w:tcPr>
                <w:p>
                  <w:pPr>
                    <w:pStyle w:val="36"/>
                  </w:pPr>
                  <w:r>
                    <w:t>8.8</w:t>
                  </w:r>
                </w:p>
              </w:tc>
              <w:tc>
                <w:tcPr>
                  <w:tcW w:w="989" w:type="dxa"/>
                  <w:tcBorders>
                    <w:top w:val="single" w:color="auto" w:sz="4" w:space="0"/>
                    <w:left w:val="single" w:color="auto" w:sz="4" w:space="0"/>
                    <w:bottom w:val="single" w:color="auto" w:sz="4" w:space="0"/>
                    <w:right w:val="single" w:color="auto" w:sz="4" w:space="0"/>
                  </w:tcBorders>
                </w:tcPr>
                <w:p>
                  <w:pPr>
                    <w:pStyle w:val="36"/>
                  </w:pPr>
                  <w:r>
                    <w:t>39.7</w:t>
                  </w:r>
                </w:p>
              </w:tc>
              <w:tc>
                <w:tcPr>
                  <w:tcW w:w="991" w:type="dxa"/>
                  <w:tcBorders>
                    <w:top w:val="single" w:color="000000" w:sz="4" w:space="0"/>
                    <w:left w:val="single" w:color="auto" w:sz="4" w:space="0"/>
                    <w:bottom w:val="single" w:color="000000" w:sz="4" w:space="0"/>
                    <w:right w:val="single" w:color="000000" w:sz="4" w:space="0"/>
                  </w:tcBorders>
                  <w:noWrap/>
                  <w:tcMar>
                    <w:top w:w="15" w:type="dxa"/>
                    <w:left w:w="15" w:type="dxa"/>
                    <w:bottom w:w="0" w:type="dxa"/>
                    <w:right w:w="15" w:type="dxa"/>
                  </w:tcMar>
                  <w:vAlign w:val="center"/>
                </w:tcPr>
                <w:p>
                  <w:pPr>
                    <w:pStyle w:val="36"/>
                  </w:pPr>
                  <w:r>
                    <w:t>522</w:t>
                  </w:r>
                </w:p>
              </w:tc>
              <w:tc>
                <w:tcPr>
                  <w:tcW w:w="1500"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pStyle w:val="36"/>
                  </w:pPr>
                  <w:r>
                    <w:t>13729</w:t>
                  </w:r>
                </w:p>
              </w:tc>
              <w:tc>
                <w:tcPr>
                  <w:tcW w:w="1497" w:type="dxa"/>
                  <w:tcBorders>
                    <w:top w:val="single" w:color="000000" w:sz="4" w:space="0"/>
                    <w:left w:val="nil"/>
                    <w:bottom w:val="single" w:color="000000" w:sz="4" w:space="0"/>
                  </w:tcBorders>
                </w:tcPr>
                <w:p>
                  <w:pPr>
                    <w:pStyle w:val="36"/>
                  </w:pPr>
                  <w:r>
                    <w:t>11487</w:t>
                  </w:r>
                </w:p>
              </w:tc>
            </w:tr>
            <w:tr>
              <w:tblPrEx>
                <w:tblLayout w:type="fixed"/>
                <w:tblCellMar>
                  <w:top w:w="0" w:type="dxa"/>
                  <w:left w:w="0" w:type="dxa"/>
                  <w:bottom w:w="0" w:type="dxa"/>
                  <w:right w:w="0" w:type="dxa"/>
                </w:tblCellMar>
              </w:tblPrEx>
              <w:trPr>
                <w:trHeight w:val="285" w:hRule="atLeast"/>
                <w:jc w:val="center"/>
              </w:trPr>
              <w:tc>
                <w:tcPr>
                  <w:tcW w:w="4955" w:type="dxa"/>
                  <w:gridSpan w:val="4"/>
                  <w:tcBorders>
                    <w:top w:val="single" w:color="000000" w:sz="4" w:space="0"/>
                    <w:bottom w:val="single" w:color="000000" w:sz="4" w:space="0"/>
                    <w:right w:val="single" w:color="auto" w:sz="4" w:space="0"/>
                  </w:tcBorders>
                  <w:noWrap/>
                  <w:tcMar>
                    <w:top w:w="15" w:type="dxa"/>
                    <w:left w:w="15" w:type="dxa"/>
                    <w:bottom w:w="0" w:type="dxa"/>
                    <w:right w:w="15" w:type="dxa"/>
                  </w:tcMar>
                  <w:vAlign w:val="center"/>
                </w:tcPr>
                <w:p>
                  <w:pPr>
                    <w:pStyle w:val="36"/>
                  </w:pPr>
                  <w:r>
                    <w:t>合计（m</w:t>
                  </w:r>
                  <w:r>
                    <w:rPr>
                      <w:vertAlign w:val="superscript"/>
                    </w:rPr>
                    <w:t>3</w:t>
                  </w:r>
                  <w:r>
                    <w:t>）</w:t>
                  </w:r>
                </w:p>
              </w:tc>
              <w:tc>
                <w:tcPr>
                  <w:tcW w:w="991" w:type="dxa"/>
                  <w:tcBorders>
                    <w:top w:val="single" w:color="000000" w:sz="4" w:space="0"/>
                    <w:left w:val="single" w:color="auto" w:sz="4" w:space="0"/>
                    <w:bottom w:val="single" w:color="000000" w:sz="4" w:space="0"/>
                    <w:right w:val="single" w:color="000000" w:sz="4" w:space="0"/>
                  </w:tcBorders>
                  <w:noWrap/>
                  <w:tcMar>
                    <w:top w:w="15" w:type="dxa"/>
                    <w:left w:w="15" w:type="dxa"/>
                    <w:bottom w:w="0" w:type="dxa"/>
                    <w:right w:w="15" w:type="dxa"/>
                  </w:tcMar>
                  <w:vAlign w:val="center"/>
                </w:tcPr>
                <w:p>
                  <w:pPr>
                    <w:pStyle w:val="36"/>
                  </w:pPr>
                  <w:r>
                    <w:t>423876</w:t>
                  </w:r>
                </w:p>
              </w:tc>
              <w:tc>
                <w:tcPr>
                  <w:tcW w:w="1500"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pStyle w:val="36"/>
                  </w:pPr>
                  <w:r>
                    <w:t>360602</w:t>
                  </w:r>
                </w:p>
              </w:tc>
              <w:tc>
                <w:tcPr>
                  <w:tcW w:w="1497" w:type="dxa"/>
                  <w:tcBorders>
                    <w:top w:val="single" w:color="000000" w:sz="4" w:space="0"/>
                    <w:left w:val="nil"/>
                    <w:bottom w:val="single" w:color="000000" w:sz="4" w:space="0"/>
                  </w:tcBorders>
                </w:tcPr>
                <w:p>
                  <w:pPr>
                    <w:pStyle w:val="36"/>
                  </w:pPr>
                  <w:r>
                    <w:t>408958</w:t>
                  </w:r>
                </w:p>
              </w:tc>
            </w:tr>
          </w:tbl>
          <w:p>
            <w:pPr>
              <w:pStyle w:val="42"/>
              <w:ind w:firstLine="480"/>
            </w:pPr>
            <w:r>
              <w:t>结合现状地形条件以及墨砚湖蓄水情况，墨砚湖中央公园陆域挖方远大于填方，公园边界之外也存在大量道路挖方。挖填分析典型横断面见下图，仅在墨砚湖西南角有部分低洼地带，其余地面均需开挖后形成景观公园。</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119" w:hRule="atLeast"/>
          <w:jc w:val="center"/>
        </w:trPr>
        <w:tc>
          <w:tcPr>
            <w:tcW w:w="710" w:type="dxa"/>
            <w:vAlign w:val="center"/>
          </w:tcPr>
          <w:p>
            <w:pPr>
              <w:adjustRightInd w:val="0"/>
              <w:snapToGrid w:val="0"/>
              <w:jc w:val="center"/>
              <w:rPr>
                <w:rFonts w:hint="eastAsia"/>
              </w:rPr>
            </w:pPr>
            <w:r>
              <w:rPr>
                <w:rFonts w:hint="eastAsia"/>
              </w:rPr>
              <w:t>总平面及现场布置</w:t>
            </w:r>
          </w:p>
        </w:tc>
        <w:tc>
          <w:tcPr>
            <w:tcW w:w="8380" w:type="dxa"/>
            <w:vAlign w:val="center"/>
          </w:tcPr>
          <w:p>
            <w:pPr>
              <w:pStyle w:val="42"/>
              <w:ind w:firstLine="480"/>
            </w:pPr>
            <w:r>
              <w:t>本工程结合现状地形条件以及城市开发规划，将整个项目分为两个主要板块：城市中央公园板块和山水田园综合体板块，城市中央公园板块从普安大道一直向南延伸至规划纵三路以南约160m，通过对地形局部改造，形成55万m</w:t>
            </w:r>
            <w:r>
              <w:rPr>
                <w:vertAlign w:val="superscript"/>
              </w:rPr>
              <w:t>2</w:t>
            </w:r>
            <w:r>
              <w:t>城市中央公园，其中水体面积约19万m</w:t>
            </w:r>
            <w:r>
              <w:rPr>
                <w:vertAlign w:val="superscript"/>
              </w:rPr>
              <w:t>2</w:t>
            </w:r>
            <w:r>
              <w:t>。纵三路以南的南侧山水田园综合体基本保持现状地形条件，主要对现状道路进行拓宽处理，并完善配套市政管网，为此，涉及对现状地形变化较大的主要集中在城市中央公园周边，通过对现状山体的开挖，并对局部低洼地带的回填，形成新的城市公园地貌。</w:t>
            </w:r>
          </w:p>
          <w:p>
            <w:pPr>
              <w:pStyle w:val="42"/>
              <w:ind w:firstLine="480"/>
            </w:pPr>
            <w:r>
              <w:t>结合周边道路竖向规划，墨砚湖两侧的横九路和安康路大部分路段为挖方，纵三路在与墨砚湖交叉位置设置上跨桥梁，其余路段挖方也较多。以上三条道路高程均较高，高出墨砚湖蓄水位约2~19m，为增加墨砚湖亲水性，墨砚湖周边需要重新塑造形成相对平缓清水斜坡顺接湖岸。</w:t>
            </w:r>
          </w:p>
          <w:p>
            <w:pPr>
              <w:pStyle w:val="42"/>
              <w:ind w:firstLine="480"/>
            </w:pPr>
            <w:r>
              <w:rPr>
                <w:rFonts w:hint="eastAsia"/>
              </w:rPr>
              <w:t>围绕墨砚湖两大板块，建设形成约41万m</w:t>
            </w:r>
            <w:r>
              <w:rPr>
                <w:rFonts w:hint="eastAsia"/>
                <w:vertAlign w:val="superscript"/>
              </w:rPr>
              <w:t>3</w:t>
            </w:r>
            <w:r>
              <w:rPr>
                <w:rFonts w:hint="eastAsia"/>
              </w:rPr>
              <w:t>蓄水湖体，建成完善的墨砚湖调蓄、泄洪系统</w:t>
            </w:r>
            <w:r>
              <w:t>，</w:t>
            </w:r>
            <w:r>
              <w:rPr>
                <w:rFonts w:hint="eastAsia"/>
              </w:rPr>
              <w:t>结合路网及周边建设情况，建设雨水工程和山体截洪工程。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119" w:hRule="atLeast"/>
          <w:jc w:val="center"/>
        </w:trPr>
        <w:tc>
          <w:tcPr>
            <w:tcW w:w="710" w:type="dxa"/>
            <w:vAlign w:val="center"/>
          </w:tcPr>
          <w:p>
            <w:pPr>
              <w:adjustRightInd w:val="0"/>
              <w:snapToGrid w:val="0"/>
              <w:jc w:val="center"/>
              <w:rPr>
                <w:rFonts w:hint="eastAsia"/>
              </w:rPr>
            </w:pPr>
            <w:r>
              <w:rPr>
                <w:rFonts w:hint="eastAsia"/>
              </w:rPr>
              <w:t>施工方案</w:t>
            </w:r>
          </w:p>
        </w:tc>
        <w:tc>
          <w:tcPr>
            <w:tcW w:w="8380" w:type="dxa"/>
            <w:vAlign w:val="center"/>
          </w:tcPr>
          <w:p>
            <w:pPr>
              <w:pStyle w:val="40"/>
              <w:ind w:firstLine="482"/>
            </w:pPr>
            <w:r>
              <w:rPr>
                <w:rFonts w:hint="eastAsia"/>
              </w:rPr>
              <w:t>1、总体方案</w:t>
            </w:r>
          </w:p>
          <w:p>
            <w:pPr>
              <w:pStyle w:val="42"/>
              <w:ind w:firstLine="480"/>
            </w:pPr>
            <w:r>
              <w:rPr>
                <w:rFonts w:hint="eastAsia"/>
              </w:rPr>
              <w:t>本项目改造主要涉及给排水工程、泄洪涵洞工程、堤坝工程、取水工程、墨砚湖岸工程、湖体水生态工程、60m大街排水改造项目、迎宾大道片区排水改造项目、蜀北下路排水改造工程、客运站片区排洪通道项目、蜀北中路排水改造项目、普宁街排洪通道项目、来龙山堰闸工程、碧山庙村拱堰改造工程、县城内涝整治及管网修复项目、上游片区排水改造工程、普安大道周边道路排水工程。</w:t>
            </w:r>
          </w:p>
          <w:p>
            <w:pPr>
              <w:pStyle w:val="40"/>
              <w:ind w:firstLine="482"/>
            </w:pPr>
            <w:r>
              <w:rPr>
                <w:rFonts w:hint="eastAsia"/>
              </w:rPr>
              <w:t>2、湖体蓄水工程</w:t>
            </w:r>
          </w:p>
          <w:p>
            <w:pPr>
              <w:pStyle w:val="42"/>
              <w:ind w:firstLine="480"/>
            </w:pPr>
            <w:r>
              <w:t>根据前期景规划，对湖岸进行规整后，结合地形特点总体上形成两个湖面，纵三路以南湖面面积1.51万m</w:t>
            </w:r>
            <w:r>
              <w:rPr>
                <w:vertAlign w:val="superscript"/>
              </w:rPr>
              <w:t>2</w:t>
            </w:r>
            <w:r>
              <w:t>，该湖面蓄水高程357.0m，上游引水通过多级跌水、沉淀并进行生物净化处理后再向北进入下一级纵三路以北主体湖面。纵三路以北湖面面积17.2万m</w:t>
            </w:r>
            <w:r>
              <w:rPr>
                <w:vertAlign w:val="superscript"/>
              </w:rPr>
              <w:t>2</w:t>
            </w:r>
            <w:r>
              <w:t>，湖面蓄水高程356.0m。</w:t>
            </w:r>
          </w:p>
          <w:p>
            <w:pPr>
              <w:pStyle w:val="42"/>
              <w:ind w:firstLine="480"/>
            </w:pPr>
            <w:r>
              <w:rPr>
                <w:rFonts w:hint="eastAsia"/>
              </w:rPr>
              <w:t>根据前期景规划，对湖岸进行规整后，结合地形特点总体上形成两个湖面，纵三路以南湖面面积1.51万m</w:t>
            </w:r>
            <w:r>
              <w:rPr>
                <w:rFonts w:hint="eastAsia"/>
                <w:vertAlign w:val="superscript"/>
              </w:rPr>
              <w:t>2</w:t>
            </w:r>
            <w:r>
              <w:rPr>
                <w:rFonts w:hint="eastAsia"/>
              </w:rPr>
              <w:t>，该湖面蓄水高程357.0m，上游引水通过多级跌水、沉淀并进行生物净化处理后再向北进入下一级纵三路以北主体湖面。纵三路以北湖面面积17.2万m</w:t>
            </w:r>
            <w:r>
              <w:rPr>
                <w:rFonts w:hint="eastAsia"/>
                <w:vertAlign w:val="superscript"/>
              </w:rPr>
              <w:t>2</w:t>
            </w:r>
            <w:r>
              <w:rPr>
                <w:rFonts w:hint="eastAsia"/>
              </w:rPr>
              <w:t>，湖面蓄水高程356.0m。</w:t>
            </w:r>
          </w:p>
          <w:p>
            <w:pPr>
              <w:adjustRightInd w:val="0"/>
              <w:snapToGrid w:val="0"/>
              <w:ind w:firstLine="480"/>
              <w:jc w:val="center"/>
              <w:rPr>
                <w:rFonts w:hint="eastAsia"/>
              </w:rPr>
            </w:pPr>
            <w:r>
              <w:rPr>
                <w:rFonts w:hint="eastAsia"/>
              </w:rPr>
              <w:drawing>
                <wp:inline distT="0" distB="0" distL="0" distR="0">
                  <wp:extent cx="3247390" cy="3295015"/>
                  <wp:effectExtent l="0" t="0" r="0" b="0"/>
                  <wp:docPr id="6" name="图片 6"/>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0">
                            <a:extLst>
                              <a:ext uri="{28A0092B-C50C-407E-A947-70E740481C1C}">
                                <a14:useLocalDpi xmlns:a14="http://schemas.microsoft.com/office/drawing/2010/main" val="0"/>
                              </a:ext>
                            </a:extLst>
                          </a:blip>
                          <a:srcRect/>
                          <a:stretch>
                            <a:fillRect/>
                          </a:stretch>
                        </pic:blipFill>
                        <pic:spPr>
                          <a:xfrm>
                            <a:off x="0" y="0"/>
                            <a:ext cx="3247390" cy="3295015"/>
                          </a:xfrm>
                          <a:prstGeom prst="rect">
                            <a:avLst/>
                          </a:prstGeom>
                          <a:noFill/>
                        </pic:spPr>
                      </pic:pic>
                    </a:graphicData>
                  </a:graphic>
                </wp:inline>
              </w:drawing>
            </w:r>
          </w:p>
          <w:p>
            <w:pPr>
              <w:pStyle w:val="38"/>
            </w:pPr>
            <w:r>
              <w:rPr>
                <w:rFonts w:hint="eastAsia"/>
              </w:rPr>
              <w:t>图2-2 景观湖蓄水平面图</w:t>
            </w:r>
          </w:p>
          <w:p>
            <w:pPr>
              <w:pStyle w:val="42"/>
              <w:ind w:firstLine="480"/>
            </w:pPr>
            <w:r>
              <w:t>按以上两级蓄水情况下，湖面蓄水总面积为18.7万m2，按现状地形蓄水到达设计蓄水位高程时，墨砚湖容积约72.89万m3，最大蓄水深处位于现状涵洞进口附近，水深约10.21m。</w:t>
            </w:r>
          </w:p>
          <w:p>
            <w:pPr>
              <w:pStyle w:val="42"/>
              <w:ind w:firstLine="480"/>
            </w:pPr>
            <w:r>
              <w:t>根据当地气象条件及周边汇水情况，墨砚湖周边集雨面积相对较小，无法形成相对稳定的常年流水，结合该地区蒸发量大于降雨量的特点，为保持湖面水位，需要增设额外补水措施；结合湖体清淤检修，湖体越深，检修期间所需补水量越大；且在湖体末端水深较深，导致出口泄洪涵洞埋深较深，增加工程投资，加大后期泄洪涵洞管理难度。同时结合墨砚湖公园场坪设计情况，将产生大量的外弃土石方，将部分外弃土方直接用于现状较深湖底回填，一方面可减小湖体容积，减小湖体维修水量，另一方面减小土方外弃，减少工程投资。</w:t>
            </w:r>
          </w:p>
          <w:p>
            <w:pPr>
              <w:pStyle w:val="42"/>
              <w:ind w:firstLine="480"/>
            </w:pPr>
            <w:r>
              <w:t>在墨砚湖蓄水后，为确保周边游人安全，对于近岸段需要减小湖水深度，需对部分现状地形进行局部抬高处理（如临近普安大道段），对水下地形进行重塑。经湖底重塑后湖体蓄水及湖体形状可结合景观进行适当修整，湖岸边水深设计为0.2米，湖岸形成缓于1:4的平均坡度，湖底最深处3米，这样既不会造成垃圾的沉积，又能防止孩童擅自进入湖内，提高了安全系数。结合周边场平土石方开挖，对现状地形进行修整，回填现状地形中较低位置，回填后蓄水上湖2.41万m</w:t>
            </w:r>
            <w:r>
              <w:rPr>
                <w:vertAlign w:val="superscript"/>
              </w:rPr>
              <w:t>3</w:t>
            </w:r>
            <w:r>
              <w:t>，下湖31.65万方，湖体设计蓄水容积约41万m</w:t>
            </w:r>
            <w:r>
              <w:rPr>
                <w:vertAlign w:val="superscript"/>
              </w:rPr>
              <w:t>3</w:t>
            </w:r>
            <w:r>
              <w:t>，需要回填土体约36万m</w:t>
            </w:r>
            <w:r>
              <w:rPr>
                <w:vertAlign w:val="superscript"/>
              </w:rPr>
              <w:t>3</w:t>
            </w:r>
            <w:r>
              <w:t>。</w:t>
            </w:r>
          </w:p>
          <w:p>
            <w:pPr>
              <w:pStyle w:val="42"/>
              <w:ind w:firstLine="480"/>
            </w:pPr>
            <w:r>
              <w:t>湖体蓄水深度方案比较见下表：</w:t>
            </w:r>
          </w:p>
          <w:p>
            <w:pPr>
              <w:pStyle w:val="38"/>
            </w:pPr>
            <w:r>
              <w:rPr>
                <w:rFonts w:hint="eastAsia"/>
              </w:rPr>
              <w:t>表2-5 湖体蓄水深度方案比较表</w:t>
            </w:r>
          </w:p>
          <w:tbl>
            <w:tblPr>
              <w:tblStyle w:val="15"/>
              <w:tblW w:w="8164"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34"/>
              <w:gridCol w:w="3373"/>
              <w:gridCol w:w="355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34" w:type="dxa"/>
                  <w:shd w:val="clear" w:color="auto" w:fill="auto"/>
                  <w:vAlign w:val="center"/>
                </w:tcPr>
                <w:p>
                  <w:pPr>
                    <w:pStyle w:val="36"/>
                    <w:rPr>
                      <w:rStyle w:val="53"/>
                      <w:rFonts w:cs="宋体"/>
                      <w:sz w:val="21"/>
                    </w:rPr>
                  </w:pPr>
                </w:p>
              </w:tc>
              <w:tc>
                <w:tcPr>
                  <w:tcW w:w="3373" w:type="dxa"/>
                  <w:shd w:val="clear" w:color="auto" w:fill="auto"/>
                  <w:vAlign w:val="center"/>
                </w:tcPr>
                <w:p>
                  <w:pPr>
                    <w:pStyle w:val="36"/>
                    <w:rPr>
                      <w:rStyle w:val="53"/>
                      <w:rFonts w:cs="宋体"/>
                      <w:sz w:val="21"/>
                    </w:rPr>
                  </w:pPr>
                  <w:r>
                    <w:rPr>
                      <w:rStyle w:val="53"/>
                      <w:rFonts w:cs="宋体"/>
                      <w:sz w:val="21"/>
                    </w:rPr>
                    <w:t>优点</w:t>
                  </w:r>
                </w:p>
              </w:tc>
              <w:tc>
                <w:tcPr>
                  <w:tcW w:w="3557" w:type="dxa"/>
                  <w:shd w:val="clear" w:color="auto" w:fill="auto"/>
                  <w:vAlign w:val="center"/>
                </w:tcPr>
                <w:p>
                  <w:pPr>
                    <w:pStyle w:val="36"/>
                    <w:rPr>
                      <w:rStyle w:val="53"/>
                      <w:rFonts w:cs="宋体"/>
                      <w:sz w:val="21"/>
                    </w:rPr>
                  </w:pPr>
                  <w:r>
                    <w:rPr>
                      <w:rStyle w:val="53"/>
                      <w:rFonts w:cs="宋体"/>
                      <w:sz w:val="21"/>
                    </w:rPr>
                    <w:t>缺点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34" w:type="dxa"/>
                  <w:shd w:val="clear" w:color="auto" w:fill="auto"/>
                  <w:vAlign w:val="center"/>
                </w:tcPr>
                <w:p>
                  <w:pPr>
                    <w:pStyle w:val="36"/>
                    <w:rPr>
                      <w:rStyle w:val="53"/>
                      <w:rFonts w:cs="宋体"/>
                      <w:sz w:val="21"/>
                    </w:rPr>
                  </w:pPr>
                  <w:r>
                    <w:rPr>
                      <w:rStyle w:val="53"/>
                      <w:rFonts w:cs="宋体"/>
                      <w:sz w:val="21"/>
                    </w:rPr>
                    <w:t>保持现状地形蓄水造湖方案</w:t>
                  </w:r>
                </w:p>
              </w:tc>
              <w:tc>
                <w:tcPr>
                  <w:tcW w:w="3373" w:type="dxa"/>
                  <w:shd w:val="clear" w:color="auto" w:fill="auto"/>
                  <w:vAlign w:val="center"/>
                </w:tcPr>
                <w:p>
                  <w:pPr>
                    <w:pStyle w:val="36"/>
                    <w:rPr>
                      <w:rStyle w:val="53"/>
                      <w:rFonts w:cs="宋体"/>
                      <w:sz w:val="21"/>
                    </w:rPr>
                  </w:pPr>
                  <w:r>
                    <w:rPr>
                      <w:rStyle w:val="53"/>
                      <w:rFonts w:cs="宋体"/>
                      <w:sz w:val="21"/>
                    </w:rPr>
                    <w:t>直接填湖，湖体本身土石方量少；</w:t>
                  </w:r>
                </w:p>
                <w:p>
                  <w:pPr>
                    <w:pStyle w:val="36"/>
                    <w:rPr>
                      <w:rStyle w:val="53"/>
                      <w:rFonts w:cs="宋体"/>
                      <w:sz w:val="21"/>
                    </w:rPr>
                  </w:pPr>
                  <w:r>
                    <w:rPr>
                      <w:rStyle w:val="53"/>
                      <w:rFonts w:cs="宋体"/>
                      <w:sz w:val="21"/>
                    </w:rPr>
                    <w:t>需水量大，净化能力强；</w:t>
                  </w:r>
                </w:p>
                <w:p>
                  <w:pPr>
                    <w:pStyle w:val="36"/>
                    <w:rPr>
                      <w:rStyle w:val="53"/>
                      <w:rFonts w:cs="宋体"/>
                      <w:sz w:val="21"/>
                    </w:rPr>
                  </w:pPr>
                  <w:r>
                    <w:rPr>
                      <w:rStyle w:val="53"/>
                      <w:rFonts w:cs="宋体"/>
                      <w:sz w:val="21"/>
                    </w:rPr>
                    <w:t>湖体施工不受周边土石方调配影响；</w:t>
                  </w:r>
                </w:p>
                <w:p>
                  <w:pPr>
                    <w:pStyle w:val="36"/>
                    <w:rPr>
                      <w:rStyle w:val="53"/>
                      <w:rFonts w:cs="宋体"/>
                      <w:sz w:val="21"/>
                    </w:rPr>
                  </w:pPr>
                  <w:r>
                    <w:rPr>
                      <w:rStyle w:val="53"/>
                      <w:rFonts w:cs="宋体"/>
                      <w:sz w:val="21"/>
                    </w:rPr>
                    <w:t>湖体驳岸位于原状地基土，地基处理简单。</w:t>
                  </w:r>
                </w:p>
              </w:tc>
              <w:tc>
                <w:tcPr>
                  <w:tcW w:w="3557" w:type="dxa"/>
                  <w:shd w:val="clear" w:color="auto" w:fill="auto"/>
                  <w:vAlign w:val="center"/>
                </w:tcPr>
                <w:p>
                  <w:pPr>
                    <w:pStyle w:val="36"/>
                    <w:rPr>
                      <w:rStyle w:val="53"/>
                      <w:rFonts w:cs="宋体"/>
                      <w:sz w:val="21"/>
                    </w:rPr>
                  </w:pPr>
                  <w:r>
                    <w:rPr>
                      <w:rStyle w:val="53"/>
                      <w:rFonts w:cs="宋体"/>
                      <w:sz w:val="21"/>
                    </w:rPr>
                    <w:t>水体深，后期运营安全隐患大；</w:t>
                  </w:r>
                </w:p>
                <w:p>
                  <w:pPr>
                    <w:pStyle w:val="36"/>
                    <w:rPr>
                      <w:rStyle w:val="53"/>
                      <w:rFonts w:cs="宋体"/>
                      <w:sz w:val="21"/>
                    </w:rPr>
                  </w:pPr>
                  <w:r>
                    <w:rPr>
                      <w:rStyle w:val="53"/>
                      <w:rFonts w:cs="宋体"/>
                      <w:sz w:val="21"/>
                    </w:rPr>
                    <w:t>蓄水量大，检修维护费用高；</w:t>
                  </w:r>
                </w:p>
                <w:p>
                  <w:pPr>
                    <w:pStyle w:val="36"/>
                    <w:rPr>
                      <w:rStyle w:val="53"/>
                      <w:rFonts w:cs="宋体"/>
                      <w:sz w:val="21"/>
                    </w:rPr>
                  </w:pPr>
                  <w:r>
                    <w:rPr>
                      <w:rStyle w:val="53"/>
                      <w:rFonts w:cs="宋体"/>
                      <w:sz w:val="21"/>
                    </w:rPr>
                    <w:t>泄洪出口埋深</w:t>
                  </w:r>
                  <w:r>
                    <w:rPr>
                      <w:rStyle w:val="53"/>
                      <w:rFonts w:hint="eastAsia" w:cs="宋体"/>
                      <w:sz w:val="21"/>
                      <w:lang w:val="en-US" w:eastAsia="zh-CN"/>
                    </w:rPr>
                    <w:t>较</w:t>
                  </w:r>
                  <w:r>
                    <w:rPr>
                      <w:rStyle w:val="53"/>
                      <w:rFonts w:cs="宋体"/>
                      <w:sz w:val="21"/>
                    </w:rPr>
                    <w:t>深，导致泄洪通道建设费用大，后期检修困难；</w:t>
                  </w:r>
                </w:p>
                <w:p>
                  <w:pPr>
                    <w:pStyle w:val="36"/>
                    <w:rPr>
                      <w:rStyle w:val="53"/>
                      <w:rFonts w:cs="宋体"/>
                      <w:sz w:val="21"/>
                    </w:rPr>
                  </w:pPr>
                  <w:r>
                    <w:rPr>
                      <w:rStyle w:val="53"/>
                      <w:rFonts w:cs="宋体"/>
                      <w:sz w:val="21"/>
                    </w:rPr>
                    <w:t>周边土石方无法就地部分消化；</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34" w:type="dxa"/>
                  <w:shd w:val="clear" w:color="auto" w:fill="auto"/>
                  <w:vAlign w:val="center"/>
                </w:tcPr>
                <w:p>
                  <w:pPr>
                    <w:pStyle w:val="36"/>
                    <w:rPr>
                      <w:rStyle w:val="53"/>
                      <w:rFonts w:cs="宋体"/>
                      <w:sz w:val="21"/>
                    </w:rPr>
                  </w:pPr>
                  <w:r>
                    <w:rPr>
                      <w:rStyle w:val="53"/>
                      <w:rFonts w:cs="宋体"/>
                      <w:sz w:val="21"/>
                    </w:rPr>
                    <w:t>对湖体局部回填降低水深蓄水造湖方案</w:t>
                  </w:r>
                </w:p>
              </w:tc>
              <w:tc>
                <w:tcPr>
                  <w:tcW w:w="3373" w:type="dxa"/>
                  <w:shd w:val="clear" w:color="auto" w:fill="auto"/>
                  <w:vAlign w:val="center"/>
                </w:tcPr>
                <w:p>
                  <w:pPr>
                    <w:pStyle w:val="36"/>
                    <w:rPr>
                      <w:rStyle w:val="53"/>
                      <w:rFonts w:cs="宋体"/>
                      <w:sz w:val="21"/>
                    </w:rPr>
                  </w:pPr>
                  <w:r>
                    <w:rPr>
                      <w:rStyle w:val="53"/>
                      <w:rFonts w:cs="宋体"/>
                      <w:sz w:val="21"/>
                    </w:rPr>
                    <w:t>减小湖体蓄水及补水量；</w:t>
                  </w:r>
                  <w:r>
                    <w:br w:type="textWrapping"/>
                  </w:r>
                  <w:r>
                    <w:rPr>
                      <w:rStyle w:val="53"/>
                      <w:rFonts w:cs="宋体"/>
                      <w:sz w:val="21"/>
                    </w:rPr>
                    <w:t>消化部分周边外弃土石方；</w:t>
                  </w:r>
                </w:p>
                <w:p>
                  <w:pPr>
                    <w:pStyle w:val="36"/>
                    <w:rPr>
                      <w:rStyle w:val="53"/>
                      <w:rFonts w:cs="宋体"/>
                      <w:sz w:val="21"/>
                    </w:rPr>
                  </w:pPr>
                  <w:r>
                    <w:rPr>
                      <w:rStyle w:val="53"/>
                      <w:rFonts w:cs="宋体"/>
                      <w:sz w:val="21"/>
                    </w:rPr>
                    <w:t>出口泄洪涵洞建设及维修容易；</w:t>
                  </w:r>
                </w:p>
                <w:p>
                  <w:pPr>
                    <w:pStyle w:val="36"/>
                    <w:rPr>
                      <w:rStyle w:val="53"/>
                      <w:rFonts w:cs="宋体"/>
                      <w:sz w:val="21"/>
                    </w:rPr>
                  </w:pPr>
                  <w:r>
                    <w:rPr>
                      <w:rStyle w:val="53"/>
                      <w:rFonts w:cs="宋体"/>
                      <w:sz w:val="21"/>
                    </w:rPr>
                    <w:t>降低湖边景观驳岸建设难度；</w:t>
                  </w:r>
                </w:p>
                <w:p>
                  <w:pPr>
                    <w:pStyle w:val="36"/>
                    <w:rPr>
                      <w:rStyle w:val="53"/>
                      <w:rFonts w:cs="宋体"/>
                      <w:sz w:val="21"/>
                    </w:rPr>
                  </w:pPr>
                  <w:r>
                    <w:rPr>
                      <w:rStyle w:val="53"/>
                      <w:rFonts w:cs="宋体"/>
                      <w:sz w:val="21"/>
                    </w:rPr>
                    <w:t>形成湖周浅水过渡带，减小安全隐患。</w:t>
                  </w:r>
                </w:p>
              </w:tc>
              <w:tc>
                <w:tcPr>
                  <w:tcW w:w="3557" w:type="dxa"/>
                  <w:shd w:val="clear" w:color="auto" w:fill="auto"/>
                  <w:vAlign w:val="center"/>
                </w:tcPr>
                <w:p>
                  <w:pPr>
                    <w:pStyle w:val="36"/>
                    <w:rPr>
                      <w:rStyle w:val="53"/>
                      <w:rFonts w:cs="宋体"/>
                      <w:sz w:val="21"/>
                    </w:rPr>
                  </w:pPr>
                  <w:r>
                    <w:rPr>
                      <w:rStyle w:val="53"/>
                      <w:rFonts w:cs="宋体"/>
                      <w:sz w:val="21"/>
                    </w:rPr>
                    <w:t>增加湖底重塑施工步骤；</w:t>
                  </w:r>
                </w:p>
                <w:p>
                  <w:pPr>
                    <w:pStyle w:val="36"/>
                    <w:rPr>
                      <w:rStyle w:val="53"/>
                      <w:rFonts w:cs="宋体"/>
                      <w:sz w:val="21"/>
                    </w:rPr>
                  </w:pPr>
                  <w:r>
                    <w:rPr>
                      <w:rStyle w:val="53"/>
                      <w:rFonts w:cs="宋体"/>
                      <w:sz w:val="21"/>
                    </w:rPr>
                    <w:t>库容小，湖体基本无调蓄功能。</w:t>
                  </w:r>
                </w:p>
                <w:p>
                  <w:pPr>
                    <w:pStyle w:val="36"/>
                    <w:rPr>
                      <w:rStyle w:val="53"/>
                      <w:rFonts w:cs="宋体"/>
                      <w:sz w:val="21"/>
                    </w:rPr>
                  </w:pPr>
                </w:p>
              </w:tc>
            </w:tr>
          </w:tbl>
          <w:p>
            <w:pPr>
              <w:pStyle w:val="42"/>
              <w:ind w:firstLine="480"/>
            </w:pPr>
            <w:r>
              <w:t>经以上比较，通过对现状地形进行适当调整，对低洼地带回填，对局部高出湖面地段开挖，并规整湖岸线，选用对湖体局部回填降低水深。蓄水造湖方案在一定程度上可协调周边场平开发中产生的弃土，增加湖体运行安全，减小后期湖体维护费用。经核算，对湖体回填需要约36万m</w:t>
            </w:r>
            <w:r>
              <w:rPr>
                <w:vertAlign w:val="superscript"/>
              </w:rPr>
              <w:t>3</w:t>
            </w:r>
            <w:r>
              <w:t>土石料，湖体最大水深约3m，湖体设计蓄水容积为41万m</w:t>
            </w:r>
            <w:r>
              <w:rPr>
                <w:vertAlign w:val="superscript"/>
              </w:rPr>
              <w:t>3</w:t>
            </w:r>
            <w:r>
              <w:t>。</w:t>
            </w:r>
          </w:p>
          <w:p>
            <w:pPr>
              <w:pStyle w:val="40"/>
              <w:ind w:firstLine="482"/>
            </w:pPr>
            <w:r>
              <w:rPr>
                <w:rFonts w:hint="eastAsia"/>
              </w:rPr>
              <w:t>3</w:t>
            </w:r>
            <w:r>
              <w:t>、湖体取水</w:t>
            </w:r>
            <w:r>
              <w:rPr>
                <w:rFonts w:hint="eastAsia"/>
              </w:rPr>
              <w:t>工程</w:t>
            </w:r>
          </w:p>
          <w:p>
            <w:pPr>
              <w:pStyle w:val="42"/>
              <w:ind w:firstLine="480"/>
            </w:pPr>
            <w:r>
              <w:t>（</w:t>
            </w:r>
            <w:r>
              <w:rPr>
                <w:rFonts w:hint="eastAsia"/>
              </w:rPr>
              <w:t>1</w:t>
            </w:r>
            <w:r>
              <w:t>）湖体蓄水</w:t>
            </w:r>
          </w:p>
          <w:p>
            <w:pPr>
              <w:pStyle w:val="42"/>
              <w:ind w:firstLine="480"/>
            </w:pPr>
            <w:r>
              <w:t>墨砚湖建成后湖体需水量约41万m3，原则上蓄水先由天然降水形成初期补给水，再通过人工补给形成规划水体景观。由于天然降水的不确定性，需有稳定水源供给，并采取有效措施尽量减小渗漏。另外还需要对湖体长期补充的净化水源，结合湖体水质情况适当进行补给置换处理，并采取生物净化技术保持湖体水质优良。</w:t>
            </w:r>
          </w:p>
          <w:p>
            <w:pPr>
              <w:pStyle w:val="42"/>
              <w:ind w:firstLine="480"/>
            </w:pPr>
            <w:r>
              <w:t>（</w:t>
            </w:r>
            <w:r>
              <w:rPr>
                <w:rFonts w:hint="eastAsia"/>
              </w:rPr>
              <w:t>2</w:t>
            </w:r>
            <w:r>
              <w:t>）湖体蒸发</w:t>
            </w:r>
          </w:p>
          <w:p>
            <w:pPr>
              <w:pStyle w:val="42"/>
              <w:ind w:firstLine="480"/>
            </w:pPr>
            <w:r>
              <w:t>根据气象调查数据，蓬溪多年平均蒸发量1131.0mm，墨砚湖正常水位356.0m时，时湖面总面积约18.7万m2，根据墨砚湖水面面积计算，每年蒸发损失水量约21.1万m3。</w:t>
            </w:r>
          </w:p>
          <w:p>
            <w:pPr>
              <w:pStyle w:val="42"/>
              <w:ind w:firstLine="480"/>
            </w:pPr>
            <w:r>
              <w:rPr>
                <w:rFonts w:hint="eastAsia"/>
              </w:rPr>
              <w:t>（3）</w:t>
            </w:r>
            <w:r>
              <w:t>渗漏水量计算</w:t>
            </w:r>
          </w:p>
          <w:p>
            <w:pPr>
              <w:pStyle w:val="42"/>
              <w:ind w:firstLine="480"/>
            </w:pPr>
            <w:r>
              <w:t>本次湖区在局部回填重塑水下地形后，采用防渗膜对湖底进行防渗处理，一方面减小墨砚湖水量损失，另一方面减小渗流对周边及下游构筑物的影响，经防渗膜防渗处理后，渗透系数采用1×10</w:t>
            </w:r>
            <w:r>
              <w:rPr>
                <w:vertAlign w:val="superscript"/>
              </w:rPr>
              <w:t>-6</w:t>
            </w:r>
            <w:r>
              <w:t>cm/s，根据湖区面积计算得到湖区每年渗漏量为5.9万m</w:t>
            </w:r>
            <w:r>
              <w:rPr>
                <w:vertAlign w:val="superscript"/>
              </w:rPr>
              <w:t>3</w:t>
            </w:r>
            <w:r>
              <w:t>。</w:t>
            </w:r>
          </w:p>
          <w:p>
            <w:pPr>
              <w:pStyle w:val="42"/>
              <w:ind w:firstLine="480"/>
            </w:pPr>
            <w:r>
              <w:rPr>
                <w:rFonts w:hint="eastAsia"/>
              </w:rPr>
              <w:t>（4）</w:t>
            </w:r>
            <w:r>
              <w:t>补水方案</w:t>
            </w:r>
          </w:p>
          <w:p>
            <w:pPr>
              <w:pStyle w:val="42"/>
              <w:ind w:firstLine="480"/>
            </w:pPr>
            <w:r>
              <w:t>由于墨砚湖湖体需进行补水以保证湖体正常运行，经过现场调查及与各方商讨，拟从赤大支渠引水（推荐方案）与从三五水库引水（比较方案）两方案之间进行比较，并从中选出最优方案。</w:t>
            </w:r>
          </w:p>
          <w:p>
            <w:pPr>
              <w:pStyle w:val="38"/>
            </w:pPr>
            <w:r>
              <w:t>表</w:t>
            </w:r>
            <w:r>
              <w:rPr>
                <w:rFonts w:hint="eastAsia"/>
              </w:rPr>
              <w:t>2-6</w:t>
            </w:r>
            <w:r>
              <w:t xml:space="preserve"> 总体方案比选</w:t>
            </w:r>
          </w:p>
          <w:tbl>
            <w:tblPr>
              <w:tblStyle w:val="15"/>
              <w:tblW w:w="8164"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4"/>
              <w:gridCol w:w="1350"/>
              <w:gridCol w:w="3045"/>
              <w:gridCol w:w="304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4" w:type="dxa"/>
                  <w:shd w:val="clear" w:color="auto" w:fill="auto"/>
                  <w:vAlign w:val="center"/>
                </w:tcPr>
                <w:p>
                  <w:pPr>
                    <w:pStyle w:val="36"/>
                  </w:pPr>
                  <w:r>
                    <w:t>序号</w:t>
                  </w:r>
                </w:p>
              </w:tc>
              <w:tc>
                <w:tcPr>
                  <w:tcW w:w="1350" w:type="dxa"/>
                  <w:shd w:val="clear" w:color="auto" w:fill="auto"/>
                  <w:vAlign w:val="center"/>
                </w:tcPr>
                <w:p>
                  <w:pPr>
                    <w:pStyle w:val="36"/>
                  </w:pPr>
                  <w:r>
                    <w:t>方案名称</w:t>
                  </w:r>
                </w:p>
              </w:tc>
              <w:tc>
                <w:tcPr>
                  <w:tcW w:w="3045" w:type="dxa"/>
                  <w:shd w:val="clear" w:color="auto" w:fill="auto"/>
                  <w:vAlign w:val="center"/>
                </w:tcPr>
                <w:p>
                  <w:pPr>
                    <w:pStyle w:val="36"/>
                  </w:pPr>
                  <w:r>
                    <w:t>优点</w:t>
                  </w:r>
                </w:p>
              </w:tc>
              <w:tc>
                <w:tcPr>
                  <w:tcW w:w="3045" w:type="dxa"/>
                  <w:shd w:val="clear" w:color="auto" w:fill="auto"/>
                  <w:vAlign w:val="center"/>
                </w:tcPr>
                <w:p>
                  <w:pPr>
                    <w:pStyle w:val="36"/>
                  </w:pPr>
                  <w:r>
                    <w:t>缺点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4" w:type="dxa"/>
                  <w:shd w:val="clear" w:color="auto" w:fill="auto"/>
                  <w:vAlign w:val="center"/>
                </w:tcPr>
                <w:p>
                  <w:pPr>
                    <w:pStyle w:val="36"/>
                  </w:pPr>
                  <w:r>
                    <w:t>方案一</w:t>
                  </w:r>
                </w:p>
              </w:tc>
              <w:tc>
                <w:tcPr>
                  <w:tcW w:w="1350" w:type="dxa"/>
                  <w:shd w:val="clear" w:color="auto" w:fill="auto"/>
                  <w:vAlign w:val="center"/>
                </w:tcPr>
                <w:p>
                  <w:pPr>
                    <w:pStyle w:val="36"/>
                  </w:pPr>
                  <w:r>
                    <w:t>从赤大支渠引水</w:t>
                  </w:r>
                </w:p>
              </w:tc>
              <w:tc>
                <w:tcPr>
                  <w:tcW w:w="3045" w:type="dxa"/>
                  <w:shd w:val="clear" w:color="auto" w:fill="auto"/>
                  <w:vAlign w:val="center"/>
                </w:tcPr>
                <w:p>
                  <w:pPr>
                    <w:pStyle w:val="36"/>
                  </w:pPr>
                  <w:r>
                    <w:t>引水线路短、工作量小、工程造价低；</w:t>
                  </w:r>
                </w:p>
                <w:p>
                  <w:pPr>
                    <w:pStyle w:val="36"/>
                  </w:pPr>
                  <w:r>
                    <w:t>不涉及加压泵站等结构；</w:t>
                  </w:r>
                </w:p>
                <w:p>
                  <w:pPr>
                    <w:pStyle w:val="36"/>
                  </w:pPr>
                  <w:r>
                    <w:t>征拆面积小；</w:t>
                  </w:r>
                </w:p>
                <w:p>
                  <w:pPr>
                    <w:pStyle w:val="36"/>
                  </w:pPr>
                  <w:r>
                    <w:t>不易淤塞。</w:t>
                  </w:r>
                </w:p>
              </w:tc>
              <w:tc>
                <w:tcPr>
                  <w:tcW w:w="3045" w:type="dxa"/>
                  <w:shd w:val="clear" w:color="auto" w:fill="auto"/>
                  <w:vAlign w:val="center"/>
                </w:tcPr>
                <w:p>
                  <w:pPr>
                    <w:pStyle w:val="36"/>
                  </w:pPr>
                  <w:r>
                    <w:t>1、取水保证率易受水源影响</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4" w:type="dxa"/>
                  <w:shd w:val="clear" w:color="auto" w:fill="auto"/>
                  <w:vAlign w:val="center"/>
                </w:tcPr>
                <w:p>
                  <w:pPr>
                    <w:pStyle w:val="36"/>
                  </w:pPr>
                  <w:r>
                    <w:t>方案二</w:t>
                  </w:r>
                </w:p>
              </w:tc>
              <w:tc>
                <w:tcPr>
                  <w:tcW w:w="1350" w:type="dxa"/>
                  <w:shd w:val="clear" w:color="auto" w:fill="auto"/>
                  <w:vAlign w:val="center"/>
                </w:tcPr>
                <w:p>
                  <w:pPr>
                    <w:pStyle w:val="36"/>
                  </w:pPr>
                  <w:r>
                    <w:t>从三五水库引水</w:t>
                  </w:r>
                </w:p>
              </w:tc>
              <w:tc>
                <w:tcPr>
                  <w:tcW w:w="3045" w:type="dxa"/>
                  <w:shd w:val="clear" w:color="auto" w:fill="auto"/>
                  <w:vAlign w:val="center"/>
                </w:tcPr>
                <w:p>
                  <w:pPr>
                    <w:pStyle w:val="36"/>
                  </w:pPr>
                  <w:r>
                    <w:t>1、三五水库库容大，取水保证率高</w:t>
                  </w:r>
                </w:p>
              </w:tc>
              <w:tc>
                <w:tcPr>
                  <w:tcW w:w="3045" w:type="dxa"/>
                  <w:shd w:val="clear" w:color="auto" w:fill="auto"/>
                  <w:vAlign w:val="center"/>
                </w:tcPr>
                <w:p>
                  <w:pPr>
                    <w:pStyle w:val="36"/>
                  </w:pPr>
                  <w:r>
                    <w:t>引水线路长、工作量大、工程造价高；</w:t>
                  </w:r>
                </w:p>
                <w:p>
                  <w:pPr>
                    <w:pStyle w:val="36"/>
                  </w:pPr>
                  <w:r>
                    <w:t>涉及加压泵站等结构；</w:t>
                  </w:r>
                </w:p>
                <w:p>
                  <w:pPr>
                    <w:pStyle w:val="36"/>
                  </w:pPr>
                  <w:r>
                    <w:t>征拆面积大；</w:t>
                  </w:r>
                </w:p>
                <w:p>
                  <w:pPr>
                    <w:pStyle w:val="36"/>
                  </w:pPr>
                  <w:r>
                    <w:t>更易淤塞。</w:t>
                  </w:r>
                </w:p>
              </w:tc>
            </w:tr>
          </w:tbl>
          <w:p>
            <w:pPr>
              <w:pStyle w:val="42"/>
              <w:ind w:firstLine="480"/>
            </w:pPr>
            <w:r>
              <w:t>根据方案比价成果，方案一虽取水受赤大支渠来水影响，但其取水量小对赤大支渠影响相对较小，且其线路短、工程造价低、施工难度小、征地面积小等优势明显，本次设计将方案一作为推荐方案。</w:t>
            </w:r>
          </w:p>
          <w:p>
            <w:pPr>
              <w:pStyle w:val="42"/>
              <w:ind w:firstLine="480"/>
            </w:pPr>
            <w:r>
              <w:t>湖体于赤大支渠洪家湾倒虹管上游沉砂池取水，取水口进口底高程380.00m，取水流量约0.4m³/s，取水管道采两根DN300球墨铸铁管，一用一备，出水口设置于湖体内。</w:t>
            </w:r>
          </w:p>
          <w:p>
            <w:pPr>
              <w:pStyle w:val="42"/>
              <w:ind w:firstLine="480"/>
            </w:pPr>
            <w:bookmarkStart w:id="3" w:name="_Toc31414"/>
            <w:r>
              <w:rPr>
                <w:rFonts w:hint="eastAsia"/>
              </w:rPr>
              <w:t>（5）</w:t>
            </w:r>
            <w:r>
              <w:t>管材及连接</w:t>
            </w:r>
            <w:bookmarkEnd w:id="3"/>
          </w:p>
          <w:p>
            <w:pPr>
              <w:pStyle w:val="42"/>
              <w:ind w:firstLine="480"/>
              <w:rPr>
                <w:szCs w:val="20"/>
              </w:rPr>
            </w:pPr>
            <w:r>
              <w:rPr>
                <w:szCs w:val="20"/>
              </w:rPr>
              <w:t>本次设计管道采用球墨铸铁管，球墨铸铁管管材需满足《水及燃气用球墨铸铁管、管件和附件》(GB/T 13295-2013)要求。本次设计管道工作压力暂按1.0MPa,设计管件公称压力1.6MPa。施工安装时，应符合《给水排水管道工程施工及验收规范》(GB 50268)的规定。</w:t>
            </w:r>
          </w:p>
          <w:p>
            <w:pPr>
              <w:pStyle w:val="42"/>
              <w:ind w:firstLine="480"/>
            </w:pPr>
            <w:bookmarkStart w:id="4" w:name="_Toc1152"/>
            <w:r>
              <w:rPr>
                <w:rFonts w:hint="eastAsia"/>
              </w:rPr>
              <w:t>（6）</w:t>
            </w:r>
            <w:r>
              <w:t>钢管防腐</w:t>
            </w:r>
            <w:bookmarkEnd w:id="4"/>
          </w:p>
          <w:p>
            <w:pPr>
              <w:pStyle w:val="42"/>
              <w:ind w:firstLine="480"/>
              <w:rPr>
                <w:szCs w:val="20"/>
              </w:rPr>
            </w:pPr>
            <w:r>
              <w:rPr>
                <w:szCs w:val="20"/>
              </w:rPr>
              <w:t>管道设计采用球墨铸铁管时，出厂已做管道内外防腐预处理，不需再做防腐处理。</w:t>
            </w:r>
          </w:p>
          <w:p>
            <w:pPr>
              <w:pStyle w:val="40"/>
              <w:ind w:firstLine="482"/>
            </w:pPr>
            <w:r>
              <w:rPr>
                <w:rFonts w:hint="eastAsia"/>
              </w:rPr>
              <w:t>4、泄洪涵洞及水闸工程</w:t>
            </w:r>
          </w:p>
          <w:p>
            <w:pPr>
              <w:pStyle w:val="42"/>
              <w:ind w:firstLine="480"/>
            </w:pPr>
            <w:r>
              <w:t>本次设计泄洪通道</w:t>
            </w:r>
            <w:r>
              <w:rPr>
                <w:rFonts w:hint="eastAsia"/>
              </w:rPr>
              <w:t>及芝溪河调蓄闸门</w:t>
            </w:r>
            <w:r>
              <w:t>防洪标准为：20年一遇设计，100年一遇校核。</w:t>
            </w:r>
          </w:p>
          <w:p>
            <w:pPr>
              <w:pStyle w:val="42"/>
              <w:ind w:firstLine="480"/>
            </w:pPr>
            <w:r>
              <w:t>墨砚湖末端出口泄洪涵洞处设计洪峰流量分别为26.6m</w:t>
            </w:r>
            <w:r>
              <w:rPr>
                <w:vertAlign w:val="superscript"/>
              </w:rPr>
              <w:t>3</w:t>
            </w:r>
            <w:r>
              <w:t>/s和39m</w:t>
            </w:r>
            <w:r>
              <w:rPr>
                <w:vertAlign w:val="superscript"/>
              </w:rPr>
              <w:t>3</w:t>
            </w:r>
            <w:r>
              <w:t>/s。</w:t>
            </w:r>
          </w:p>
          <w:p>
            <w:pPr>
              <w:pStyle w:val="42"/>
              <w:ind w:firstLine="480"/>
            </w:pPr>
            <w:r>
              <w:t>地震：抗震设防烈度为6度，地震动峰值加速度值为0.05g。</w:t>
            </w:r>
          </w:p>
          <w:p>
            <w:pPr>
              <w:pStyle w:val="42"/>
              <w:ind w:firstLine="480"/>
            </w:pPr>
            <w:r>
              <w:t>排涝标准：5年一遇。</w:t>
            </w:r>
          </w:p>
          <w:p>
            <w:pPr>
              <w:pStyle w:val="42"/>
              <w:ind w:firstLine="480"/>
            </w:pPr>
            <w:r>
              <w:t>工程设计使用年限：50年。</w:t>
            </w:r>
          </w:p>
          <w:p>
            <w:pPr>
              <w:pStyle w:val="42"/>
              <w:ind w:firstLine="480"/>
            </w:pPr>
            <w:r>
              <w:t>通航条件：不通航。</w:t>
            </w:r>
          </w:p>
          <w:p>
            <w:pPr>
              <w:pStyle w:val="42"/>
              <w:ind w:firstLine="480"/>
            </w:pPr>
            <w:r>
              <w:t>永久性主要防洪建筑物级别：4级。</w:t>
            </w:r>
          </w:p>
          <w:p>
            <w:pPr>
              <w:pStyle w:val="42"/>
              <w:ind w:firstLine="480"/>
            </w:pPr>
            <w:r>
              <w:t>永久性次要防洪建筑物级别：5级。</w:t>
            </w:r>
          </w:p>
          <w:p>
            <w:pPr>
              <w:pStyle w:val="42"/>
              <w:ind w:firstLine="480"/>
            </w:pPr>
            <w:r>
              <w:t>临时性建筑物级别：5级。</w:t>
            </w:r>
          </w:p>
          <w:p>
            <w:pPr>
              <w:pStyle w:val="40"/>
              <w:ind w:firstLine="482"/>
            </w:pPr>
            <w:r>
              <w:rPr>
                <w:rFonts w:hint="eastAsia"/>
              </w:rPr>
              <w:t>（1）调洪方式</w:t>
            </w:r>
          </w:p>
          <w:p>
            <w:pPr>
              <w:pStyle w:val="42"/>
              <w:ind w:firstLine="480"/>
            </w:pPr>
            <w:r>
              <w:rPr>
                <w:rFonts w:hint="eastAsia"/>
              </w:rPr>
              <w:t>本工程正常水位356.0m，通过墨砚湖末端泄洪涵洞进口水闸控制上游水位，泄洪期间开启闸门，可实现洪水正常下泄。</w:t>
            </w:r>
          </w:p>
          <w:p>
            <w:pPr>
              <w:pStyle w:val="42"/>
              <w:ind w:firstLine="480"/>
            </w:pPr>
            <w:r>
              <w:rPr>
                <w:rFonts w:hint="eastAsia"/>
              </w:rPr>
              <w:t>芝溪河调蓄闸门正常蓄水位331.50m，20年一遇设计洪水位334.76m，50年一遇设计洪水位335.78m。</w:t>
            </w:r>
          </w:p>
          <w:p>
            <w:pPr>
              <w:pStyle w:val="40"/>
              <w:ind w:firstLine="482"/>
            </w:pPr>
            <w:r>
              <w:rPr>
                <w:rFonts w:hint="eastAsia"/>
              </w:rPr>
              <w:t>（2）泄洪涵洞及泄流能力</w:t>
            </w:r>
          </w:p>
          <w:p>
            <w:pPr>
              <w:pStyle w:val="42"/>
              <w:ind w:firstLine="480"/>
            </w:pPr>
            <w:r>
              <w:rPr>
                <w:rFonts w:hint="eastAsia"/>
              </w:rPr>
              <w:t>湖体末端泄洪通道按照20年一遇设计，100年一遇校核，设计洪峰流量分别为26.6m</w:t>
            </w:r>
            <w:r>
              <w:rPr>
                <w:rFonts w:hint="eastAsia"/>
                <w:vertAlign w:val="superscript"/>
              </w:rPr>
              <w:t>3</w:t>
            </w:r>
            <w:r>
              <w:rPr>
                <w:rFonts w:hint="eastAsia"/>
              </w:rPr>
              <w:t>/s和39m</w:t>
            </w:r>
            <w:r>
              <w:rPr>
                <w:rFonts w:hint="eastAsia"/>
                <w:vertAlign w:val="superscript"/>
              </w:rPr>
              <w:t>3</w:t>
            </w:r>
            <w:r>
              <w:rPr>
                <w:rFonts w:hint="eastAsia"/>
              </w:rPr>
              <w:t>/s。泄洪涵洞为无压流，采用明渠均匀流公式进行确定泄洪涵洞大小：</w:t>
            </w:r>
          </w:p>
          <w:p>
            <w:pPr>
              <w:pStyle w:val="42"/>
              <w:ind w:firstLine="480"/>
            </w:pPr>
            <w:r>
              <w:rPr>
                <w:rFonts w:hint="eastAsia"/>
              </w:rPr>
              <w:t>泄洪涵洞底宽3.2m，纵坡0.8%，水深3m情况下，可下泄流量27m</w:t>
            </w:r>
            <w:r>
              <w:rPr>
                <w:rFonts w:hint="eastAsia"/>
                <w:vertAlign w:val="superscript"/>
              </w:rPr>
              <w:t>3</w:t>
            </w:r>
            <w:r>
              <w:rPr>
                <w:rFonts w:hint="eastAsia"/>
              </w:rPr>
              <w:t>/s，下泄流速2.35m/s；在水深3.1m情况下，可下泄流量39.3m</w:t>
            </w:r>
            <w:r>
              <w:rPr>
                <w:rFonts w:hint="eastAsia"/>
                <w:vertAlign w:val="superscript"/>
              </w:rPr>
              <w:t>3</w:t>
            </w:r>
            <w:r>
              <w:rPr>
                <w:rFonts w:hint="eastAsia"/>
              </w:rPr>
              <w:t>/s，下泄流速3.96m/s。</w:t>
            </w:r>
          </w:p>
          <w:p>
            <w:pPr>
              <w:pStyle w:val="42"/>
              <w:ind w:firstLine="480"/>
            </w:pPr>
            <w:r>
              <w:t>根据上位规划及墨砚湖景观打造范围，新建墨砚湖水体约41万方，现状涵洞过水断面较小，无法满足防洪排涝要求，需新建一座泄洪涵洞接入现状石拱涵，确保该区域行洪安全。行洪标准按20年一遇设计，100年一遇校核考虑。</w:t>
            </w:r>
          </w:p>
          <w:p>
            <w:pPr>
              <w:pStyle w:val="42"/>
              <w:ind w:firstLine="480"/>
            </w:pPr>
            <w:r>
              <w:t>本次设计中，沟渠全线采用暗涵形式。起点位于“城市中央公园”（核心区）板块内水体北侧，涵洞过流受水闸控制，其整体线型为西北向前行，于H0+60处设置50m转弯半径后正交现状普安大道。在H0+96处涵洞进入拟建鼎盛熙悦府建筑地块红线范围，并下穿鼎盛熙悦府地下车库。经项目前期多次与鼎盛熙悦府设计单位沟通，涵洞线型已避开车库地下室立柱区域，于H0+200处设置50m转弯半径后接入现状石拱涵。结合水利计算成果及上部荷载条件，本次涵洞结构形式采用钢筋砼箱涵+钢筋砼拱涵形式。其中，H0+00～H0+110段为钢筋砼箱涵，涵洞净宽3.2m；H0+120～末端为钢筋砼拱涵形式，涵洞净宽3.5m，中间设置10长渐变段，涵洞净宽由3.2m渐变至3.5m。</w:t>
            </w:r>
          </w:p>
          <w:p>
            <w:pPr>
              <w:pStyle w:val="42"/>
              <w:ind w:firstLine="480"/>
            </w:pPr>
            <w:r>
              <w:t>本次新建涵洞总长度214.456m，共设置2处转弯半径，转弯半径50m。</w:t>
            </w:r>
          </w:p>
          <w:p>
            <w:pPr>
              <w:pStyle w:val="40"/>
              <w:ind w:firstLine="482"/>
            </w:pPr>
            <w:r>
              <w:rPr>
                <w:rFonts w:hint="eastAsia"/>
              </w:rPr>
              <w:t>（3）泄洪水闸</w:t>
            </w:r>
          </w:p>
          <w:p>
            <w:pPr>
              <w:pStyle w:val="42"/>
              <w:ind w:firstLine="480"/>
            </w:pPr>
            <w:r>
              <w:t>本工程泄水涵洞紧接景观湖，为减小湖体周边影响，方便水闸管理，在泄洪涵洞进口处采用钢坝拦水形成墨砚湖面。</w:t>
            </w:r>
          </w:p>
          <w:p>
            <w:pPr>
              <w:pStyle w:val="42"/>
              <w:ind w:firstLine="480"/>
            </w:pPr>
            <w:r>
              <w:rPr>
                <w:rFonts w:hint="eastAsia"/>
              </w:rPr>
              <w:t>墨研湖下游河道于射蓬路附近汇入芝溪河，且该处为芝溪河城区段下游，为调蓄河道水位、营造城市景观，于该汇入口下游侧设置调蓄闸门控制河道水位。闸门设置后闸址处芝溪河调蓄闸门正常蓄水位331.50m，20年一遇设计洪水位334.76m，50年一遇设计洪水位335.78m。闸门采用5孔7m宽平板闸门，配套设置启闭设施，闸门总宽46.20m。</w:t>
            </w:r>
          </w:p>
          <w:p>
            <w:pPr>
              <w:pStyle w:val="40"/>
              <w:ind w:firstLine="482"/>
            </w:pPr>
            <w:r>
              <w:rPr>
                <w:rFonts w:hint="eastAsia" w:ascii="宋体" w:hAnsi="宋体"/>
              </w:rPr>
              <w:t>5、</w:t>
            </w:r>
            <w:bookmarkStart w:id="5" w:name="_Toc23050"/>
            <w:r>
              <w:t>碧山庙村拱堰改造</w:t>
            </w:r>
            <w:bookmarkEnd w:id="5"/>
          </w:p>
          <w:p>
            <w:pPr>
              <w:pStyle w:val="42"/>
              <w:ind w:firstLine="480"/>
            </w:pPr>
            <w:r>
              <w:rPr>
                <w:rFonts w:hint="eastAsia"/>
              </w:rPr>
              <w:t>壁山庙电站挡水大坝为浆砌石拱坝，顶宽约1.0m，全断面溢流，底部设有两处放空、冲沙孔，孔口尺寸约 0.8m*0.8m，平板闸门控制，因年久失修和库内常年淤积，孔口过流已受影响；壁山庙电站已停止生产，进水口闸门处已采用混凝土封堵，壁山庙水库回水至来龙将军路大桥下游约600米处，回水长度达8.04km。该坝无其他泄洪措施，泄洪能力有限，汛期壅水严重，已严重影响上游两岸公路、房屋以及城市防洪安全。</w:t>
            </w:r>
          </w:p>
          <w:p>
            <w:pPr>
              <w:pStyle w:val="42"/>
              <w:ind w:firstLine="480"/>
            </w:pPr>
            <w:r>
              <w:rPr>
                <w:rFonts w:hint="eastAsia"/>
              </w:rPr>
              <w:t>壁山庙拱坝坝顶高程329.00m，底板高程22.5m，坝高约6.5m，坝顶宽约1m，坝长62m，全断面溢流，本次整治内容：拆除坝顶浇筑混凝土，恢复原坝顶高程。</w:t>
            </w:r>
          </w:p>
          <w:p>
            <w:pPr>
              <w:pStyle w:val="42"/>
              <w:ind w:firstLine="480"/>
            </w:pPr>
            <w:r>
              <w:rPr>
                <w:rFonts w:hint="eastAsia"/>
              </w:rPr>
              <w:t>拆除坝顶加高部分混凝土高约 30cm，宽 1.0m，长约 40m。拆除采用切割和人工手持风镐拆除的方式，减少对老坝体的结构影响，保证老坝的安全，拆除后采用C35抗冲砼对表面进行防冲处理，恢复原坝顶高程。</w:t>
            </w:r>
          </w:p>
          <w:p>
            <w:pPr>
              <w:pStyle w:val="40"/>
              <w:ind w:firstLine="482"/>
            </w:pPr>
            <w:r>
              <w:rPr>
                <w:rFonts w:hint="eastAsia"/>
              </w:rPr>
              <w:t>6、堤坝工程</w:t>
            </w:r>
          </w:p>
          <w:p>
            <w:pPr>
              <w:pStyle w:val="42"/>
              <w:ind w:firstLine="480"/>
            </w:pPr>
            <w:r>
              <w:t>现状堤坝无法满足顺接要求，且设计水位368m仅高出现状堤坝堤顶约20cm，无法满足安全超高要求。因此结合结构安全性、后期使用性及整体景观等因素，考虑将现状堤坝拆除重建。</w:t>
            </w:r>
          </w:p>
          <w:p>
            <w:pPr>
              <w:pStyle w:val="42"/>
              <w:ind w:firstLine="480"/>
            </w:pPr>
            <w:r>
              <w:t>鉴于拟建墨砚湖整体地势南高北低，结合景观水位设计标高，拟建堤坝上游水位368m，堤坝下游设计水位364.8m，水位差3.2m，将现状堤坝拆除后需重建一座拦水坝以求达到景观水体要求。结合现有技术条件及具体使用情况，现提出以下两种方案进行比选。</w:t>
            </w:r>
          </w:p>
          <w:p>
            <w:pPr>
              <w:pStyle w:val="38"/>
              <w:rPr>
                <w:rFonts w:hint="eastAsia"/>
              </w:rPr>
            </w:pPr>
            <w:r>
              <w:rPr>
                <w:rFonts w:hint="eastAsia"/>
              </w:rPr>
              <w:t>表2-7 方</w:t>
            </w:r>
            <w:r>
              <w:t>案对比</w:t>
            </w:r>
          </w:p>
          <w:tbl>
            <w:tblPr>
              <w:tblStyle w:val="15"/>
              <w:tblW w:w="8164"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722"/>
              <w:gridCol w:w="2721"/>
              <w:gridCol w:w="272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22" w:type="dxa"/>
                  <w:shd w:val="clear" w:color="auto" w:fill="auto"/>
                  <w:vAlign w:val="center"/>
                </w:tcPr>
                <w:p>
                  <w:pPr>
                    <w:pStyle w:val="36"/>
                  </w:pPr>
                </w:p>
              </w:tc>
              <w:tc>
                <w:tcPr>
                  <w:tcW w:w="2721" w:type="dxa"/>
                  <w:shd w:val="clear" w:color="auto" w:fill="auto"/>
                  <w:vAlign w:val="center"/>
                </w:tcPr>
                <w:p>
                  <w:pPr>
                    <w:pStyle w:val="36"/>
                  </w:pPr>
                  <w:r>
                    <w:t>优点</w:t>
                  </w:r>
                </w:p>
              </w:tc>
              <w:tc>
                <w:tcPr>
                  <w:tcW w:w="2721" w:type="dxa"/>
                  <w:shd w:val="clear" w:color="auto" w:fill="auto"/>
                  <w:vAlign w:val="center"/>
                </w:tcPr>
                <w:p>
                  <w:pPr>
                    <w:pStyle w:val="36"/>
                  </w:pPr>
                  <w:r>
                    <w:t>缺点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22" w:type="dxa"/>
                  <w:shd w:val="clear" w:color="auto" w:fill="auto"/>
                  <w:vAlign w:val="center"/>
                </w:tcPr>
                <w:p>
                  <w:pPr>
                    <w:pStyle w:val="36"/>
                  </w:pPr>
                  <w:r>
                    <w:t>方案一</w:t>
                  </w:r>
                </w:p>
              </w:tc>
              <w:tc>
                <w:tcPr>
                  <w:tcW w:w="2721" w:type="dxa"/>
                  <w:shd w:val="clear" w:color="auto" w:fill="auto"/>
                  <w:vAlign w:val="center"/>
                </w:tcPr>
                <w:p>
                  <w:pPr>
                    <w:pStyle w:val="36"/>
                  </w:pPr>
                  <w:r>
                    <w:t>1、可在工厂预制，工期相对较短</w:t>
                  </w:r>
                </w:p>
                <w:p>
                  <w:pPr>
                    <w:pStyle w:val="36"/>
                  </w:pPr>
                  <w:r>
                    <w:t>2、景观效果相对较好</w:t>
                  </w:r>
                </w:p>
              </w:tc>
              <w:tc>
                <w:tcPr>
                  <w:tcW w:w="2721" w:type="dxa"/>
                  <w:shd w:val="clear" w:color="auto" w:fill="auto"/>
                  <w:vAlign w:val="center"/>
                </w:tcPr>
                <w:p>
                  <w:pPr>
                    <w:pStyle w:val="36"/>
                  </w:pPr>
                  <w:r>
                    <w:t>1、工程造价相对较高</w:t>
                  </w:r>
                </w:p>
                <w:p>
                  <w:pPr>
                    <w:pStyle w:val="36"/>
                  </w:pPr>
                  <w:r>
                    <w:t>2、无法满足通行要求</w:t>
                  </w:r>
                </w:p>
                <w:p>
                  <w:pPr>
                    <w:pStyle w:val="36"/>
                  </w:pPr>
                  <w:r>
                    <w:t>3、整体稳定性相对较弱且后期管养及维护难度相对较大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22" w:type="dxa"/>
                  <w:shd w:val="clear" w:color="auto" w:fill="auto"/>
                  <w:vAlign w:val="center"/>
                </w:tcPr>
                <w:p>
                  <w:pPr>
                    <w:pStyle w:val="36"/>
                  </w:pPr>
                  <w:r>
                    <w:t>方案二</w:t>
                  </w:r>
                </w:p>
              </w:tc>
              <w:tc>
                <w:tcPr>
                  <w:tcW w:w="2721" w:type="dxa"/>
                  <w:shd w:val="clear" w:color="auto" w:fill="auto"/>
                  <w:vAlign w:val="center"/>
                </w:tcPr>
                <w:p>
                  <w:pPr>
                    <w:pStyle w:val="36"/>
                  </w:pPr>
                  <w:r>
                    <w:t>1、工程造价相对较低</w:t>
                  </w:r>
                </w:p>
                <w:p>
                  <w:pPr>
                    <w:pStyle w:val="36"/>
                  </w:pPr>
                  <w:r>
                    <w:t>2、能够满足通行要求</w:t>
                  </w:r>
                </w:p>
                <w:p>
                  <w:pPr>
                    <w:pStyle w:val="36"/>
                  </w:pPr>
                  <w:r>
                    <w:t>3、结构稳定性及耐久性较强，后期管养及维护难度相对较小</w:t>
                  </w:r>
                </w:p>
              </w:tc>
              <w:tc>
                <w:tcPr>
                  <w:tcW w:w="2721" w:type="dxa"/>
                  <w:shd w:val="clear" w:color="auto" w:fill="auto"/>
                  <w:vAlign w:val="center"/>
                </w:tcPr>
                <w:p>
                  <w:pPr>
                    <w:pStyle w:val="36"/>
                  </w:pPr>
                  <w:r>
                    <w:t>1、需现场预制，工期相对较长</w:t>
                  </w:r>
                </w:p>
                <w:p>
                  <w:pPr>
                    <w:pStyle w:val="36"/>
                  </w:pPr>
                  <w:r>
                    <w:t>2、景观效果相对较差</w:t>
                  </w:r>
                </w:p>
              </w:tc>
            </w:tr>
          </w:tbl>
          <w:p>
            <w:pPr>
              <w:pStyle w:val="42"/>
              <w:ind w:firstLine="480"/>
            </w:pPr>
            <w:r>
              <w:t>从经济性、结构安全性及使用性上考虑，本次将方案一作为比选方案，方案二作为推荐方案。</w:t>
            </w:r>
          </w:p>
          <w:p>
            <w:pPr>
              <w:pStyle w:val="40"/>
              <w:ind w:firstLine="482"/>
            </w:pPr>
            <w:r>
              <w:rPr>
                <w:rFonts w:hint="eastAsia"/>
              </w:rPr>
              <w:t>7、</w:t>
            </w:r>
            <w:r>
              <w:t>雨水管网</w:t>
            </w:r>
            <w:r>
              <w:rPr>
                <w:rFonts w:hint="eastAsia"/>
              </w:rPr>
              <w:t>工程</w:t>
            </w:r>
          </w:p>
          <w:p>
            <w:pPr>
              <w:pStyle w:val="42"/>
              <w:ind w:firstLine="480"/>
            </w:pPr>
            <w:r>
              <w:t>排水体制采用雨污分流制。</w:t>
            </w:r>
            <w:r>
              <w:rPr>
                <w:rFonts w:hint="eastAsia"/>
              </w:rPr>
              <w:t>为合理疏导周边雨水，于湖体周边道路路堑设置路堑排水边沟，路堤设置路堤排水沟，当道路边坡坡度较陡、高度较大时于坡顶设置截水沟截断坡顶水流，降低边坡失稳风险。部分地段根据地形情况设置生态植草沟排导水流。1号路排水沟根据实际情况布置，采用植草沟形式并就近接入道路周边沟渠最终汇入湖体。2号路和3号路道路截(排)水沟根据实际情况布置，并就近接入道路过路管涵或沟渠，最终汇入湖体；填方路基边坡外地面坡度与填方边坡反向时，坡脚2m外设置排水沟。挖方路基边坡外地面坡度与挖方边坡同向时，边坡顶部外5m设截水沟。材料为C25砼；间距10～15m分变形缝，缝宽2cm，缝内充填胶泥；若周边地块后期将开发，局部路段边沟可调整为临时排水沟，采用水泥砂浆抹面成沟，过水断面与混凝土边沟一致。</w:t>
            </w:r>
          </w:p>
          <w:p>
            <w:pPr>
              <w:pStyle w:val="40"/>
              <w:ind w:firstLine="482"/>
            </w:pPr>
            <w:r>
              <w:rPr>
                <w:rFonts w:hint="eastAsia"/>
              </w:rPr>
              <w:t>8、现状管网修复工程</w:t>
            </w:r>
          </w:p>
          <w:p>
            <w:pPr>
              <w:pStyle w:val="38"/>
              <w:rPr>
                <w:rFonts w:hint="eastAsia"/>
              </w:rPr>
            </w:pPr>
            <w:r>
              <w:t>表</w:t>
            </w:r>
            <w:r>
              <w:rPr>
                <w:rFonts w:hint="eastAsia"/>
              </w:rPr>
              <w:t>2-8</w:t>
            </w:r>
            <w:r>
              <w:t xml:space="preserve"> 非开挖管道修复和新建管道技术经济比较表</w:t>
            </w:r>
          </w:p>
          <w:tbl>
            <w:tblPr>
              <w:tblStyle w:val="15"/>
              <w:tblW w:w="8164"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40"/>
              <w:gridCol w:w="3109"/>
              <w:gridCol w:w="401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40" w:type="dxa"/>
                  <w:vAlign w:val="center"/>
                </w:tcPr>
                <w:p>
                  <w:pPr>
                    <w:pStyle w:val="36"/>
                  </w:pPr>
                  <w:r>
                    <w:t>比较项目</w:t>
                  </w:r>
                </w:p>
              </w:tc>
              <w:tc>
                <w:tcPr>
                  <w:tcW w:w="3109" w:type="dxa"/>
                  <w:vAlign w:val="center"/>
                </w:tcPr>
                <w:p>
                  <w:pPr>
                    <w:pStyle w:val="36"/>
                  </w:pPr>
                  <w:r>
                    <w:t>非开挖管道修复</w:t>
                  </w:r>
                </w:p>
              </w:tc>
              <w:tc>
                <w:tcPr>
                  <w:tcW w:w="4015" w:type="dxa"/>
                  <w:vAlign w:val="center"/>
                </w:tcPr>
                <w:p>
                  <w:pPr>
                    <w:pStyle w:val="36"/>
                  </w:pPr>
                  <w:r>
                    <w:t>新建管道</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40" w:type="dxa"/>
                  <w:vAlign w:val="center"/>
                </w:tcPr>
                <w:p>
                  <w:pPr>
                    <w:pStyle w:val="36"/>
                  </w:pPr>
                  <w:r>
                    <w:t>是否开挖</w:t>
                  </w:r>
                </w:p>
              </w:tc>
              <w:tc>
                <w:tcPr>
                  <w:tcW w:w="3109" w:type="dxa"/>
                  <w:vAlign w:val="center"/>
                </w:tcPr>
                <w:p>
                  <w:pPr>
                    <w:pStyle w:val="36"/>
                  </w:pPr>
                  <w:r>
                    <w:t>不需要开挖破路，仅需一个检查井即可施工</w:t>
                  </w:r>
                </w:p>
              </w:tc>
              <w:tc>
                <w:tcPr>
                  <w:tcW w:w="4015" w:type="dxa"/>
                  <w:vAlign w:val="center"/>
                </w:tcPr>
                <w:p>
                  <w:pPr>
                    <w:pStyle w:val="36"/>
                  </w:pPr>
                  <w:r>
                    <w:t>需要在拟修复管道全线进行开挖作业</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40" w:type="dxa"/>
                  <w:vAlign w:val="center"/>
                </w:tcPr>
                <w:p>
                  <w:pPr>
                    <w:pStyle w:val="36"/>
                  </w:pPr>
                  <w:r>
                    <w:t>前期准备</w:t>
                  </w:r>
                </w:p>
              </w:tc>
              <w:tc>
                <w:tcPr>
                  <w:tcW w:w="3109" w:type="dxa"/>
                  <w:vAlign w:val="center"/>
                </w:tcPr>
                <w:p>
                  <w:pPr>
                    <w:pStyle w:val="36"/>
                  </w:pPr>
                  <w:r>
                    <w:t>前期准备仅需CCTV检测、检查井内部改造等简便程序，全部内容可在工程范围内解决，周期可控</w:t>
                  </w:r>
                </w:p>
              </w:tc>
              <w:tc>
                <w:tcPr>
                  <w:tcW w:w="4015" w:type="dxa"/>
                  <w:vAlign w:val="center"/>
                </w:tcPr>
                <w:p>
                  <w:pPr>
                    <w:pStyle w:val="36"/>
                  </w:pPr>
                  <w:r>
                    <w:t>前期准备需要办理破路施工手续、占路导行（断交）手续、其他相邻管线切入手续（如有）等，涉及众多部门，办理程序相对复杂，周期较长且存在不可控因素，还有可能产生大量费用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40" w:type="dxa"/>
                  <w:vAlign w:val="center"/>
                </w:tcPr>
                <w:p>
                  <w:pPr>
                    <w:pStyle w:val="36"/>
                  </w:pPr>
                  <w:r>
                    <w:t>施工周期</w:t>
                  </w:r>
                </w:p>
              </w:tc>
              <w:tc>
                <w:tcPr>
                  <w:tcW w:w="3109" w:type="dxa"/>
                  <w:vAlign w:val="center"/>
                </w:tcPr>
                <w:p>
                  <w:pPr>
                    <w:pStyle w:val="36"/>
                  </w:pPr>
                  <w:r>
                    <w:t>非开挖修复技术施工周期相对较短</w:t>
                  </w:r>
                </w:p>
              </w:tc>
              <w:tc>
                <w:tcPr>
                  <w:tcW w:w="4015" w:type="dxa"/>
                  <w:vAlign w:val="center"/>
                </w:tcPr>
                <w:p>
                  <w:pPr>
                    <w:pStyle w:val="36"/>
                  </w:pPr>
                  <w:r>
                    <w:t>常规施工需要降水、开挖、支护（深度超过5m需进行深基坑论证）、旧管破除、新管道基础、敷设新建管道、分步回填、基础夯实、路面恢复等工序，施工周期相对较长</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40" w:type="dxa"/>
                  <w:vAlign w:val="center"/>
                </w:tcPr>
                <w:p>
                  <w:pPr>
                    <w:pStyle w:val="36"/>
                  </w:pPr>
                  <w:r>
                    <w:t>质量控制</w:t>
                  </w:r>
                </w:p>
              </w:tc>
              <w:tc>
                <w:tcPr>
                  <w:tcW w:w="3109" w:type="dxa"/>
                  <w:vAlign w:val="center"/>
                </w:tcPr>
                <w:p>
                  <w:pPr>
                    <w:pStyle w:val="36"/>
                  </w:pPr>
                  <w:r>
                    <w:t>非开挖修复技术成熟，可靠性强，质量有保证</w:t>
                  </w:r>
                </w:p>
              </w:tc>
              <w:tc>
                <w:tcPr>
                  <w:tcW w:w="4015" w:type="dxa"/>
                  <w:vAlign w:val="center"/>
                </w:tcPr>
                <w:p>
                  <w:pPr>
                    <w:pStyle w:val="36"/>
                  </w:pPr>
                  <w:r>
                    <w:t>管材接口穿插施工受人工因素较大，存在接口连接不严、渗漏的可能性较大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40" w:type="dxa"/>
                  <w:vAlign w:val="center"/>
                </w:tcPr>
                <w:p>
                  <w:pPr>
                    <w:pStyle w:val="36"/>
                  </w:pPr>
                  <w:r>
                    <w:t>社会效益</w:t>
                  </w:r>
                </w:p>
              </w:tc>
              <w:tc>
                <w:tcPr>
                  <w:tcW w:w="3109" w:type="dxa"/>
                  <w:vAlign w:val="center"/>
                </w:tcPr>
                <w:p>
                  <w:pPr>
                    <w:pStyle w:val="36"/>
                  </w:pPr>
                  <w:r>
                    <w:t>无需开挖施工，最大程度减小了环境影响和交通阻塞，方便周边居民正常生活</w:t>
                  </w:r>
                </w:p>
              </w:tc>
              <w:tc>
                <w:tcPr>
                  <w:tcW w:w="4015" w:type="dxa"/>
                  <w:vAlign w:val="center"/>
                </w:tcPr>
                <w:p>
                  <w:pPr>
                    <w:pStyle w:val="36"/>
                  </w:pPr>
                  <w:r>
                    <w:t>大范围开挖施工，对周边居民正常生活造成较大环境影响和交通影响</w:t>
                  </w:r>
                </w:p>
              </w:tc>
            </w:tr>
            <w:tr>
              <w:tblPrEx>
                <w:tblLayout w:type="fixed"/>
                <w:tblCellMar>
                  <w:top w:w="0" w:type="dxa"/>
                  <w:left w:w="108" w:type="dxa"/>
                  <w:bottom w:w="0" w:type="dxa"/>
                  <w:right w:w="108" w:type="dxa"/>
                </w:tblCellMar>
              </w:tblPrEx>
              <w:trPr>
                <w:jc w:val="center"/>
              </w:trPr>
              <w:tc>
                <w:tcPr>
                  <w:tcW w:w="1040" w:type="dxa"/>
                  <w:vAlign w:val="center"/>
                </w:tcPr>
                <w:p>
                  <w:pPr>
                    <w:pStyle w:val="36"/>
                  </w:pPr>
                  <w:r>
                    <w:t>经济效益</w:t>
                  </w:r>
                </w:p>
              </w:tc>
              <w:tc>
                <w:tcPr>
                  <w:tcW w:w="3109" w:type="dxa"/>
                  <w:vAlign w:val="center"/>
                </w:tcPr>
                <w:p>
                  <w:pPr>
                    <w:pStyle w:val="36"/>
                  </w:pPr>
                  <w:r>
                    <w:t>施工总费用仅包含管道检测、管道疏掏、管道内修复等工程直接费用</w:t>
                  </w:r>
                </w:p>
              </w:tc>
              <w:tc>
                <w:tcPr>
                  <w:tcW w:w="4015" w:type="dxa"/>
                  <w:vAlign w:val="center"/>
                </w:tcPr>
                <w:p>
                  <w:pPr>
                    <w:pStyle w:val="36"/>
                  </w:pPr>
                  <w:r>
                    <w:t>施工总费用除了工程直接费还需考虑管线切改费、占路破路行政收费等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40" w:type="dxa"/>
                  <w:vAlign w:val="center"/>
                </w:tcPr>
                <w:p>
                  <w:pPr>
                    <w:pStyle w:val="36"/>
                  </w:pPr>
                  <w:r>
                    <w:t>生命周期比较</w:t>
                  </w:r>
                </w:p>
              </w:tc>
              <w:tc>
                <w:tcPr>
                  <w:tcW w:w="3109" w:type="dxa"/>
                  <w:vAlign w:val="center"/>
                </w:tcPr>
                <w:p>
                  <w:pPr>
                    <w:pStyle w:val="36"/>
                  </w:pPr>
                  <w:r>
                    <w:t>修复后的管道使用寿命以原管道生命周期为基础，原则上不小于原设计管道的剩余使用寿命</w:t>
                  </w:r>
                </w:p>
              </w:tc>
              <w:tc>
                <w:tcPr>
                  <w:tcW w:w="4015" w:type="dxa"/>
                  <w:vAlign w:val="center"/>
                </w:tcPr>
                <w:p>
                  <w:pPr>
                    <w:pStyle w:val="36"/>
                  </w:pPr>
                  <w:r>
                    <w:t>新建管道使用寿命为管道本身的设计使用寿命，与原管道已使用的年限无关，生命周期更长</w:t>
                  </w:r>
                </w:p>
              </w:tc>
            </w:tr>
          </w:tbl>
          <w:p>
            <w:pPr>
              <w:pStyle w:val="42"/>
              <w:ind w:firstLine="480"/>
            </w:pPr>
            <w:r>
              <w:rPr>
                <w:rFonts w:hint="eastAsia"/>
              </w:rPr>
              <w:t>综合实际情况，虽然开挖修复的使用寿命更长，但其施工范围广、前期手续多、施工周期长、对周围的居民影响较大，不适合大规模开挖，综上所述，本工程原则上考虑对管道进行非开挖修复。当遇到有严重结构缺陷，且必须通过开挖才能实现换管处，考虑采用开挖更换管道，其它地方均采用非开挖修复。</w:t>
            </w:r>
          </w:p>
          <w:p>
            <w:pPr>
              <w:pStyle w:val="40"/>
              <w:ind w:firstLine="482"/>
            </w:pPr>
            <w:bookmarkStart w:id="6" w:name="_Toc16793"/>
            <w:bookmarkStart w:id="7" w:name="_Toc25935"/>
            <w:r>
              <w:rPr>
                <w:rFonts w:hint="eastAsia" w:eastAsia="黑体"/>
              </w:rPr>
              <w:t>9、</w:t>
            </w:r>
            <w:r>
              <w:t>涵洞结构工程</w:t>
            </w:r>
            <w:bookmarkEnd w:id="6"/>
            <w:bookmarkEnd w:id="7"/>
          </w:p>
          <w:p>
            <w:pPr>
              <w:pStyle w:val="42"/>
              <w:ind w:firstLine="480"/>
            </w:pPr>
            <w:r>
              <w:t>暗涵设计工作年限为30年。</w:t>
            </w:r>
          </w:p>
          <w:p>
            <w:pPr>
              <w:pStyle w:val="42"/>
              <w:ind w:firstLine="480"/>
            </w:pPr>
            <w:r>
              <w:t>暗涵结构的安全等级为二级，相应的结构构件重要性系数取1.0。</w:t>
            </w:r>
          </w:p>
          <w:p>
            <w:pPr>
              <w:pStyle w:val="42"/>
              <w:ind w:firstLine="480"/>
            </w:pPr>
            <w:r>
              <w:t>暗涵设计应进行抗浮稳定验算，按最不利情况进行验算。其抗浮安全系数不得小于1.1。</w:t>
            </w:r>
          </w:p>
          <w:p>
            <w:pPr>
              <w:pStyle w:val="42"/>
              <w:ind w:firstLine="480"/>
            </w:pPr>
            <w:r>
              <w:t>暗涵结构构件在永久荷载和基本荷载作用下，应按荷载效应准永久组合进行结构构件裂缝验算，其最大计算裂缝宽度允许值为0.2mm。</w:t>
            </w:r>
          </w:p>
          <w:p>
            <w:pPr>
              <w:pStyle w:val="42"/>
              <w:ind w:firstLine="480"/>
            </w:pPr>
            <w:r>
              <w:t>结构净空：3.0m（宽）×1.5m（高）；4.0m（宽）×1.5m（高）；5.0m（宽）×1.5m（高）；</w:t>
            </w:r>
          </w:p>
          <w:p>
            <w:pPr>
              <w:pStyle w:val="42"/>
              <w:ind w:firstLine="480"/>
            </w:pPr>
            <w:r>
              <w:t>工程防水等级：二级。</w:t>
            </w:r>
          </w:p>
          <w:p>
            <w:pPr>
              <w:pStyle w:val="42"/>
              <w:ind w:firstLine="480"/>
            </w:pPr>
            <w:r>
              <w:t>钢筋保护层厚度为5cm。</w:t>
            </w:r>
          </w:p>
          <w:p>
            <w:pPr>
              <w:pStyle w:val="40"/>
              <w:ind w:firstLine="482"/>
            </w:pPr>
            <w:r>
              <w:rPr>
                <w:rFonts w:hint="eastAsia"/>
              </w:rPr>
              <w:t>10、道路恢复工程</w:t>
            </w:r>
          </w:p>
          <w:p>
            <w:pPr>
              <w:pStyle w:val="42"/>
              <w:ind w:firstLine="480"/>
            </w:pPr>
            <w:bookmarkStart w:id="8" w:name="_Toc14361"/>
            <w:r>
              <w:rPr>
                <w:rFonts w:hint="eastAsia"/>
              </w:rPr>
              <w:t>本项目道路恢复工程包括60m大街排水改造项目</w:t>
            </w:r>
            <w:bookmarkEnd w:id="8"/>
            <w:r>
              <w:rPr>
                <w:rFonts w:hint="eastAsia"/>
              </w:rPr>
              <w:t>、迎宾大道片区排水改造项目、蜀北下路排水改造工程、蜀北中路排水改造项目、上游片区排水改造工程和普安大道周边道路排水工程。</w:t>
            </w:r>
            <w:r>
              <w:t>本次路面恢复工程是对新建箱涵对道路沿线新建箱涵段范围的路面进行破除恢复。</w:t>
            </w:r>
          </w:p>
          <w:p>
            <w:pPr>
              <w:pStyle w:val="42"/>
              <w:ind w:firstLine="480"/>
            </w:pPr>
            <w:r>
              <w:rPr>
                <w:rFonts w:hint="eastAsia"/>
              </w:rPr>
              <w:t>（1）设计标准</w:t>
            </w:r>
          </w:p>
          <w:p>
            <w:pPr>
              <w:pStyle w:val="42"/>
              <w:ind w:firstLine="480"/>
            </w:pPr>
            <w:r>
              <w:t>道路等级：城市</w:t>
            </w:r>
            <w:r>
              <w:rPr>
                <w:rFonts w:hint="eastAsia"/>
              </w:rPr>
              <w:t>次干</w:t>
            </w:r>
            <w:r>
              <w:t>路</w:t>
            </w:r>
            <w:r>
              <w:rPr>
                <w:rFonts w:hint="eastAsia"/>
              </w:rPr>
              <w:t>；</w:t>
            </w:r>
          </w:p>
          <w:p>
            <w:pPr>
              <w:pStyle w:val="42"/>
              <w:ind w:firstLine="480"/>
            </w:pPr>
            <w:r>
              <w:t>设计</w:t>
            </w:r>
            <w:r>
              <w:rPr>
                <w:rFonts w:hint="eastAsia"/>
              </w:rPr>
              <w:t>速度</w:t>
            </w:r>
            <w:r>
              <w:t>：</w:t>
            </w:r>
            <w:r>
              <w:rPr>
                <w:rFonts w:hint="eastAsia"/>
              </w:rPr>
              <w:t xml:space="preserve"> 4</w:t>
            </w:r>
            <w:r>
              <w:t>0km/h</w:t>
            </w:r>
            <w:r>
              <w:rPr>
                <w:rFonts w:hint="eastAsia"/>
              </w:rPr>
              <w:t>；</w:t>
            </w:r>
          </w:p>
          <w:p>
            <w:pPr>
              <w:pStyle w:val="42"/>
              <w:ind w:firstLine="480"/>
            </w:pPr>
            <w:r>
              <w:rPr>
                <w:rFonts w:hint="eastAsia"/>
              </w:rPr>
              <w:t>交通等级：中等交通；</w:t>
            </w:r>
          </w:p>
          <w:p>
            <w:pPr>
              <w:pStyle w:val="42"/>
              <w:ind w:firstLine="480"/>
            </w:pPr>
            <w:r>
              <w:rPr>
                <w:rFonts w:hint="eastAsia"/>
              </w:rPr>
              <w:t>桥涵及支挡构筑物设计荷载：城—A级，人群荷载：4.5kN/m2；</w:t>
            </w:r>
          </w:p>
          <w:p>
            <w:pPr>
              <w:pStyle w:val="42"/>
              <w:ind w:firstLine="480"/>
            </w:pPr>
            <w:r>
              <w:rPr>
                <w:rFonts w:hint="eastAsia"/>
              </w:rPr>
              <w:t>设计荷载：路面设计荷载：BZZ-100标准轴载；</w:t>
            </w:r>
          </w:p>
          <w:p>
            <w:pPr>
              <w:pStyle w:val="42"/>
              <w:ind w:firstLine="480"/>
            </w:pPr>
            <w:r>
              <w:rPr>
                <w:rFonts w:hint="eastAsia"/>
              </w:rPr>
              <w:t>设计年限：交通量设计年限15年</w:t>
            </w:r>
            <w:r>
              <w:t>；</w:t>
            </w:r>
          </w:p>
          <w:p>
            <w:pPr>
              <w:pStyle w:val="42"/>
              <w:ind w:firstLine="480"/>
            </w:pPr>
            <w:r>
              <w:rPr>
                <w:rFonts w:hint="eastAsia"/>
              </w:rPr>
              <w:t>改建路面使用年限5年；</w:t>
            </w:r>
          </w:p>
          <w:p>
            <w:pPr>
              <w:pStyle w:val="42"/>
              <w:ind w:firstLine="480"/>
            </w:pPr>
            <w:r>
              <w:rPr>
                <w:rFonts w:hint="eastAsia"/>
              </w:rPr>
              <w:t>净空高度：机动车道为5.0m，非机动车道及行人2.5m。</w:t>
            </w:r>
          </w:p>
          <w:p>
            <w:pPr>
              <w:pStyle w:val="42"/>
              <w:ind w:firstLine="480"/>
            </w:pPr>
            <w:r>
              <w:t>抗震要求：按地震烈度</w:t>
            </w:r>
            <w:r>
              <w:rPr>
                <w:rFonts w:hint="eastAsia"/>
              </w:rPr>
              <w:t>6</w:t>
            </w:r>
            <w:r>
              <w:t>度设防，地震动峰值加速度0.</w:t>
            </w:r>
            <w:r>
              <w:rPr>
                <w:rFonts w:hint="eastAsia"/>
              </w:rPr>
              <w:t>05</w:t>
            </w:r>
            <w:r>
              <w:t>g。</w:t>
            </w:r>
          </w:p>
          <w:p>
            <w:pPr>
              <w:pStyle w:val="42"/>
              <w:ind w:firstLine="480"/>
            </w:pPr>
            <w:r>
              <w:rPr>
                <w:rFonts w:hint="eastAsia"/>
              </w:rPr>
              <w:t>路面结构：沥青混凝土路面。</w:t>
            </w:r>
          </w:p>
          <w:p>
            <w:pPr>
              <w:pStyle w:val="42"/>
              <w:ind w:firstLine="480"/>
            </w:pPr>
            <w:r>
              <w:rPr>
                <w:rFonts w:hint="eastAsia"/>
              </w:rPr>
              <w:t>（2</w:t>
            </w:r>
            <w:r>
              <w:t>）</w:t>
            </w:r>
            <w:r>
              <w:rPr>
                <w:rFonts w:hint="eastAsia"/>
              </w:rPr>
              <w:t>道路线形及断面道路平面</w:t>
            </w:r>
          </w:p>
          <w:p>
            <w:pPr>
              <w:pStyle w:val="42"/>
              <w:ind w:firstLine="480"/>
            </w:pPr>
            <w:bookmarkStart w:id="9" w:name="OLE_LINK1"/>
            <w:r>
              <w:rPr>
                <w:rFonts w:hint="eastAsia"/>
              </w:rPr>
              <w:t>道</w:t>
            </w:r>
            <w:r>
              <w:rPr>
                <w:rFonts w:hint="eastAsia"/>
                <w:lang w:val="en-US" w:eastAsia="zh-CN"/>
              </w:rPr>
              <w:t>路</w:t>
            </w:r>
            <w:r>
              <w:rPr>
                <w:rFonts w:hint="eastAsia"/>
              </w:rPr>
              <w:t>平面线</w:t>
            </w:r>
            <w:r>
              <w:rPr>
                <w:rFonts w:hint="eastAsia"/>
                <w:lang w:val="en-US" w:eastAsia="zh-CN"/>
              </w:rPr>
              <w:t>形</w:t>
            </w:r>
            <w:r>
              <w:rPr>
                <w:rFonts w:hint="eastAsia"/>
              </w:rPr>
              <w:t>根据现场情况及测量资料拟合，原则上按现状道路线形设置。</w:t>
            </w:r>
          </w:p>
          <w:p>
            <w:pPr>
              <w:pStyle w:val="42"/>
              <w:ind w:firstLine="480"/>
            </w:pPr>
            <w:r>
              <w:rPr>
                <w:rFonts w:hint="eastAsia"/>
              </w:rPr>
              <w:t>60m大街起于与迎宾大道交叉口，止于与香溪东路交叉口，道路全长976.967m。</w:t>
            </w:r>
          </w:p>
          <w:p>
            <w:pPr>
              <w:pStyle w:val="42"/>
              <w:ind w:firstLine="480"/>
            </w:pPr>
            <w:r>
              <w:rPr>
                <w:rFonts w:hint="eastAsia"/>
              </w:rPr>
              <w:t>城市次干路标准，道路改造后为双向六车道，四块板，道路起点至蜀北中下路段车行道宽度24m，蜀北中下路至道路终点段车行道宽度20m，人行道范围为车行道边线至现状商铺，宽度根据现状场地情况确定。道路全线设置1处平曲线，圆曲线半径为300m，位于蜀北中下路-60m大街交叉口，未设置曲线超高和加宽。</w:t>
            </w:r>
          </w:p>
          <w:bookmarkEnd w:id="9"/>
          <w:p>
            <w:pPr>
              <w:pStyle w:val="42"/>
              <w:ind w:firstLine="480"/>
            </w:pPr>
            <w:r>
              <w:t>（</w:t>
            </w:r>
            <w:r>
              <w:rPr>
                <w:rFonts w:hint="eastAsia"/>
              </w:rPr>
              <w:t>3</w:t>
            </w:r>
            <w:r>
              <w:t>）</w:t>
            </w:r>
            <w:r>
              <w:rPr>
                <w:rFonts w:hint="eastAsia"/>
              </w:rPr>
              <w:t>道路纵断面</w:t>
            </w:r>
          </w:p>
          <w:p>
            <w:pPr>
              <w:pStyle w:val="42"/>
              <w:ind w:firstLine="480"/>
            </w:pPr>
            <w:r>
              <w:rPr>
                <w:rFonts w:hint="eastAsia"/>
              </w:rPr>
              <w:t>道理纵断面标高根据现场情况及测量资料拟合，综合考虑路面病害处置方式、道路改建方式及道路综合改造实施效果，对改造道路整体进行沥青面层加铺，故道路竖向设计原则以现状标高+10cm。</w:t>
            </w:r>
          </w:p>
          <w:p>
            <w:pPr>
              <w:pStyle w:val="42"/>
              <w:ind w:firstLine="480"/>
            </w:pPr>
            <w:r>
              <w:t>（</w:t>
            </w:r>
            <w:r>
              <w:rPr>
                <w:rFonts w:hint="eastAsia"/>
              </w:rPr>
              <w:t>4</w:t>
            </w:r>
            <w:r>
              <w:t>）</w:t>
            </w:r>
            <w:r>
              <w:rPr>
                <w:rFonts w:hint="eastAsia"/>
              </w:rPr>
              <w:t>道路横断面</w:t>
            </w:r>
          </w:p>
          <w:p>
            <w:pPr>
              <w:pStyle w:val="42"/>
              <w:ind w:firstLine="480"/>
            </w:pPr>
            <w:r>
              <w:rPr>
                <w:rFonts w:hint="eastAsia"/>
              </w:rPr>
              <w:t>道路路拱形式采用折线形路拱，横坡度为</w:t>
            </w:r>
            <w:r>
              <w:t>1.5%</w:t>
            </w:r>
            <w:r>
              <w:rPr>
                <w:rFonts w:hint="eastAsia"/>
              </w:rPr>
              <w:t>，人行道应充分考虑与周边商铺顺接，横坡度不应小于1%，坡向车行道侧，不得形成反坡，避免出现积水，如出现反坡需加设排水边沟。实施时横坡度可依据现场实际情况调整。</w:t>
            </w:r>
          </w:p>
          <w:p>
            <w:pPr>
              <w:pStyle w:val="40"/>
              <w:ind w:firstLine="482"/>
            </w:pPr>
            <w:bookmarkStart w:id="10" w:name="_Toc17205"/>
            <w:r>
              <w:rPr>
                <w:rFonts w:hint="eastAsia"/>
              </w:rPr>
              <w:t>11、墨砚湖</w:t>
            </w:r>
            <w:r>
              <w:t>生态</w:t>
            </w:r>
            <w:bookmarkEnd w:id="10"/>
            <w:r>
              <w:rPr>
                <w:rFonts w:hint="eastAsia"/>
              </w:rPr>
              <w:t>工程</w:t>
            </w:r>
          </w:p>
          <w:p>
            <w:pPr>
              <w:pStyle w:val="42"/>
              <w:ind w:firstLine="480"/>
            </w:pPr>
            <w:r>
              <w:t>本次打造墨砚湖片区蓄水容积约41万m</w:t>
            </w:r>
            <w:r>
              <w:rPr>
                <w:vertAlign w:val="superscript"/>
              </w:rPr>
              <w:t>3</w:t>
            </w:r>
            <w:r>
              <w:t>，秉承“一片两园，一湖一村”片区定位，需结合现状水系，通过“径流—坑塘—水渠—水库”构建两级汇水集水单元。</w:t>
            </w:r>
          </w:p>
          <w:p>
            <w:pPr>
              <w:pStyle w:val="42"/>
              <w:ind w:firstLine="480"/>
            </w:pPr>
            <w:r>
              <w:t>结合片区内南高北低的地势条件，场地水系由北端湖体、南段水塘、中间水渠三部分构成。其中，北段湖体作为核心区板块内的水体，是本次水生态设计的重点。其目的在于确保项目建成后湖体水生态能保持长久稳定，让水中生长的植物、动物和微生物，改善生物群落结构和多样性，增加水体的自净能力，消除或减轻水体污染。</w:t>
            </w:r>
          </w:p>
          <w:p>
            <w:pPr>
              <w:pStyle w:val="42"/>
              <w:ind w:firstLine="480"/>
            </w:pPr>
            <w:r>
              <w:t>水资源六位一体原生态防治一体化整体解决方案依据生态治理原理，首先通过天然钠基膨润土防水毯的防水功能、透气而不透水功能以及允许水生植物根系穿透的生态保障功能，保证防渗效果及水生动植物的生长。再通过丰富的沉水植物、水生动物及微生物品种来形成多层次、互补共生的水生生物链，构建水下食物链系统，降解、固定或转移水中污染物和营养成分，使得进入水体的氮、磷等富营养物质通过一系列复杂的植物转化、吸收过程，最终以植物蛋白转化为动物蛋白（水草被鱼类等吸食）、水草直接收割上岸的形式被转移出水体，从而构建完善的水生植物（生产者）、水生动物（消费者）和微生物（分解者）系统，并使之形成良性循环从而恢复、提高水体应有的“生物自净”能力。</w:t>
            </w:r>
          </w:p>
          <w:p>
            <w:pPr>
              <w:pStyle w:val="42"/>
              <w:ind w:firstLine="480"/>
            </w:pPr>
            <w:r>
              <w:t>其主要核心系统包括：三位一体原生态防渗系统和三位一体原生态修复系统，三位一体原生态防渗系统要素：承重基层系统、天然钠基膨润土防水毯防渗系统、回填保护层系统共同构成一个整体的原生态防渗系统。三位一体原生态治修复系统要素：水生植物、水生动物、微生物构成一个完整的原生态治水系统。</w:t>
            </w:r>
          </w:p>
          <w:p>
            <w:pPr>
              <w:pStyle w:val="40"/>
              <w:ind w:firstLine="482"/>
            </w:pPr>
            <w:r>
              <w:rPr>
                <w:rFonts w:hint="eastAsia"/>
              </w:rPr>
              <w:t>11.1</w:t>
            </w:r>
            <w:bookmarkStart w:id="11" w:name="_Toc8897"/>
            <w:r>
              <w:t>三位一体原生态防渗系统工程</w:t>
            </w:r>
            <w:bookmarkEnd w:id="11"/>
          </w:p>
          <w:p>
            <w:pPr>
              <w:pStyle w:val="42"/>
              <w:ind w:firstLine="480"/>
            </w:pPr>
            <w:r>
              <w:t>本次选用天然钠基膨润土防水毯，规格如下表所示</w:t>
            </w:r>
          </w:p>
          <w:p>
            <w:pPr>
              <w:pStyle w:val="38"/>
            </w:pPr>
            <w:r>
              <w:rPr>
                <w:rFonts w:hint="eastAsia"/>
              </w:rPr>
              <w:t xml:space="preserve">表2-9 </w:t>
            </w:r>
            <w:r>
              <w:t>天然钠基膨润土防水毯技术指标</w:t>
            </w:r>
          </w:p>
          <w:tbl>
            <w:tblPr>
              <w:tblStyle w:val="15"/>
              <w:tblW w:w="8164" w:type="dxa"/>
              <w:jc w:val="center"/>
              <w:tblInd w:w="0" w:type="dxa"/>
              <w:tblLayout w:type="fixed"/>
              <w:tblCellMar>
                <w:top w:w="0" w:type="dxa"/>
                <w:left w:w="108" w:type="dxa"/>
                <w:bottom w:w="0" w:type="dxa"/>
                <w:right w:w="108" w:type="dxa"/>
              </w:tblCellMar>
            </w:tblPr>
            <w:tblGrid>
              <w:gridCol w:w="864"/>
              <w:gridCol w:w="2743"/>
              <w:gridCol w:w="1166"/>
              <w:gridCol w:w="3391"/>
            </w:tblGrid>
            <w:tr>
              <w:tblPrEx>
                <w:tblLayout w:type="fixed"/>
                <w:tblCellMar>
                  <w:top w:w="0" w:type="dxa"/>
                  <w:left w:w="108" w:type="dxa"/>
                  <w:bottom w:w="0" w:type="dxa"/>
                  <w:right w:w="108" w:type="dxa"/>
                </w:tblCellMar>
              </w:tblPrEx>
              <w:trPr>
                <w:trHeight w:val="285" w:hRule="atLeast"/>
                <w:jc w:val="center"/>
              </w:trPr>
              <w:tc>
                <w:tcPr>
                  <w:tcW w:w="864" w:type="dxa"/>
                  <w:tcBorders>
                    <w:top w:val="single" w:color="auto" w:sz="4" w:space="0"/>
                    <w:bottom w:val="single" w:color="auto" w:sz="4" w:space="0"/>
                    <w:right w:val="single" w:color="auto" w:sz="4" w:space="0"/>
                  </w:tcBorders>
                  <w:shd w:val="clear" w:color="auto" w:fill="auto"/>
                  <w:vAlign w:val="center"/>
                </w:tcPr>
                <w:p>
                  <w:pPr>
                    <w:pStyle w:val="36"/>
                  </w:pPr>
                  <w:r>
                    <w:t>序号</w:t>
                  </w:r>
                </w:p>
              </w:tc>
              <w:tc>
                <w:tcPr>
                  <w:tcW w:w="3909" w:type="dxa"/>
                  <w:gridSpan w:val="2"/>
                  <w:tcBorders>
                    <w:top w:val="single" w:color="auto" w:sz="4" w:space="0"/>
                    <w:left w:val="nil"/>
                    <w:bottom w:val="single" w:color="auto" w:sz="4" w:space="0"/>
                    <w:right w:val="single" w:color="auto" w:sz="4" w:space="0"/>
                  </w:tcBorders>
                  <w:shd w:val="clear" w:color="auto" w:fill="auto"/>
                  <w:vAlign w:val="center"/>
                </w:tcPr>
                <w:p>
                  <w:pPr>
                    <w:pStyle w:val="36"/>
                  </w:pPr>
                  <w:r>
                    <w:t>项目</w:t>
                  </w:r>
                </w:p>
              </w:tc>
              <w:tc>
                <w:tcPr>
                  <w:tcW w:w="3391" w:type="dxa"/>
                  <w:tcBorders>
                    <w:top w:val="single" w:color="auto" w:sz="4" w:space="0"/>
                    <w:left w:val="nil"/>
                    <w:bottom w:val="single" w:color="auto" w:sz="4" w:space="0"/>
                  </w:tcBorders>
                  <w:shd w:val="clear" w:color="auto" w:fill="auto"/>
                  <w:vAlign w:val="center"/>
                </w:tcPr>
                <w:p>
                  <w:pPr>
                    <w:pStyle w:val="36"/>
                  </w:pPr>
                  <w:r>
                    <w:t>技术指标</w:t>
                  </w:r>
                </w:p>
              </w:tc>
            </w:tr>
            <w:tr>
              <w:tblPrEx>
                <w:tblLayout w:type="fixed"/>
                <w:tblCellMar>
                  <w:top w:w="0" w:type="dxa"/>
                  <w:left w:w="108" w:type="dxa"/>
                  <w:bottom w:w="0" w:type="dxa"/>
                  <w:right w:w="108" w:type="dxa"/>
                </w:tblCellMar>
              </w:tblPrEx>
              <w:trPr>
                <w:trHeight w:val="855" w:hRule="atLeast"/>
                <w:jc w:val="center"/>
              </w:trPr>
              <w:tc>
                <w:tcPr>
                  <w:tcW w:w="864" w:type="dxa"/>
                  <w:tcBorders>
                    <w:top w:val="nil"/>
                    <w:bottom w:val="single" w:color="auto" w:sz="4" w:space="0"/>
                    <w:right w:val="single" w:color="auto" w:sz="4" w:space="0"/>
                  </w:tcBorders>
                  <w:shd w:val="clear" w:color="auto" w:fill="auto"/>
                  <w:vAlign w:val="center"/>
                </w:tcPr>
                <w:p>
                  <w:pPr>
                    <w:pStyle w:val="36"/>
                  </w:pPr>
                  <w:r>
                    <w:t>1</w:t>
                  </w:r>
                </w:p>
              </w:tc>
              <w:tc>
                <w:tcPr>
                  <w:tcW w:w="3909" w:type="dxa"/>
                  <w:gridSpan w:val="2"/>
                  <w:tcBorders>
                    <w:top w:val="single" w:color="auto" w:sz="4" w:space="0"/>
                    <w:left w:val="nil"/>
                    <w:bottom w:val="single" w:color="auto" w:sz="4" w:space="0"/>
                    <w:right w:val="single" w:color="auto" w:sz="4" w:space="0"/>
                  </w:tcBorders>
                  <w:shd w:val="clear" w:color="auto" w:fill="auto"/>
                  <w:vAlign w:val="center"/>
                </w:tcPr>
                <w:p>
                  <w:pPr>
                    <w:pStyle w:val="36"/>
                  </w:pPr>
                  <w:r>
                    <w:t>膨润土防水毯单位面积质量(g/m</w:t>
                  </w:r>
                  <w:r>
                    <w:rPr>
                      <w:vertAlign w:val="superscript"/>
                    </w:rPr>
                    <w:t>2</w:t>
                  </w:r>
                  <w:r>
                    <w:t>)</w:t>
                  </w:r>
                </w:p>
              </w:tc>
              <w:tc>
                <w:tcPr>
                  <w:tcW w:w="3391" w:type="dxa"/>
                  <w:tcBorders>
                    <w:top w:val="nil"/>
                    <w:left w:val="nil"/>
                    <w:bottom w:val="single" w:color="auto" w:sz="4" w:space="0"/>
                  </w:tcBorders>
                  <w:shd w:val="clear" w:color="auto" w:fill="auto"/>
                  <w:vAlign w:val="center"/>
                </w:tcPr>
                <w:p>
                  <w:pPr>
                    <w:pStyle w:val="36"/>
                  </w:pPr>
                  <w:r>
                    <w:t>≥5500且不小于规定值</w:t>
                  </w:r>
                </w:p>
              </w:tc>
            </w:tr>
            <w:tr>
              <w:tblPrEx>
                <w:tblLayout w:type="fixed"/>
                <w:tblCellMar>
                  <w:top w:w="0" w:type="dxa"/>
                  <w:left w:w="108" w:type="dxa"/>
                  <w:bottom w:w="0" w:type="dxa"/>
                  <w:right w:w="108" w:type="dxa"/>
                </w:tblCellMar>
              </w:tblPrEx>
              <w:trPr>
                <w:trHeight w:val="285" w:hRule="atLeast"/>
                <w:jc w:val="center"/>
              </w:trPr>
              <w:tc>
                <w:tcPr>
                  <w:tcW w:w="864" w:type="dxa"/>
                  <w:tcBorders>
                    <w:top w:val="nil"/>
                    <w:bottom w:val="single" w:color="auto" w:sz="4" w:space="0"/>
                    <w:right w:val="single" w:color="auto" w:sz="4" w:space="0"/>
                  </w:tcBorders>
                  <w:shd w:val="clear" w:color="auto" w:fill="auto"/>
                  <w:vAlign w:val="center"/>
                </w:tcPr>
                <w:p>
                  <w:pPr>
                    <w:pStyle w:val="36"/>
                  </w:pPr>
                  <w:r>
                    <w:t>2</w:t>
                  </w:r>
                </w:p>
              </w:tc>
              <w:tc>
                <w:tcPr>
                  <w:tcW w:w="3909" w:type="dxa"/>
                  <w:gridSpan w:val="2"/>
                  <w:tcBorders>
                    <w:top w:val="single" w:color="auto" w:sz="4" w:space="0"/>
                    <w:left w:val="nil"/>
                    <w:bottom w:val="single" w:color="auto" w:sz="4" w:space="0"/>
                    <w:right w:val="single" w:color="auto" w:sz="4" w:space="0"/>
                  </w:tcBorders>
                  <w:shd w:val="clear" w:color="auto" w:fill="auto"/>
                  <w:vAlign w:val="center"/>
                </w:tcPr>
                <w:p>
                  <w:pPr>
                    <w:pStyle w:val="36"/>
                  </w:pPr>
                  <w:r>
                    <w:t>膨润土膨胀指数/(mL/2g)</w:t>
                  </w:r>
                </w:p>
              </w:tc>
              <w:tc>
                <w:tcPr>
                  <w:tcW w:w="3391" w:type="dxa"/>
                  <w:tcBorders>
                    <w:top w:val="nil"/>
                    <w:left w:val="nil"/>
                    <w:bottom w:val="single" w:color="auto" w:sz="4" w:space="0"/>
                  </w:tcBorders>
                  <w:shd w:val="clear" w:color="auto" w:fill="auto"/>
                  <w:vAlign w:val="center"/>
                </w:tcPr>
                <w:p>
                  <w:pPr>
                    <w:pStyle w:val="36"/>
                  </w:pPr>
                  <w:r>
                    <w:t>≥24</w:t>
                  </w:r>
                </w:p>
              </w:tc>
            </w:tr>
            <w:tr>
              <w:tblPrEx>
                <w:tblLayout w:type="fixed"/>
                <w:tblCellMar>
                  <w:top w:w="0" w:type="dxa"/>
                  <w:left w:w="108" w:type="dxa"/>
                  <w:bottom w:w="0" w:type="dxa"/>
                  <w:right w:w="108" w:type="dxa"/>
                </w:tblCellMar>
              </w:tblPrEx>
              <w:trPr>
                <w:trHeight w:val="285" w:hRule="atLeast"/>
                <w:jc w:val="center"/>
              </w:trPr>
              <w:tc>
                <w:tcPr>
                  <w:tcW w:w="864" w:type="dxa"/>
                  <w:tcBorders>
                    <w:top w:val="nil"/>
                    <w:bottom w:val="single" w:color="auto" w:sz="4" w:space="0"/>
                    <w:right w:val="single" w:color="auto" w:sz="4" w:space="0"/>
                  </w:tcBorders>
                  <w:shd w:val="clear" w:color="auto" w:fill="auto"/>
                  <w:vAlign w:val="center"/>
                </w:tcPr>
                <w:p>
                  <w:pPr>
                    <w:pStyle w:val="36"/>
                  </w:pPr>
                  <w:r>
                    <w:t>3</w:t>
                  </w:r>
                </w:p>
              </w:tc>
              <w:tc>
                <w:tcPr>
                  <w:tcW w:w="3909" w:type="dxa"/>
                  <w:gridSpan w:val="2"/>
                  <w:tcBorders>
                    <w:top w:val="single" w:color="auto" w:sz="4" w:space="0"/>
                    <w:left w:val="nil"/>
                    <w:bottom w:val="single" w:color="auto" w:sz="4" w:space="0"/>
                    <w:right w:val="single" w:color="auto" w:sz="4" w:space="0"/>
                  </w:tcBorders>
                  <w:shd w:val="clear" w:color="auto" w:fill="auto"/>
                  <w:vAlign w:val="center"/>
                </w:tcPr>
                <w:p>
                  <w:pPr>
                    <w:pStyle w:val="36"/>
                  </w:pPr>
                  <w:r>
                    <w:t>吸蓝量/(g/100g)</w:t>
                  </w:r>
                </w:p>
              </w:tc>
              <w:tc>
                <w:tcPr>
                  <w:tcW w:w="3391" w:type="dxa"/>
                  <w:tcBorders>
                    <w:top w:val="nil"/>
                    <w:left w:val="nil"/>
                    <w:bottom w:val="single" w:color="auto" w:sz="4" w:space="0"/>
                  </w:tcBorders>
                  <w:shd w:val="clear" w:color="auto" w:fill="auto"/>
                  <w:vAlign w:val="center"/>
                </w:tcPr>
                <w:p>
                  <w:pPr>
                    <w:pStyle w:val="36"/>
                  </w:pPr>
                  <w:r>
                    <w:t>≥30</w:t>
                  </w:r>
                </w:p>
              </w:tc>
            </w:tr>
            <w:tr>
              <w:tblPrEx>
                <w:tblLayout w:type="fixed"/>
                <w:tblCellMar>
                  <w:top w:w="0" w:type="dxa"/>
                  <w:left w:w="108" w:type="dxa"/>
                  <w:bottom w:w="0" w:type="dxa"/>
                  <w:right w:w="108" w:type="dxa"/>
                </w:tblCellMar>
              </w:tblPrEx>
              <w:trPr>
                <w:trHeight w:val="285" w:hRule="atLeast"/>
                <w:jc w:val="center"/>
              </w:trPr>
              <w:tc>
                <w:tcPr>
                  <w:tcW w:w="864" w:type="dxa"/>
                  <w:tcBorders>
                    <w:top w:val="nil"/>
                    <w:bottom w:val="single" w:color="auto" w:sz="4" w:space="0"/>
                    <w:right w:val="single" w:color="auto" w:sz="4" w:space="0"/>
                  </w:tcBorders>
                  <w:shd w:val="clear" w:color="auto" w:fill="auto"/>
                  <w:vAlign w:val="center"/>
                </w:tcPr>
                <w:p>
                  <w:pPr>
                    <w:pStyle w:val="36"/>
                  </w:pPr>
                  <w:r>
                    <w:t>4</w:t>
                  </w:r>
                </w:p>
              </w:tc>
              <w:tc>
                <w:tcPr>
                  <w:tcW w:w="3909" w:type="dxa"/>
                  <w:gridSpan w:val="2"/>
                  <w:tcBorders>
                    <w:top w:val="single" w:color="auto" w:sz="4" w:space="0"/>
                    <w:left w:val="nil"/>
                    <w:bottom w:val="single" w:color="auto" w:sz="4" w:space="0"/>
                    <w:right w:val="single" w:color="auto" w:sz="4" w:space="0"/>
                  </w:tcBorders>
                  <w:shd w:val="clear" w:color="auto" w:fill="auto"/>
                  <w:vAlign w:val="center"/>
                </w:tcPr>
                <w:p>
                  <w:pPr>
                    <w:pStyle w:val="36"/>
                  </w:pPr>
                  <w:r>
                    <w:t>拉伸强度/(N/100mm)</w:t>
                  </w:r>
                </w:p>
              </w:tc>
              <w:tc>
                <w:tcPr>
                  <w:tcW w:w="3391" w:type="dxa"/>
                  <w:tcBorders>
                    <w:top w:val="nil"/>
                    <w:left w:val="nil"/>
                    <w:bottom w:val="single" w:color="auto" w:sz="4" w:space="0"/>
                  </w:tcBorders>
                  <w:shd w:val="clear" w:color="auto" w:fill="auto"/>
                  <w:vAlign w:val="center"/>
                </w:tcPr>
                <w:p>
                  <w:pPr>
                    <w:pStyle w:val="36"/>
                  </w:pPr>
                  <w:r>
                    <w:t>≥700</w:t>
                  </w:r>
                </w:p>
              </w:tc>
            </w:tr>
            <w:tr>
              <w:tblPrEx>
                <w:tblLayout w:type="fixed"/>
                <w:tblCellMar>
                  <w:top w:w="0" w:type="dxa"/>
                  <w:left w:w="108" w:type="dxa"/>
                  <w:bottom w:w="0" w:type="dxa"/>
                  <w:right w:w="108" w:type="dxa"/>
                </w:tblCellMar>
              </w:tblPrEx>
              <w:trPr>
                <w:trHeight w:val="285" w:hRule="atLeast"/>
                <w:jc w:val="center"/>
              </w:trPr>
              <w:tc>
                <w:tcPr>
                  <w:tcW w:w="864" w:type="dxa"/>
                  <w:tcBorders>
                    <w:top w:val="nil"/>
                    <w:bottom w:val="single" w:color="auto" w:sz="4" w:space="0"/>
                    <w:right w:val="single" w:color="auto" w:sz="4" w:space="0"/>
                  </w:tcBorders>
                  <w:shd w:val="clear" w:color="auto" w:fill="auto"/>
                  <w:vAlign w:val="center"/>
                </w:tcPr>
                <w:p>
                  <w:pPr>
                    <w:pStyle w:val="36"/>
                  </w:pPr>
                  <w:r>
                    <w:t>5</w:t>
                  </w:r>
                </w:p>
              </w:tc>
              <w:tc>
                <w:tcPr>
                  <w:tcW w:w="3909" w:type="dxa"/>
                  <w:gridSpan w:val="2"/>
                  <w:tcBorders>
                    <w:top w:val="single" w:color="auto" w:sz="4" w:space="0"/>
                    <w:left w:val="nil"/>
                    <w:bottom w:val="single" w:color="auto" w:sz="4" w:space="0"/>
                    <w:right w:val="single" w:color="auto" w:sz="4" w:space="0"/>
                  </w:tcBorders>
                  <w:shd w:val="clear" w:color="auto" w:fill="auto"/>
                  <w:vAlign w:val="center"/>
                </w:tcPr>
                <w:p>
                  <w:pPr>
                    <w:pStyle w:val="36"/>
                  </w:pPr>
                  <w:r>
                    <w:t>最大负荷下伸长率/%</w:t>
                  </w:r>
                </w:p>
              </w:tc>
              <w:tc>
                <w:tcPr>
                  <w:tcW w:w="3391" w:type="dxa"/>
                  <w:tcBorders>
                    <w:top w:val="nil"/>
                    <w:left w:val="nil"/>
                    <w:bottom w:val="single" w:color="auto" w:sz="4" w:space="0"/>
                  </w:tcBorders>
                  <w:shd w:val="clear" w:color="auto" w:fill="auto"/>
                  <w:vAlign w:val="center"/>
                </w:tcPr>
                <w:p>
                  <w:pPr>
                    <w:pStyle w:val="36"/>
                  </w:pPr>
                  <w:r>
                    <w:t>≥10</w:t>
                  </w:r>
                </w:p>
              </w:tc>
            </w:tr>
            <w:tr>
              <w:tblPrEx>
                <w:tblLayout w:type="fixed"/>
                <w:tblCellMar>
                  <w:top w:w="0" w:type="dxa"/>
                  <w:left w:w="108" w:type="dxa"/>
                  <w:bottom w:w="0" w:type="dxa"/>
                  <w:right w:w="108" w:type="dxa"/>
                </w:tblCellMar>
              </w:tblPrEx>
              <w:trPr>
                <w:trHeight w:val="570" w:hRule="atLeast"/>
                <w:jc w:val="center"/>
              </w:trPr>
              <w:tc>
                <w:tcPr>
                  <w:tcW w:w="864" w:type="dxa"/>
                  <w:vMerge w:val="restart"/>
                  <w:tcBorders>
                    <w:top w:val="single" w:color="auto" w:sz="4" w:space="0"/>
                    <w:bottom w:val="single" w:color="auto" w:sz="4" w:space="0"/>
                    <w:right w:val="single" w:color="auto" w:sz="4" w:space="0"/>
                  </w:tcBorders>
                  <w:shd w:val="clear" w:color="auto" w:fill="auto"/>
                  <w:vAlign w:val="center"/>
                </w:tcPr>
                <w:p>
                  <w:pPr>
                    <w:pStyle w:val="36"/>
                  </w:pPr>
                  <w:r>
                    <w:t>6</w:t>
                  </w:r>
                </w:p>
              </w:tc>
              <w:tc>
                <w:tcPr>
                  <w:tcW w:w="274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36"/>
                  </w:pPr>
                  <w:r>
                    <w:t>剥离强度/(N/100mm)</w:t>
                  </w:r>
                </w:p>
              </w:tc>
              <w:tc>
                <w:tcPr>
                  <w:tcW w:w="1166" w:type="dxa"/>
                  <w:tcBorders>
                    <w:top w:val="single" w:color="auto" w:sz="4" w:space="0"/>
                    <w:left w:val="nil"/>
                    <w:bottom w:val="single" w:color="auto" w:sz="4" w:space="0"/>
                    <w:right w:val="single" w:color="auto" w:sz="4" w:space="0"/>
                  </w:tcBorders>
                  <w:shd w:val="clear" w:color="auto" w:fill="auto"/>
                  <w:vAlign w:val="center"/>
                </w:tcPr>
                <w:p>
                  <w:pPr>
                    <w:pStyle w:val="36"/>
                  </w:pPr>
                  <w:r>
                    <w:t>非织造布与编织布</w:t>
                  </w:r>
                </w:p>
              </w:tc>
              <w:tc>
                <w:tcPr>
                  <w:tcW w:w="3391" w:type="dxa"/>
                  <w:tcBorders>
                    <w:top w:val="single" w:color="auto" w:sz="4" w:space="0"/>
                    <w:left w:val="nil"/>
                    <w:bottom w:val="single" w:color="auto" w:sz="4" w:space="0"/>
                  </w:tcBorders>
                  <w:shd w:val="clear" w:color="auto" w:fill="auto"/>
                  <w:vAlign w:val="center"/>
                </w:tcPr>
                <w:p>
                  <w:pPr>
                    <w:pStyle w:val="36"/>
                  </w:pPr>
                  <w:r>
                    <w:t>≥60</w:t>
                  </w:r>
                </w:p>
              </w:tc>
            </w:tr>
            <w:tr>
              <w:tblPrEx>
                <w:tblLayout w:type="fixed"/>
                <w:tblCellMar>
                  <w:top w:w="0" w:type="dxa"/>
                  <w:left w:w="108" w:type="dxa"/>
                  <w:bottom w:w="0" w:type="dxa"/>
                  <w:right w:w="108" w:type="dxa"/>
                </w:tblCellMar>
              </w:tblPrEx>
              <w:trPr>
                <w:trHeight w:val="570" w:hRule="atLeast"/>
                <w:jc w:val="center"/>
              </w:trPr>
              <w:tc>
                <w:tcPr>
                  <w:tcW w:w="864" w:type="dxa"/>
                  <w:vMerge w:val="continue"/>
                  <w:tcBorders>
                    <w:top w:val="nil"/>
                    <w:bottom w:val="single" w:color="auto" w:sz="4" w:space="0"/>
                    <w:right w:val="single" w:color="auto" w:sz="4" w:space="0"/>
                  </w:tcBorders>
                  <w:vAlign w:val="center"/>
                </w:tcPr>
                <w:p>
                  <w:pPr>
                    <w:pStyle w:val="36"/>
                  </w:pPr>
                </w:p>
              </w:tc>
              <w:tc>
                <w:tcPr>
                  <w:tcW w:w="2743" w:type="dxa"/>
                  <w:vMerge w:val="continue"/>
                  <w:tcBorders>
                    <w:top w:val="nil"/>
                    <w:left w:val="single" w:color="auto" w:sz="4" w:space="0"/>
                    <w:bottom w:val="single" w:color="auto" w:sz="4" w:space="0"/>
                    <w:right w:val="single" w:color="auto" w:sz="4" w:space="0"/>
                  </w:tcBorders>
                  <w:vAlign w:val="center"/>
                </w:tcPr>
                <w:p>
                  <w:pPr>
                    <w:pStyle w:val="36"/>
                  </w:pPr>
                </w:p>
              </w:tc>
              <w:tc>
                <w:tcPr>
                  <w:tcW w:w="1166" w:type="dxa"/>
                  <w:tcBorders>
                    <w:top w:val="nil"/>
                    <w:left w:val="nil"/>
                    <w:bottom w:val="single" w:color="auto" w:sz="4" w:space="0"/>
                    <w:right w:val="single" w:color="auto" w:sz="4" w:space="0"/>
                  </w:tcBorders>
                  <w:shd w:val="clear" w:color="auto" w:fill="auto"/>
                  <w:vAlign w:val="center"/>
                </w:tcPr>
                <w:p>
                  <w:pPr>
                    <w:pStyle w:val="36"/>
                  </w:pPr>
                  <w:r>
                    <w:t>PE膜与非织造布</w:t>
                  </w:r>
                </w:p>
              </w:tc>
              <w:tc>
                <w:tcPr>
                  <w:tcW w:w="3391" w:type="dxa"/>
                  <w:tcBorders>
                    <w:top w:val="nil"/>
                    <w:left w:val="nil"/>
                    <w:bottom w:val="single" w:color="auto" w:sz="4" w:space="0"/>
                  </w:tcBorders>
                  <w:shd w:val="clear" w:color="auto" w:fill="auto"/>
                  <w:vAlign w:val="center"/>
                </w:tcPr>
                <w:p>
                  <w:pPr>
                    <w:pStyle w:val="36"/>
                  </w:pPr>
                  <w:r>
                    <w:t>/</w:t>
                  </w:r>
                </w:p>
              </w:tc>
            </w:tr>
            <w:tr>
              <w:tblPrEx>
                <w:tblLayout w:type="fixed"/>
                <w:tblCellMar>
                  <w:top w:w="0" w:type="dxa"/>
                  <w:left w:w="108" w:type="dxa"/>
                  <w:bottom w:w="0" w:type="dxa"/>
                  <w:right w:w="108" w:type="dxa"/>
                </w:tblCellMar>
              </w:tblPrEx>
              <w:trPr>
                <w:trHeight w:val="285" w:hRule="atLeast"/>
                <w:jc w:val="center"/>
              </w:trPr>
              <w:tc>
                <w:tcPr>
                  <w:tcW w:w="864" w:type="dxa"/>
                  <w:tcBorders>
                    <w:top w:val="nil"/>
                    <w:bottom w:val="single" w:color="auto" w:sz="4" w:space="0"/>
                    <w:right w:val="single" w:color="auto" w:sz="4" w:space="0"/>
                  </w:tcBorders>
                  <w:shd w:val="clear" w:color="auto" w:fill="auto"/>
                  <w:vAlign w:val="center"/>
                </w:tcPr>
                <w:p>
                  <w:pPr>
                    <w:pStyle w:val="36"/>
                  </w:pPr>
                  <w:r>
                    <w:t>7</w:t>
                  </w:r>
                </w:p>
              </w:tc>
              <w:tc>
                <w:tcPr>
                  <w:tcW w:w="3909" w:type="dxa"/>
                  <w:gridSpan w:val="2"/>
                  <w:tcBorders>
                    <w:top w:val="single" w:color="auto" w:sz="4" w:space="0"/>
                    <w:left w:val="nil"/>
                    <w:bottom w:val="single" w:color="auto" w:sz="4" w:space="0"/>
                    <w:right w:val="single" w:color="auto" w:sz="4" w:space="0"/>
                  </w:tcBorders>
                  <w:shd w:val="clear" w:color="auto" w:fill="auto"/>
                  <w:vAlign w:val="center"/>
                </w:tcPr>
                <w:p>
                  <w:pPr>
                    <w:pStyle w:val="36"/>
                  </w:pPr>
                  <w:r>
                    <w:t>渗透系数/(m/s)</w:t>
                  </w:r>
                </w:p>
              </w:tc>
              <w:tc>
                <w:tcPr>
                  <w:tcW w:w="3391" w:type="dxa"/>
                  <w:tcBorders>
                    <w:top w:val="nil"/>
                    <w:left w:val="nil"/>
                    <w:bottom w:val="single" w:color="auto" w:sz="4" w:space="0"/>
                  </w:tcBorders>
                  <w:shd w:val="clear" w:color="auto" w:fill="auto"/>
                  <w:vAlign w:val="center"/>
                </w:tcPr>
                <w:p>
                  <w:pPr>
                    <w:pStyle w:val="36"/>
                  </w:pPr>
                  <w:r>
                    <w:t>≤5.0×10</w:t>
                  </w:r>
                  <w:r>
                    <w:rPr>
                      <w:vertAlign w:val="superscript"/>
                    </w:rPr>
                    <w:t>-11</w:t>
                  </w:r>
                </w:p>
              </w:tc>
            </w:tr>
            <w:tr>
              <w:tblPrEx>
                <w:tblLayout w:type="fixed"/>
                <w:tblCellMar>
                  <w:top w:w="0" w:type="dxa"/>
                  <w:left w:w="108" w:type="dxa"/>
                  <w:bottom w:w="0" w:type="dxa"/>
                  <w:right w:w="108" w:type="dxa"/>
                </w:tblCellMar>
              </w:tblPrEx>
              <w:trPr>
                <w:trHeight w:val="285" w:hRule="atLeast"/>
                <w:jc w:val="center"/>
              </w:trPr>
              <w:tc>
                <w:tcPr>
                  <w:tcW w:w="864" w:type="dxa"/>
                  <w:tcBorders>
                    <w:top w:val="nil"/>
                    <w:bottom w:val="single" w:color="auto" w:sz="4" w:space="0"/>
                    <w:right w:val="single" w:color="auto" w:sz="4" w:space="0"/>
                  </w:tcBorders>
                  <w:shd w:val="clear" w:color="auto" w:fill="auto"/>
                  <w:vAlign w:val="center"/>
                </w:tcPr>
                <w:p>
                  <w:pPr>
                    <w:pStyle w:val="36"/>
                  </w:pPr>
                  <w:r>
                    <w:t>8</w:t>
                  </w:r>
                </w:p>
              </w:tc>
              <w:tc>
                <w:tcPr>
                  <w:tcW w:w="3909" w:type="dxa"/>
                  <w:gridSpan w:val="2"/>
                  <w:tcBorders>
                    <w:top w:val="single" w:color="auto" w:sz="4" w:space="0"/>
                    <w:left w:val="nil"/>
                    <w:bottom w:val="single" w:color="auto" w:sz="4" w:space="0"/>
                    <w:right w:val="single" w:color="auto" w:sz="4" w:space="0"/>
                  </w:tcBorders>
                  <w:shd w:val="clear" w:color="auto" w:fill="auto"/>
                  <w:vAlign w:val="center"/>
                </w:tcPr>
                <w:p>
                  <w:pPr>
                    <w:pStyle w:val="36"/>
                  </w:pPr>
                  <w:r>
                    <w:t>耐静水压</w:t>
                  </w:r>
                </w:p>
              </w:tc>
              <w:tc>
                <w:tcPr>
                  <w:tcW w:w="3391" w:type="dxa"/>
                  <w:tcBorders>
                    <w:top w:val="nil"/>
                    <w:left w:val="nil"/>
                    <w:bottom w:val="single" w:color="auto" w:sz="4" w:space="0"/>
                  </w:tcBorders>
                  <w:shd w:val="clear" w:color="auto" w:fill="auto"/>
                  <w:vAlign w:val="center"/>
                </w:tcPr>
                <w:p>
                  <w:pPr>
                    <w:pStyle w:val="36"/>
                  </w:pPr>
                  <w:r>
                    <w:t>0.4MPa，1h，无渗漏</w:t>
                  </w:r>
                </w:p>
              </w:tc>
            </w:tr>
            <w:tr>
              <w:tblPrEx>
                <w:tblLayout w:type="fixed"/>
                <w:tblCellMar>
                  <w:top w:w="0" w:type="dxa"/>
                  <w:left w:w="108" w:type="dxa"/>
                  <w:bottom w:w="0" w:type="dxa"/>
                  <w:right w:w="108" w:type="dxa"/>
                </w:tblCellMar>
              </w:tblPrEx>
              <w:trPr>
                <w:trHeight w:val="285" w:hRule="atLeast"/>
                <w:jc w:val="center"/>
              </w:trPr>
              <w:tc>
                <w:tcPr>
                  <w:tcW w:w="864" w:type="dxa"/>
                  <w:tcBorders>
                    <w:top w:val="nil"/>
                    <w:bottom w:val="single" w:color="auto" w:sz="4" w:space="0"/>
                    <w:right w:val="single" w:color="auto" w:sz="4" w:space="0"/>
                  </w:tcBorders>
                  <w:shd w:val="clear" w:color="auto" w:fill="auto"/>
                  <w:vAlign w:val="center"/>
                </w:tcPr>
                <w:p>
                  <w:pPr>
                    <w:pStyle w:val="36"/>
                  </w:pPr>
                  <w:r>
                    <w:t>9</w:t>
                  </w:r>
                </w:p>
              </w:tc>
              <w:tc>
                <w:tcPr>
                  <w:tcW w:w="3909" w:type="dxa"/>
                  <w:gridSpan w:val="2"/>
                  <w:tcBorders>
                    <w:top w:val="single" w:color="auto" w:sz="4" w:space="0"/>
                    <w:left w:val="nil"/>
                    <w:bottom w:val="single" w:color="auto" w:sz="4" w:space="0"/>
                    <w:right w:val="single" w:color="auto" w:sz="4" w:space="0"/>
                  </w:tcBorders>
                  <w:shd w:val="clear" w:color="auto" w:fill="auto"/>
                  <w:vAlign w:val="center"/>
                </w:tcPr>
                <w:p>
                  <w:pPr>
                    <w:pStyle w:val="36"/>
                  </w:pPr>
                  <w:r>
                    <w:t>滤失量/mL</w:t>
                  </w:r>
                </w:p>
              </w:tc>
              <w:tc>
                <w:tcPr>
                  <w:tcW w:w="3391" w:type="dxa"/>
                  <w:tcBorders>
                    <w:top w:val="nil"/>
                    <w:left w:val="nil"/>
                    <w:bottom w:val="single" w:color="auto" w:sz="4" w:space="0"/>
                  </w:tcBorders>
                  <w:shd w:val="clear" w:color="auto" w:fill="auto"/>
                  <w:vAlign w:val="center"/>
                </w:tcPr>
                <w:p>
                  <w:pPr>
                    <w:pStyle w:val="36"/>
                  </w:pPr>
                  <w:r>
                    <w:t>≤18</w:t>
                  </w:r>
                </w:p>
              </w:tc>
            </w:tr>
            <w:tr>
              <w:tblPrEx>
                <w:tblLayout w:type="fixed"/>
                <w:tblCellMar>
                  <w:top w:w="0" w:type="dxa"/>
                  <w:left w:w="108" w:type="dxa"/>
                  <w:bottom w:w="0" w:type="dxa"/>
                  <w:right w:w="108" w:type="dxa"/>
                </w:tblCellMar>
              </w:tblPrEx>
              <w:trPr>
                <w:trHeight w:val="285" w:hRule="atLeast"/>
                <w:jc w:val="center"/>
              </w:trPr>
              <w:tc>
                <w:tcPr>
                  <w:tcW w:w="864" w:type="dxa"/>
                  <w:tcBorders>
                    <w:top w:val="nil"/>
                    <w:bottom w:val="single" w:color="auto" w:sz="4" w:space="0"/>
                    <w:right w:val="single" w:color="auto" w:sz="4" w:space="0"/>
                  </w:tcBorders>
                  <w:shd w:val="clear" w:color="auto" w:fill="auto"/>
                  <w:vAlign w:val="center"/>
                </w:tcPr>
                <w:p>
                  <w:pPr>
                    <w:pStyle w:val="36"/>
                  </w:pPr>
                  <w:r>
                    <w:t>10</w:t>
                  </w:r>
                </w:p>
              </w:tc>
              <w:tc>
                <w:tcPr>
                  <w:tcW w:w="3909" w:type="dxa"/>
                  <w:gridSpan w:val="2"/>
                  <w:tcBorders>
                    <w:top w:val="single" w:color="auto" w:sz="4" w:space="0"/>
                    <w:left w:val="nil"/>
                    <w:bottom w:val="single" w:color="auto" w:sz="4" w:space="0"/>
                    <w:right w:val="single" w:color="auto" w:sz="4" w:space="0"/>
                  </w:tcBorders>
                  <w:shd w:val="clear" w:color="auto" w:fill="auto"/>
                  <w:vAlign w:val="center"/>
                </w:tcPr>
                <w:p>
                  <w:pPr>
                    <w:pStyle w:val="36"/>
                  </w:pPr>
                  <w:r>
                    <w:t>膨润土耐久性/(mL/2g)</w:t>
                  </w:r>
                </w:p>
              </w:tc>
              <w:tc>
                <w:tcPr>
                  <w:tcW w:w="3391" w:type="dxa"/>
                  <w:tcBorders>
                    <w:top w:val="nil"/>
                    <w:left w:val="nil"/>
                    <w:bottom w:val="single" w:color="auto" w:sz="4" w:space="0"/>
                  </w:tcBorders>
                  <w:shd w:val="clear" w:color="auto" w:fill="auto"/>
                  <w:vAlign w:val="center"/>
                </w:tcPr>
                <w:p>
                  <w:pPr>
                    <w:pStyle w:val="36"/>
                  </w:pPr>
                  <w:r>
                    <w:t>≥20</w:t>
                  </w:r>
                </w:p>
              </w:tc>
            </w:tr>
            <w:tr>
              <w:tblPrEx>
                <w:tblLayout w:type="fixed"/>
                <w:tblCellMar>
                  <w:top w:w="0" w:type="dxa"/>
                  <w:left w:w="108" w:type="dxa"/>
                  <w:bottom w:w="0" w:type="dxa"/>
                  <w:right w:w="108" w:type="dxa"/>
                </w:tblCellMar>
              </w:tblPrEx>
              <w:trPr>
                <w:trHeight w:val="855" w:hRule="atLeast"/>
                <w:jc w:val="center"/>
              </w:trPr>
              <w:tc>
                <w:tcPr>
                  <w:tcW w:w="864" w:type="dxa"/>
                  <w:tcBorders>
                    <w:top w:val="nil"/>
                    <w:bottom w:val="single" w:color="auto" w:sz="4" w:space="0"/>
                    <w:right w:val="single" w:color="auto" w:sz="4" w:space="0"/>
                  </w:tcBorders>
                  <w:shd w:val="clear" w:color="auto" w:fill="auto"/>
                  <w:vAlign w:val="center"/>
                </w:tcPr>
                <w:p>
                  <w:pPr>
                    <w:pStyle w:val="36"/>
                  </w:pPr>
                  <w:r>
                    <w:t>11</w:t>
                  </w:r>
                </w:p>
              </w:tc>
              <w:tc>
                <w:tcPr>
                  <w:tcW w:w="3909" w:type="dxa"/>
                  <w:gridSpan w:val="2"/>
                  <w:tcBorders>
                    <w:top w:val="single" w:color="auto" w:sz="4" w:space="0"/>
                    <w:left w:val="nil"/>
                    <w:bottom w:val="single" w:color="auto" w:sz="4" w:space="0"/>
                    <w:right w:val="single" w:color="auto" w:sz="4" w:space="0"/>
                  </w:tcBorders>
                  <w:shd w:val="clear" w:color="auto" w:fill="auto"/>
                  <w:vAlign w:val="center"/>
                </w:tcPr>
                <w:p>
                  <w:pPr>
                    <w:pStyle w:val="36"/>
                  </w:pPr>
                  <w:r>
                    <w:t>是否为天然钠基膨润土</w:t>
                  </w:r>
                </w:p>
              </w:tc>
              <w:tc>
                <w:tcPr>
                  <w:tcW w:w="3391" w:type="dxa"/>
                  <w:tcBorders>
                    <w:top w:val="nil"/>
                    <w:left w:val="nil"/>
                    <w:bottom w:val="single" w:color="auto" w:sz="4" w:space="0"/>
                  </w:tcBorders>
                  <w:shd w:val="clear" w:color="auto" w:fill="auto"/>
                  <w:vAlign w:val="center"/>
                </w:tcPr>
                <w:p>
                  <w:pPr>
                    <w:pStyle w:val="36"/>
                  </w:pPr>
                  <w:r>
                    <w:t>判定结果为天然钠基膨润土</w:t>
                  </w:r>
                </w:p>
              </w:tc>
            </w:tr>
          </w:tbl>
          <w:p>
            <w:pPr>
              <w:pStyle w:val="42"/>
              <w:ind w:firstLine="480"/>
            </w:pPr>
            <w:r>
              <w:rPr>
                <w:rFonts w:hint="eastAsia"/>
              </w:rPr>
              <w:t>采用</w:t>
            </w:r>
            <w:r>
              <w:t>自然驳岸处理：在自然驳岸水位线200mm以上挖400mm×400mm凹型的压边沟，以固定防水毯，防止下滑。</w:t>
            </w:r>
          </w:p>
          <w:p>
            <w:pPr>
              <w:pStyle w:val="42"/>
              <w:ind w:firstLine="0" w:firstLineChars="0"/>
              <w:jc w:val="center"/>
            </w:pPr>
            <w:r>
              <w:drawing>
                <wp:inline distT="0" distB="0" distL="114300" distR="114300">
                  <wp:extent cx="5113655" cy="2240915"/>
                  <wp:effectExtent l="0" t="0" r="4445" b="0"/>
                  <wp:docPr id="48"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69"/>
                          <pic:cNvPicPr>
                            <a:picLocks noChangeAspect="1"/>
                          </pic:cNvPicPr>
                        </pic:nvPicPr>
                        <pic:blipFill>
                          <a:blip r:embed="rId11"/>
                          <a:stretch>
                            <a:fillRect/>
                          </a:stretch>
                        </pic:blipFill>
                        <pic:spPr>
                          <a:xfrm>
                            <a:off x="0" y="0"/>
                            <a:ext cx="5154632" cy="2259033"/>
                          </a:xfrm>
                          <a:prstGeom prst="rect">
                            <a:avLst/>
                          </a:prstGeom>
                          <a:noFill/>
                          <a:ln>
                            <a:noFill/>
                          </a:ln>
                        </pic:spPr>
                      </pic:pic>
                    </a:graphicData>
                  </a:graphic>
                </wp:inline>
              </w:drawing>
            </w:r>
          </w:p>
          <w:p>
            <w:pPr>
              <w:pStyle w:val="38"/>
            </w:pPr>
            <w:r>
              <w:t>图</w:t>
            </w:r>
            <w:r>
              <w:rPr>
                <w:rFonts w:hint="eastAsia"/>
              </w:rPr>
              <w:t xml:space="preserve">2-3 </w:t>
            </w:r>
            <w:r>
              <w:t>自然驳岸防渗做法</w:t>
            </w:r>
          </w:p>
          <w:p>
            <w:pPr>
              <w:pStyle w:val="40"/>
              <w:ind w:firstLine="482"/>
            </w:pPr>
            <w:r>
              <w:rPr>
                <w:rFonts w:hint="eastAsia"/>
              </w:rPr>
              <w:t xml:space="preserve">11.2 </w:t>
            </w:r>
            <w:r>
              <w:t>三位一体原生态修复</w:t>
            </w:r>
            <w:r>
              <w:rPr>
                <w:rFonts w:hint="eastAsia"/>
              </w:rPr>
              <w:t>工程</w:t>
            </w:r>
          </w:p>
          <w:p>
            <w:pPr>
              <w:pStyle w:val="42"/>
              <w:ind w:firstLine="480"/>
            </w:pPr>
            <w:r>
              <w:t>三位一体原生态修复系统以人工恢复水体自然净化能力为理念，针对水体中营养丰富、水体透明度低，易产生藻类及沉水植物难以生长等水体存在的问题，采用净藻微生物种群为先导，通过食物链转化，抑制藻类发生，改善透明度、逐步恢复以沉水植物和底栖生物等为代表的较为完善水体生态系统，具体如下：</w:t>
            </w:r>
          </w:p>
          <w:p>
            <w:pPr>
              <w:pStyle w:val="42"/>
              <w:ind w:firstLine="480"/>
            </w:pPr>
            <w:r>
              <w:t xml:space="preserve"> 第一步：净藻生物种群摄食消化水中的藻类、有机颗粒和悬浮物，同时产生弱酸性的排泄物，进一步抑制水体藻类的生长。</w:t>
            </w:r>
          </w:p>
          <w:p>
            <w:pPr>
              <w:pStyle w:val="42"/>
              <w:ind w:firstLine="480"/>
            </w:pPr>
            <w:r>
              <w:t>第二步：水体藻类和悬浮物减少消失后，水体透明度增加，光照进入水底，促进水底沉水植物的生长，并与净藻生物种群形成良好的共生关系。沉水植物可吸收大量水体中过多的氮磷等富营养物质；促进氮的硝化/反硝化及磷的沉降；形成水下森林抑制底质再悬浮等多种途径达到水体生态自净能力。</w:t>
            </w:r>
          </w:p>
          <w:p>
            <w:pPr>
              <w:pStyle w:val="42"/>
              <w:ind w:firstLine="480"/>
            </w:pPr>
            <w:r>
              <w:t xml:space="preserve"> 第三步：水生植物恢复后，由净藻生物种群携带有益微生物向水体底部扩散，促进底泥氧化还原电位升高，有利于水生昆虫和水生底栖生物的大量滋生，在水生植物共生作用下，形成底泥营养物质的封存和生态链自净（物质能量的逐步吸收转化）。再逐步向水体中引入螺、贝、鱼、虾类等高级水生动物，浮游动物和水生植物又可以被鱼、虾、螺、贝等高级水生动物吃掉，通过食物链把水体水中的氮、磷营养物质从水体当中转移出去，彻底降低水体中的富营养化程度，长久维持景观水体水质。</w:t>
            </w:r>
          </w:p>
          <w:p>
            <w:pPr>
              <w:pStyle w:val="42"/>
              <w:ind w:firstLine="0" w:firstLineChars="0"/>
            </w:pPr>
            <w:r>
              <w:drawing>
                <wp:inline distT="0" distB="0" distL="114300" distR="114300">
                  <wp:extent cx="5215255" cy="3521710"/>
                  <wp:effectExtent l="0" t="0" r="4445" b="0"/>
                  <wp:docPr id="51"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72"/>
                          <pic:cNvPicPr>
                            <a:picLocks noChangeAspect="1"/>
                          </pic:cNvPicPr>
                        </pic:nvPicPr>
                        <pic:blipFill>
                          <a:blip r:embed="rId12"/>
                          <a:stretch>
                            <a:fillRect/>
                          </a:stretch>
                        </pic:blipFill>
                        <pic:spPr>
                          <a:xfrm>
                            <a:off x="0" y="0"/>
                            <a:ext cx="5275107" cy="3562306"/>
                          </a:xfrm>
                          <a:prstGeom prst="rect">
                            <a:avLst/>
                          </a:prstGeom>
                          <a:noFill/>
                          <a:ln>
                            <a:noFill/>
                          </a:ln>
                        </pic:spPr>
                      </pic:pic>
                    </a:graphicData>
                  </a:graphic>
                </wp:inline>
              </w:drawing>
            </w:r>
          </w:p>
          <w:p>
            <w:pPr>
              <w:pStyle w:val="38"/>
            </w:pPr>
            <w:r>
              <w:rPr>
                <w:rFonts w:hint="eastAsia"/>
              </w:rPr>
              <w:t xml:space="preserve">图2-4 </w:t>
            </w:r>
            <w:r>
              <w:t>三位一体原生态修复步骤图</w:t>
            </w:r>
          </w:p>
          <w:p>
            <w:pPr>
              <w:pStyle w:val="42"/>
              <w:ind w:firstLine="480"/>
            </w:pPr>
            <w:r>
              <w:t>主要污染工序：</w:t>
            </w:r>
          </w:p>
          <w:p>
            <w:pPr>
              <w:pStyle w:val="42"/>
              <w:ind w:firstLine="480"/>
            </w:pPr>
            <w:r>
              <w:t>本工程属于生态治理类项目，污染主要在施工期。本项目施工期对环境的影响主要表现为施工扬尘、施工机械及车辆废气、道路恢复路面产生的沥青烟气；施工人员生活污水、车辆冲洗废水；施工噪声；弃方、建筑垃圾、泥沙和施工人员的生活垃圾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583" w:hRule="atLeast"/>
          <w:jc w:val="center"/>
        </w:trPr>
        <w:tc>
          <w:tcPr>
            <w:tcW w:w="710" w:type="dxa"/>
            <w:vAlign w:val="center"/>
          </w:tcPr>
          <w:p>
            <w:pPr>
              <w:adjustRightInd w:val="0"/>
              <w:snapToGrid w:val="0"/>
              <w:jc w:val="center"/>
              <w:rPr>
                <w:rFonts w:hint="eastAsia"/>
              </w:rPr>
            </w:pPr>
            <w:r>
              <w:rPr>
                <w:rFonts w:hint="eastAsia"/>
              </w:rPr>
              <w:t>其他</w:t>
            </w:r>
          </w:p>
        </w:tc>
        <w:tc>
          <w:tcPr>
            <w:tcW w:w="8380" w:type="dxa"/>
            <w:vAlign w:val="center"/>
          </w:tcPr>
          <w:p>
            <w:pPr>
              <w:adjustRightInd w:val="0"/>
              <w:snapToGrid w:val="0"/>
              <w:ind w:firstLine="480"/>
              <w:jc w:val="center"/>
              <w:rPr>
                <w:rFonts w:hint="eastAsia"/>
              </w:rPr>
            </w:pPr>
            <w:r>
              <w:rPr>
                <w:rFonts w:hint="eastAsia"/>
              </w:rPr>
              <w:t>无</w:t>
            </w:r>
          </w:p>
        </w:tc>
      </w:tr>
    </w:tbl>
    <w:p>
      <w:pPr>
        <w:pStyle w:val="13"/>
        <w:ind w:firstLine="482"/>
        <w:jc w:val="center"/>
        <w:outlineLvl w:val="0"/>
        <w:rPr>
          <w:rFonts w:hint="eastAsia" w:ascii="黑体" w:hAnsi="黑体" w:eastAsia="黑体"/>
          <w:snapToGrid w:val="0"/>
          <w:sz w:val="30"/>
          <w:szCs w:val="30"/>
        </w:rPr>
      </w:pPr>
      <w:r>
        <w:rPr>
          <w:rFonts w:eastAsia="仿宋_GB2312"/>
          <w:b/>
          <w:bCs/>
        </w:rPr>
        <w:br w:type="page"/>
      </w:r>
      <w:r>
        <w:rPr>
          <w:rFonts w:hint="eastAsia" w:ascii="黑体" w:hAnsi="黑体" w:eastAsia="黑体"/>
          <w:snapToGrid w:val="0"/>
          <w:sz w:val="30"/>
          <w:szCs w:val="30"/>
        </w:rPr>
        <w:t>三、生态环境现状、保护目标及评价标准</w:t>
      </w:r>
    </w:p>
    <w:tbl>
      <w:tblPr>
        <w:tblStyle w:val="15"/>
        <w:tblW w:w="9157"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4"/>
        <w:gridCol w:w="825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012" w:hRule="atLeast"/>
          <w:jc w:val="center"/>
        </w:trPr>
        <w:tc>
          <w:tcPr>
            <w:tcW w:w="904" w:type="dxa"/>
            <w:vAlign w:val="center"/>
          </w:tcPr>
          <w:p>
            <w:pPr>
              <w:adjustRightInd w:val="0"/>
              <w:snapToGrid w:val="0"/>
              <w:jc w:val="center"/>
              <w:rPr>
                <w:rFonts w:hint="eastAsia"/>
              </w:rPr>
            </w:pPr>
            <w:r>
              <w:rPr>
                <w:rFonts w:hint="eastAsia"/>
              </w:rPr>
              <w:t>生态环境现状</w:t>
            </w:r>
          </w:p>
        </w:tc>
        <w:tc>
          <w:tcPr>
            <w:tcW w:w="8253" w:type="dxa"/>
            <w:vAlign w:val="center"/>
          </w:tcPr>
          <w:p>
            <w:pPr>
              <w:pStyle w:val="40"/>
              <w:ind w:firstLine="482"/>
            </w:pPr>
            <w:r>
              <w:rPr>
                <w:rFonts w:hint="eastAsia"/>
              </w:rPr>
              <w:t>1、生态环境现状</w:t>
            </w:r>
          </w:p>
          <w:p>
            <w:pPr>
              <w:pStyle w:val="40"/>
              <w:ind w:firstLine="482"/>
            </w:pPr>
            <w:r>
              <w:rPr>
                <w:rFonts w:hint="eastAsia"/>
              </w:rPr>
              <w:t>1.1主体功能区划</w:t>
            </w:r>
          </w:p>
          <w:p>
            <w:pPr>
              <w:pStyle w:val="42"/>
              <w:ind w:firstLine="480"/>
            </w:pPr>
            <w:r>
              <w:rPr>
                <w:rFonts w:hint="eastAsia"/>
              </w:rPr>
              <w:t>该规划基于全省不同区域的资源环境承载能力、现有开发强度和未来发展潜力，以是否适宜或如何进行大规模高强度工业化城镇化开发为基准</w:t>
            </w:r>
            <w:r>
              <w:t>,</w:t>
            </w:r>
            <w:r>
              <w:rPr>
                <w:rFonts w:hint="eastAsia"/>
              </w:rPr>
              <w:t>将全省国土空间划分为重点开发区域、限制开发区域和禁止开发区域</w:t>
            </w:r>
            <w:r>
              <w:t>;</w:t>
            </w:r>
            <w:r>
              <w:rPr>
                <w:rFonts w:hint="eastAsia"/>
              </w:rPr>
              <w:t>按开发内容划分为城市化地区、农产品主产区和重点生态功能区</w:t>
            </w:r>
            <w:r>
              <w:t>;</w:t>
            </w:r>
            <w:r>
              <w:rPr>
                <w:rFonts w:hint="eastAsia"/>
              </w:rPr>
              <w:t>按层级分为国家和省级两个层面。同时，规划对其中的“开发进行了专门定义，即特指大规模高强度的工业化城镇化开发。限制开发，特指限制大规模高强度的工业化城镇化开发，并不是限制所有的开发活动。对农产品主产区，要限制大规模高强度的工业化城镇化开发，但仍要鼓励农业开发</w:t>
            </w:r>
            <w:r>
              <w:t>;</w:t>
            </w:r>
            <w:r>
              <w:rPr>
                <w:rFonts w:hint="eastAsia"/>
              </w:rPr>
              <w:t>对重点生态功能区，要限制大规模高强度的工业化城镇化开发，但仍允许一定程度的能源和矿产资源开发。</w:t>
            </w:r>
          </w:p>
          <w:p>
            <w:pPr>
              <w:pStyle w:val="40"/>
              <w:ind w:firstLine="0" w:firstLineChars="0"/>
              <w:jc w:val="center"/>
            </w:pPr>
            <w:r>
              <w:drawing>
                <wp:inline distT="0" distB="0" distL="0" distR="0">
                  <wp:extent cx="4626610" cy="3633470"/>
                  <wp:effectExtent l="0" t="0" r="2540" b="5080"/>
                  <wp:docPr id="10063442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344212" name="图片 9"/>
                          <pic:cNvPicPr>
                            <a:picLocks noChangeAspect="1"/>
                          </pic:cNvPicPr>
                        </pic:nvPicPr>
                        <pic:blipFill>
                          <a:blip r:embed="rId13"/>
                          <a:stretch>
                            <a:fillRect/>
                          </a:stretch>
                        </pic:blipFill>
                        <pic:spPr>
                          <a:xfrm>
                            <a:off x="0" y="0"/>
                            <a:ext cx="4644952" cy="3647996"/>
                          </a:xfrm>
                          <a:prstGeom prst="rect">
                            <a:avLst/>
                          </a:prstGeom>
                        </pic:spPr>
                      </pic:pic>
                    </a:graphicData>
                  </a:graphic>
                </wp:inline>
              </w:drawing>
            </w:r>
          </w:p>
          <w:p>
            <w:pPr>
              <w:pStyle w:val="38"/>
            </w:pPr>
            <w:r>
              <w:t>图3-1 本项目与四川省主体功能区划分关系图</w:t>
            </w:r>
          </w:p>
          <w:p>
            <w:pPr>
              <w:pStyle w:val="42"/>
              <w:ind w:firstLine="480"/>
            </w:pPr>
            <w:r>
              <w:t>根据四川省主体功能区划分区结果，本项目位于</w:t>
            </w:r>
            <w:r>
              <w:rPr>
                <w:rFonts w:hint="eastAsia"/>
              </w:rPr>
              <w:t>国家层面限制开发的农产品主产区</w:t>
            </w:r>
            <w:r>
              <w:t>。</w:t>
            </w:r>
          </w:p>
          <w:p>
            <w:pPr>
              <w:pStyle w:val="42"/>
              <w:ind w:firstLine="480"/>
            </w:pPr>
            <w:r>
              <w:rPr>
                <w:rFonts w:hint="eastAsia"/>
              </w:rPr>
              <w:t>国家层面限制开发的农产品主产区是指具备较好的农业生产条件，以提供农产品为主体功能，以提供生态产品、服务产品和工业品为其他功能，需要在国土空间开发中限制进行大规模高强度工业化城镇化开发，以保持并提高农产品生产能力的区域。</w:t>
            </w:r>
          </w:p>
          <w:p>
            <w:pPr>
              <w:pStyle w:val="42"/>
              <w:ind w:firstLine="480"/>
            </w:pPr>
            <w:r>
              <w:rPr>
                <w:rFonts w:hint="eastAsia"/>
              </w:rPr>
              <w:t>该区域的功能定位是：保障农产品供给安全的重要区域，农村居民安居乐业的美好家园，社会主义新农村建设的示范区。</w:t>
            </w:r>
          </w:p>
          <w:p>
            <w:pPr>
              <w:pStyle w:val="42"/>
              <w:ind w:firstLine="480"/>
            </w:pPr>
            <w:r>
              <w:rPr>
                <w:rFonts w:hint="eastAsia"/>
              </w:rPr>
              <w:t>农产品主产区应着力保护耕地，稳定粮食生产，发展现代农业，增强农业综合生产能力，增加农民收入，加快建设社会主义新农村，保障农产品供给，确保国家粮食安全和食物安全。发展方向和开发原则是：</w:t>
            </w:r>
          </w:p>
          <w:p>
            <w:pPr>
              <w:pStyle w:val="42"/>
              <w:ind w:firstLine="480"/>
            </w:pPr>
            <w:r>
              <w:rPr>
                <w:rFonts w:hint="eastAsia"/>
              </w:rPr>
              <w:t>——加强土地整治，搞好规划、统筹安排、连片推进，加快中低产田改造，推进连片标准粮田建设。鼓励农民开展土壤改良。</w:t>
            </w:r>
          </w:p>
          <w:p>
            <w:pPr>
              <w:pStyle w:val="42"/>
              <w:ind w:firstLine="480"/>
            </w:pPr>
            <w:r>
              <w:rPr>
                <w:rFonts w:hint="eastAsia"/>
              </w:rPr>
              <w:t>——加强水利设施建设，加快大中型灌区、排灌泵站配套改造以及水源工程建设。鼓励和支持农民开展小型农田水利设施建设、小流域综合治理。建设节水农业，推广节水灌溉，发展旱作农业。</w:t>
            </w:r>
          </w:p>
          <w:p>
            <w:pPr>
              <w:pStyle w:val="42"/>
              <w:ind w:firstLine="480"/>
            </w:pPr>
            <w:r>
              <w:rPr>
                <w:rFonts w:hint="eastAsia"/>
              </w:rPr>
              <w:t>——优化农业生产布局和品种结构，搞好农业布局规划，科学确定不同区域农业发展重点，形成优势突出和特色鲜明的产业带。</w:t>
            </w:r>
          </w:p>
          <w:p>
            <w:pPr>
              <w:pStyle w:val="42"/>
              <w:ind w:firstLine="480"/>
            </w:pPr>
            <w:r>
              <w:rPr>
                <w:rFonts w:hint="eastAsia"/>
              </w:rPr>
              <w:t>——国家支持农产品主产区加强农产品加工、流通、储运设施建设，引导农产品加工、流通、储运企业向主产区聚集。</w:t>
            </w:r>
          </w:p>
          <w:p>
            <w:pPr>
              <w:pStyle w:val="42"/>
              <w:ind w:firstLine="480"/>
            </w:pPr>
            <w:r>
              <w:rPr>
                <w:rFonts w:hint="eastAsia"/>
              </w:rPr>
              <w:t>——粮食主产区要进一步提高生产能力，主销区和产销平衡区要稳定粮食自给水平。根据粮食产销格局变化，加大对粮食主产区的扶持力度，集中力量建设一批基础条件好、生产水平高、调出量大的粮食生产核心区。在保护生态前提下，开发资源有优势、增产有潜力的粮食生产后备区。</w:t>
            </w:r>
          </w:p>
          <w:p>
            <w:pPr>
              <w:pStyle w:val="42"/>
              <w:ind w:firstLine="480"/>
            </w:pPr>
            <w:r>
              <w:rPr>
                <w:rFonts w:hint="eastAsia"/>
              </w:rPr>
              <w:t>——大力发展油料生产，鼓励发挥优势，发展棉花、糖料生产，着力提高品质和单产。转变养殖业发展方式，推进规模化和标准化，促进畜牧和水产品的稳定增产。</w:t>
            </w:r>
          </w:p>
          <w:p>
            <w:pPr>
              <w:pStyle w:val="42"/>
              <w:ind w:firstLine="480"/>
            </w:pPr>
            <w:r>
              <w:rPr>
                <w:rFonts w:hint="eastAsia"/>
              </w:rPr>
              <w:t>——在复合产业带内，要处理好多种农产品协调发展的关系，根据不同产品的特点和相互影响，合理确定发展方向和发展途径。</w:t>
            </w:r>
          </w:p>
          <w:p>
            <w:pPr>
              <w:pStyle w:val="42"/>
              <w:ind w:firstLine="480"/>
            </w:pPr>
            <w:r>
              <w:rPr>
                <w:rFonts w:hint="eastAsia"/>
              </w:rPr>
              <w:t>——控制农产品主产区开发强度，优化开发方式，发展循环农业，促进农业资源的永续利用。鼓励和支持农产品、畜产品、水产品加工副产物的综合利用。加强农业面源污染防治。</w:t>
            </w:r>
          </w:p>
          <w:p>
            <w:pPr>
              <w:pStyle w:val="42"/>
              <w:ind w:firstLine="480"/>
            </w:pPr>
            <w:r>
              <w:rPr>
                <w:rFonts w:hint="eastAsia"/>
              </w:rPr>
              <w:t>——加强农业基础设施建设，改善农业生产条件。加快农业科技进步和创新，提高农业物质技术装备水平。强化农业防灾减灾能力建设。</w:t>
            </w:r>
          </w:p>
          <w:p>
            <w:pPr>
              <w:pStyle w:val="42"/>
              <w:ind w:firstLine="480"/>
            </w:pPr>
            <w:r>
              <w:rPr>
                <w:rFonts w:hint="eastAsia"/>
              </w:rPr>
              <w:t>——积极推进农业的规模化、产业化，发展农产品深加工，拓展农村就业和增收空间。</w:t>
            </w:r>
          </w:p>
          <w:p>
            <w:pPr>
              <w:pStyle w:val="42"/>
              <w:ind w:firstLine="480"/>
            </w:pPr>
            <w:r>
              <w:rPr>
                <w:rFonts w:hint="eastAsia"/>
              </w:rPr>
              <w:t>——以县城为重点推进城镇建设和非农产业发展，加强县城和乡镇公共服务设施建设，完善小城镇公共服务和居住功能。</w:t>
            </w:r>
          </w:p>
          <w:p>
            <w:pPr>
              <w:pStyle w:val="42"/>
              <w:ind w:firstLine="480"/>
            </w:pPr>
            <w:r>
              <w:rPr>
                <w:rFonts w:hint="eastAsia"/>
              </w:rPr>
              <w:t>——农村居民点以及农村基础设施和公共服务设施的建设，要统筹考虑人口迁移等因素，适度集中、集约布局。</w:t>
            </w:r>
          </w:p>
          <w:p>
            <w:pPr>
              <w:pStyle w:val="40"/>
              <w:ind w:firstLine="482"/>
            </w:pPr>
            <w:r>
              <w:rPr>
                <w:rFonts w:hint="eastAsia"/>
              </w:rPr>
              <w:t>1</w:t>
            </w:r>
            <w:r>
              <w:t>.2</w:t>
            </w:r>
            <w:r>
              <w:rPr>
                <w:rFonts w:hint="eastAsia"/>
              </w:rPr>
              <w:t>生态功能区划分</w:t>
            </w:r>
          </w:p>
          <w:p>
            <w:pPr>
              <w:pStyle w:val="42"/>
              <w:ind w:firstLine="480"/>
            </w:pPr>
            <w:r>
              <w:rPr>
                <w:rFonts w:hint="eastAsia"/>
              </w:rPr>
              <w:t>本项目位于四川省遂宁市蓬溪县，根据《四川省生态功能区划</w:t>
            </w:r>
            <w:r>
              <w:t>(</w:t>
            </w:r>
            <w:r>
              <w:rPr>
                <w:rFonts w:hint="eastAsia"/>
              </w:rPr>
              <w:t>川府函</w:t>
            </w:r>
            <w:r>
              <w:t>(2006)100</w:t>
            </w:r>
            <w:r>
              <w:rPr>
                <w:rFonts w:hint="eastAsia"/>
              </w:rPr>
              <w:t>号</w:t>
            </w:r>
            <w:r>
              <w:t>)</w:t>
            </w:r>
            <w:r>
              <w:rPr>
                <w:rFonts w:hint="eastAsia"/>
              </w:rPr>
              <w:t>》</w:t>
            </w:r>
            <w:r>
              <w:t>(2010</w:t>
            </w:r>
            <w:r>
              <w:rPr>
                <w:rFonts w:hint="eastAsia"/>
              </w:rPr>
              <w:t>版</w:t>
            </w:r>
            <w:r>
              <w:t>)</w:t>
            </w:r>
            <w:r>
              <w:rPr>
                <w:rFonts w:hint="eastAsia"/>
              </w:rPr>
              <w:t>，本项目所在区域属四川省生态功能区划中的</w:t>
            </w:r>
            <w:r>
              <w:t>:</w:t>
            </w:r>
            <w:r>
              <w:rPr>
                <w:rFonts w:hint="eastAsia"/>
              </w:rPr>
              <w:t>“本项目所在区域属于四川盆地亚热带湿润气候生态-盆中丘陵农林复合生态亚区-涪江中下游农业生态功能区。”</w:t>
            </w:r>
          </w:p>
          <w:p>
            <w:pPr>
              <w:pStyle w:val="42"/>
              <w:ind w:firstLine="480"/>
            </w:pPr>
            <w:r>
              <w:rPr>
                <w:rFonts w:hint="eastAsia"/>
              </w:rPr>
              <w:t>项目区生态功能区划三级特征见下表。</w:t>
            </w:r>
          </w:p>
          <w:p>
            <w:pPr>
              <w:pStyle w:val="38"/>
            </w:pPr>
            <w:r>
              <w:t>表3-1 生态功能区特征一览表</w:t>
            </w:r>
          </w:p>
          <w:tbl>
            <w:tblPr>
              <w:tblStyle w:val="15"/>
              <w:tblW w:w="8037"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628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jc w:val="center"/>
              </w:trPr>
              <w:tc>
                <w:tcPr>
                  <w:tcW w:w="1748" w:type="dxa"/>
                  <w:shd w:val="clear" w:color="auto" w:fill="auto"/>
                  <w:vAlign w:val="center"/>
                </w:tcPr>
                <w:p>
                  <w:pPr>
                    <w:pStyle w:val="36"/>
                  </w:pPr>
                  <w:r>
                    <w:rPr>
                      <w:rFonts w:hint="eastAsia"/>
                    </w:rPr>
                    <w:t>生态区</w:t>
                  </w:r>
                </w:p>
              </w:tc>
              <w:tc>
                <w:tcPr>
                  <w:tcW w:w="6289" w:type="dxa"/>
                  <w:shd w:val="clear" w:color="auto" w:fill="auto"/>
                  <w:vAlign w:val="center"/>
                </w:tcPr>
                <w:p>
                  <w:pPr>
                    <w:pStyle w:val="36"/>
                  </w:pPr>
                  <w:r>
                    <w:rPr>
                      <w:rFonts w:hint="eastAsia"/>
                    </w:rPr>
                    <w:t>I 四川盆地亚热带湿润气候生态</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60" w:hRule="atLeast"/>
                <w:jc w:val="center"/>
              </w:trPr>
              <w:tc>
                <w:tcPr>
                  <w:tcW w:w="1748" w:type="dxa"/>
                  <w:shd w:val="clear" w:color="auto" w:fill="auto"/>
                  <w:vAlign w:val="center"/>
                </w:tcPr>
                <w:p>
                  <w:pPr>
                    <w:pStyle w:val="36"/>
                  </w:pPr>
                  <w:r>
                    <w:rPr>
                      <w:rFonts w:hint="eastAsia"/>
                    </w:rPr>
                    <w:t>生态亚区</w:t>
                  </w:r>
                </w:p>
              </w:tc>
              <w:tc>
                <w:tcPr>
                  <w:tcW w:w="6289" w:type="dxa"/>
                  <w:shd w:val="clear" w:color="auto" w:fill="auto"/>
                  <w:vAlign w:val="center"/>
                </w:tcPr>
                <w:p>
                  <w:pPr>
                    <w:pStyle w:val="36"/>
                  </w:pPr>
                  <w:r>
                    <w:rPr>
                      <w:rFonts w:hint="eastAsia"/>
                    </w:rPr>
                    <w:t>I-2 盆中丘陵农林复合生态亚区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jc w:val="center"/>
              </w:trPr>
              <w:tc>
                <w:tcPr>
                  <w:tcW w:w="1748" w:type="dxa"/>
                  <w:shd w:val="clear" w:color="auto" w:fill="auto"/>
                  <w:vAlign w:val="center"/>
                </w:tcPr>
                <w:p>
                  <w:pPr>
                    <w:pStyle w:val="36"/>
                  </w:pPr>
                  <w:r>
                    <w:rPr>
                      <w:rFonts w:hint="eastAsia"/>
                    </w:rPr>
                    <w:t>生态功能区</w:t>
                  </w:r>
                </w:p>
              </w:tc>
              <w:tc>
                <w:tcPr>
                  <w:tcW w:w="6289" w:type="dxa"/>
                  <w:shd w:val="clear" w:color="auto" w:fill="auto"/>
                  <w:vAlign w:val="center"/>
                </w:tcPr>
                <w:p>
                  <w:pPr>
                    <w:pStyle w:val="36"/>
                  </w:pPr>
                  <w:r>
                    <w:rPr>
                      <w:rFonts w:hint="eastAsia"/>
                    </w:rPr>
                    <w:t>I-2-4 涪江中下游城镇-农业生态功能区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jc w:val="center"/>
              </w:trPr>
              <w:tc>
                <w:tcPr>
                  <w:tcW w:w="1748" w:type="dxa"/>
                  <w:shd w:val="clear" w:color="auto" w:fill="auto"/>
                  <w:vAlign w:val="center"/>
                </w:tcPr>
                <w:p>
                  <w:pPr>
                    <w:pStyle w:val="36"/>
                  </w:pPr>
                  <w:r>
                    <w:rPr>
                      <w:rFonts w:hint="eastAsia"/>
                    </w:rPr>
                    <w:t>所在区域与面积</w:t>
                  </w:r>
                </w:p>
              </w:tc>
              <w:tc>
                <w:tcPr>
                  <w:tcW w:w="6289" w:type="dxa"/>
                  <w:shd w:val="clear" w:color="auto" w:fill="auto"/>
                  <w:vAlign w:val="center"/>
                </w:tcPr>
                <w:p>
                  <w:pPr>
                    <w:pStyle w:val="36"/>
                  </w:pPr>
                  <w:r>
                    <w:rPr>
                      <w:rFonts w:hint="eastAsia"/>
                    </w:rPr>
                    <w:t>在四川盆地中西部，跨绵阳、德阳、遂宁、资阳市的12个县级行政区。面积21.45万平方公里。</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000" w:hRule="atLeast"/>
                <w:jc w:val="center"/>
              </w:trPr>
              <w:tc>
                <w:tcPr>
                  <w:tcW w:w="1748" w:type="dxa"/>
                  <w:shd w:val="clear" w:color="auto" w:fill="auto"/>
                  <w:vAlign w:val="center"/>
                </w:tcPr>
                <w:p>
                  <w:pPr>
                    <w:pStyle w:val="36"/>
                  </w:pPr>
                  <w:r>
                    <w:rPr>
                      <w:rFonts w:hint="eastAsia"/>
                    </w:rPr>
                    <w:t>典型生态系统</w:t>
                  </w:r>
                </w:p>
              </w:tc>
              <w:tc>
                <w:tcPr>
                  <w:tcW w:w="6289" w:type="dxa"/>
                  <w:shd w:val="clear" w:color="auto" w:fill="auto"/>
                  <w:vAlign w:val="center"/>
                </w:tcPr>
                <w:p>
                  <w:pPr>
                    <w:pStyle w:val="36"/>
                  </w:pPr>
                  <w:r>
                    <w:rPr>
                      <w:rFonts w:hint="eastAsia"/>
                    </w:rPr>
                    <w:t>农田、城市和水生态系统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jc w:val="center"/>
              </w:trPr>
              <w:tc>
                <w:tcPr>
                  <w:tcW w:w="1748" w:type="dxa"/>
                  <w:shd w:val="clear" w:color="auto" w:fill="auto"/>
                  <w:vAlign w:val="center"/>
                </w:tcPr>
                <w:p>
                  <w:pPr>
                    <w:pStyle w:val="36"/>
                  </w:pPr>
                  <w:r>
                    <w:rPr>
                      <w:rFonts w:hint="eastAsia"/>
                    </w:rPr>
                    <w:t>主要生态问题</w:t>
                  </w:r>
                </w:p>
              </w:tc>
              <w:tc>
                <w:tcPr>
                  <w:tcW w:w="6289" w:type="dxa"/>
                  <w:shd w:val="clear" w:color="auto" w:fill="auto"/>
                  <w:vAlign w:val="center"/>
                </w:tcPr>
                <w:p>
                  <w:pPr>
                    <w:pStyle w:val="36"/>
                  </w:pPr>
                  <w:r>
                    <w:rPr>
                      <w:rFonts w:hint="eastAsia"/>
                    </w:rPr>
                    <w:t>森林覆盖率低，水土流失，耕地垦殖过度，农村面源污染，旱灾频发。</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60" w:hRule="atLeast"/>
                <w:jc w:val="center"/>
              </w:trPr>
              <w:tc>
                <w:tcPr>
                  <w:tcW w:w="1748" w:type="dxa"/>
                  <w:shd w:val="clear" w:color="auto" w:fill="auto"/>
                  <w:vAlign w:val="center"/>
                </w:tcPr>
                <w:p>
                  <w:pPr>
                    <w:pStyle w:val="36"/>
                  </w:pPr>
                  <w:r>
                    <w:rPr>
                      <w:rFonts w:hint="eastAsia"/>
                    </w:rPr>
                    <w:t>生态环境敏感性</w:t>
                  </w:r>
                </w:p>
              </w:tc>
              <w:tc>
                <w:tcPr>
                  <w:tcW w:w="6289" w:type="dxa"/>
                  <w:shd w:val="clear" w:color="auto" w:fill="auto"/>
                  <w:vAlign w:val="center"/>
                </w:tcPr>
                <w:p>
                  <w:pPr>
                    <w:pStyle w:val="36"/>
                  </w:pPr>
                  <w:r>
                    <w:rPr>
                      <w:rFonts w:hint="eastAsia"/>
                    </w:rPr>
                    <w:t xml:space="preserve"> 土壤侵蚀中度敏感，水环境污染高度敏感，酸雨轻度敏感。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60" w:hRule="atLeast"/>
                <w:jc w:val="center"/>
              </w:trPr>
              <w:tc>
                <w:tcPr>
                  <w:tcW w:w="1748" w:type="dxa"/>
                  <w:shd w:val="clear" w:color="auto" w:fill="auto"/>
                  <w:vAlign w:val="center"/>
                </w:tcPr>
                <w:p>
                  <w:pPr>
                    <w:pStyle w:val="36"/>
                  </w:pPr>
                  <w:r>
                    <w:rPr>
                      <w:rFonts w:hint="eastAsia"/>
                    </w:rPr>
                    <w:t>生态服务功能重要性</w:t>
                  </w:r>
                </w:p>
              </w:tc>
              <w:tc>
                <w:tcPr>
                  <w:tcW w:w="6289" w:type="dxa"/>
                  <w:shd w:val="clear" w:color="auto" w:fill="auto"/>
                  <w:vAlign w:val="center"/>
                </w:tcPr>
                <w:p>
                  <w:pPr>
                    <w:pStyle w:val="36"/>
                  </w:pPr>
                  <w:r>
                    <w:rPr>
                      <w:rFonts w:hint="eastAsia"/>
                    </w:rPr>
                    <w:t>城镇与农业发展，水环境污染控制，洪水调蓄。</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602" w:hRule="atLeast"/>
                <w:jc w:val="center"/>
              </w:trPr>
              <w:tc>
                <w:tcPr>
                  <w:tcW w:w="1748" w:type="dxa"/>
                  <w:shd w:val="clear" w:color="auto" w:fill="auto"/>
                  <w:vAlign w:val="center"/>
                </w:tcPr>
                <w:p>
                  <w:pPr>
                    <w:pStyle w:val="36"/>
                  </w:pPr>
                  <w:r>
                    <w:rPr>
                      <w:rFonts w:hint="eastAsia"/>
                    </w:rPr>
                    <w:t>生态建设与发展方向</w:t>
                  </w:r>
                </w:p>
              </w:tc>
              <w:tc>
                <w:tcPr>
                  <w:tcW w:w="6289" w:type="dxa"/>
                  <w:shd w:val="clear" w:color="auto" w:fill="auto"/>
                  <w:vAlign w:val="center"/>
                </w:tcPr>
                <w:p>
                  <w:pPr>
                    <w:pStyle w:val="36"/>
                  </w:pPr>
                  <w:r>
                    <w:rPr>
                      <w:rFonts w:hint="eastAsia"/>
                    </w:rPr>
                    <w:t>发挥中心城市辐射作用，改善人居环境和投资环境。加强水利设施建设，植树造林，增加保水功能；发展桑蚕养殖及其加工业，做好产业结构调整规划；加强环境保护管理，严防资源开发造成的环境污染和生态破坏。防治农村面源污染和地表径流水质污染</w:t>
                  </w:r>
                </w:p>
              </w:tc>
            </w:tr>
          </w:tbl>
          <w:p>
            <w:pPr>
              <w:pStyle w:val="42"/>
              <w:ind w:firstLine="480"/>
            </w:pPr>
            <w:r>
              <w:rPr>
                <w:kern w:val="2"/>
              </w:rPr>
              <w:t>本项目为防洪除涝工程，是防洪基础设施建设，加强山洪灾害防治，提高水旱灾害应对能力，不涉及珍稀动、植物的栖息地等生态敏感区，符合《四川省生态功能区划》</w:t>
            </w:r>
            <w:r>
              <w:t>相关要求。</w:t>
            </w:r>
          </w:p>
          <w:p>
            <w:pPr>
              <w:pStyle w:val="40"/>
              <w:ind w:firstLine="482"/>
            </w:pPr>
            <w:r>
              <w:t xml:space="preserve">1.3 </w:t>
            </w:r>
            <w:r>
              <w:rPr>
                <w:rFonts w:hint="eastAsia"/>
              </w:rPr>
              <w:t>生态敏感区</w:t>
            </w:r>
          </w:p>
          <w:p>
            <w:pPr>
              <w:pStyle w:val="42"/>
              <w:ind w:firstLine="480"/>
            </w:pPr>
            <w:r>
              <w:rPr>
                <w:rFonts w:hint="eastAsia"/>
              </w:rPr>
              <w:t>根据中华人民共和国生态环境部网站公布的《全国自然保护区名录》、四川省生态环境厅网站公布的《四川省自然保护区名录》、四川省住房城乡建设厅网站公布的《四川省及各市风景名胜区名录》、四川省人民政府网站公布的《四川省人民政府办公厅关于公布四川省林业地方级自然保护区名录的通知》(川办函(2013)109号)、文物保护单位等资料和当地林业部门核实，本项目不涉及国家公园、自然保护区、自然公园等自然保护地、世界自然遗产、生态保护红线等区域，不涉及重要物种的天然集中分布区、栖息地、重要水生生物的产卵场、索饵场、越冬场和洄游通道，迁徙鸟类的重要繁殖地、停歇地、越冬地以及野生动物迁徙通道等重要生境等生态敏感区。</w:t>
            </w:r>
          </w:p>
          <w:p>
            <w:pPr>
              <w:pStyle w:val="42"/>
              <w:ind w:firstLine="482"/>
              <w:rPr>
                <w:b/>
                <w:bCs/>
              </w:rPr>
            </w:pPr>
            <w:r>
              <w:rPr>
                <w:rFonts w:hint="eastAsia"/>
                <w:b/>
                <w:bCs/>
              </w:rPr>
              <w:t>1.4</w:t>
            </w:r>
            <w:r>
              <w:rPr>
                <w:b/>
                <w:bCs/>
              </w:rPr>
              <w:t>评价区植被分布现状</w:t>
            </w:r>
          </w:p>
          <w:p>
            <w:pPr>
              <w:pStyle w:val="42"/>
              <w:ind w:firstLine="480"/>
            </w:pPr>
            <w:r>
              <w:rPr>
                <w:rFonts w:hint="eastAsia"/>
              </w:rPr>
              <w:t>本项目所在地区属于平原地区，本项目评价范围内植被属于“亚热带常绿阔叶林区—川东盆地及川西南山地常绿阔叶林地带一盆地底部丘陵低山植被地区—川中方山丘陵植被小区”该区自然植被组合单纯，主要是马尾松林、柏木林、杉木林、次生灌丛和亚热带低山禾草草丛。接近川东平行低山的局部地区，保存有小片的常绿阔叶林。马尾松林多分布在丘陵顶部或山脊上的酸性黄壤上，为稀疏的纯林。灌木较少，以白、栎为主。草本有白茅、黄茅、细柄草、拟金茅和铁芒。局部</w:t>
            </w:r>
            <w:r>
              <w:rPr>
                <w:rFonts w:hint="eastAsia"/>
                <w:lang w:val="en-US" w:eastAsia="zh-CN"/>
              </w:rPr>
              <w:t>土</w:t>
            </w:r>
            <w:r>
              <w:rPr>
                <w:rFonts w:hint="eastAsia"/>
              </w:rPr>
              <w:t>层深厚的浅丘或低山半阳坡保存有较好的马尾松林，其中混生有麻标、皮。柏木林分布在钙质紫色土上，在土层深厚地段并混生有枫香、黄连木、棕榈、八角枫等植物。在土壤干旱而瘠薄地区，柏木多成疏林，散生有麻栎、栓皮栎等。灌木与草本植物有铁仔、马桑、黄荆、宜昌荚、白茅、蜈蚣草。在植被进一步遭到破坏后的基质裸露地段上则形成黄荆、马桑、火棘、小果蔷薇、荚、悬钩子、黄茅、香茅、白茅组成的亚热带草丛。在靠近平行岭谷和本小区南部局部沟谷地区仍保存有小片常绿阔叶林，由刺果米、小果润楠四川大头茶、黄杞、桢楠等组成。河流两岸的河漫滩上，有甜根子草、斑茅草本植物群落。</w:t>
            </w:r>
          </w:p>
          <w:p>
            <w:pPr>
              <w:pStyle w:val="42"/>
              <w:ind w:firstLine="480"/>
              <w:rPr>
                <w:b/>
                <w:bCs/>
              </w:rPr>
            </w:pPr>
            <w:r>
              <w:rPr>
                <w:rFonts w:hint="eastAsia"/>
              </w:rPr>
              <w:t>本项目区域栽培植被主要是水稻、玉米、红苕，其中以水稻为主，小春作物主要为小麦、豆类。</w:t>
            </w:r>
            <w:r>
              <w:rPr>
                <w:rFonts w:hint="eastAsia"/>
                <w:b/>
                <w:bCs/>
              </w:rPr>
              <w:t>根据《国家重点保护野生植物名录》《全国古树名木普查建档技术规定》《四川省重点保护野生植物名录》(2024)核实，在本项目生态环境评价区域内无珍稀濒危及国家和四川省重点保护的野生植物和古树名木分布，无重要野生植物生境分布。</w:t>
            </w:r>
          </w:p>
          <w:p>
            <w:pPr>
              <w:pStyle w:val="40"/>
              <w:ind w:firstLine="482"/>
            </w:pPr>
            <w:r>
              <w:rPr>
                <w:rFonts w:hint="eastAsia"/>
              </w:rPr>
              <w:t>1.5</w:t>
            </w:r>
            <w:r>
              <w:t>评价区动物分布现状</w:t>
            </w:r>
          </w:p>
          <w:p>
            <w:pPr>
              <w:pStyle w:val="42"/>
              <w:ind w:firstLine="480"/>
            </w:pPr>
            <w:r>
              <w:rPr>
                <w:rFonts w:hint="eastAsia"/>
              </w:rPr>
              <w:t>本项目所在区域人类活动频繁，区域内经常出没的动物为常见的小型野生动物主要有蛙燕子、麻雀、田鼠等。《四川两栖类原色图鉴》《四川鸟类原色图鉴》《四川爬行类原色图鉴》和《四川兽类原色图鉴》等相关资料以及根据《国家重点保护野生动物名录》(2021 版)《四川省重点保护野生动物名录》(2024 版)核实，在评价区域内无珍稀、濒危及国家和四川省重点保护野生动物分布，无重要野生动物生境分布。不涉及《中国生物多样性红色名录》中极危、濒危和易危的物种。</w:t>
            </w:r>
          </w:p>
          <w:p>
            <w:pPr>
              <w:pStyle w:val="40"/>
              <w:ind w:firstLine="482"/>
            </w:pPr>
            <w:r>
              <w:rPr>
                <w:rFonts w:hint="eastAsia"/>
              </w:rPr>
              <w:t>2、环境空气质量现状</w:t>
            </w:r>
          </w:p>
          <w:p>
            <w:pPr>
              <w:pStyle w:val="42"/>
              <w:ind w:firstLine="480"/>
            </w:pPr>
            <w:r>
              <w:rPr>
                <w:rFonts w:hint="eastAsia"/>
              </w:rPr>
              <w:t>本项目位于遂宁市蓬溪县，本次环境空气质量引用遂宁市生态环境局发布的《2023 年遂宁市环境质量公告》(https://ssthij.suining.gov,cn/xinwen/show/85382135c9504f913af70ad91d9dc551.htmml)中的数据来说明当地环境空气质量达标情况。具体如下:2023 年，遂宁市城区环境空气质量 119 天优、199 天良、43 天轻度污染、3 天中度污染、天重度污染，空气质量达标率为 87.1%，主要污染物 S0、NO2、PM10、PM5、CO 和 O;的年均值分别为 7.7 微克/立方米、24.6 微克/立方米、51.7 微克/立方米、30.0 微克/立方米、1.0毫克/立方米和 144.4 微克/立方米。同比 SO,、PMi和 O;浓度分别下降了 21.4%、4.3%和 1.1%NO2、PM2和 CO 浓度分别上升了 22.4%、0.7%和 11.1%。</w:t>
            </w:r>
          </w:p>
          <w:p>
            <w:pPr>
              <w:pStyle w:val="42"/>
              <w:ind w:firstLine="480"/>
            </w:pPr>
            <w:r>
              <w:rPr>
                <w:rFonts w:hint="eastAsia"/>
              </w:rPr>
              <w:t>综上，项目所在区域六项基本污染物均满足《环境空气质量标准》(GB3095-2012)中的级标准，属于达标区。本项目运营期无废气产生，不会对区域环境空气质量产生不利影响。</w:t>
            </w:r>
          </w:p>
          <w:p>
            <w:pPr>
              <w:pStyle w:val="42"/>
              <w:ind w:firstLine="482"/>
              <w:rPr>
                <w:b/>
                <w:bCs/>
              </w:rPr>
            </w:pPr>
            <w:r>
              <w:rPr>
                <w:rFonts w:hint="eastAsia"/>
                <w:b/>
                <w:bCs/>
              </w:rPr>
              <w:t>3、地表水环境质量现状</w:t>
            </w:r>
          </w:p>
          <w:p>
            <w:pPr>
              <w:pStyle w:val="42"/>
              <w:ind w:firstLine="480"/>
            </w:pPr>
            <w:r>
              <w:rPr>
                <w:rFonts w:hint="eastAsia"/>
              </w:rPr>
              <w:t>本项目所在区域属于涪江流域，本次地表水环境质量引用遂宁市生态环境局发布的《2023 年遂宁市环境质量公告》(https://ssthij.suining.gov,cn/xinwen/show/85382135c9504f913af70ad91d9dc551.html)中的数据来说明当地地表水环境质量现状。</w:t>
            </w:r>
          </w:p>
          <w:p>
            <w:pPr>
              <w:pStyle w:val="38"/>
            </w:pPr>
            <w:r>
              <w:rPr>
                <w:rFonts w:hint="eastAsia"/>
              </w:rPr>
              <w:t>表</w:t>
            </w:r>
            <w:r>
              <w:t>3-</w:t>
            </w:r>
            <w:r>
              <w:rPr>
                <w:rFonts w:hint="eastAsia"/>
              </w:rPr>
              <w:t>2</w:t>
            </w:r>
            <w:r>
              <w:t xml:space="preserve"> 2023</w:t>
            </w:r>
            <w:r>
              <w:rPr>
                <w:rFonts w:hint="eastAsia"/>
              </w:rPr>
              <w:t>年遂宁市河流水质评价结果表</w:t>
            </w:r>
          </w:p>
          <w:tbl>
            <w:tblPr>
              <w:tblStyle w:val="15"/>
              <w:tblW w:w="8037"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68"/>
              <w:gridCol w:w="1323"/>
              <w:gridCol w:w="1402"/>
              <w:gridCol w:w="879"/>
              <w:gridCol w:w="1412"/>
              <w:gridCol w:w="205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968" w:type="dxa"/>
                  <w:shd w:val="clear" w:color="auto" w:fill="auto"/>
                  <w:vAlign w:val="center"/>
                </w:tcPr>
                <w:p>
                  <w:pPr>
                    <w:pStyle w:val="36"/>
                  </w:pPr>
                  <w:r>
                    <w:rPr>
                      <w:rFonts w:hint="eastAsia"/>
                    </w:rPr>
                    <w:t>断面名称</w:t>
                  </w:r>
                </w:p>
              </w:tc>
              <w:tc>
                <w:tcPr>
                  <w:tcW w:w="1323" w:type="dxa"/>
                  <w:shd w:val="clear" w:color="auto" w:fill="auto"/>
                  <w:vAlign w:val="center"/>
                </w:tcPr>
                <w:p>
                  <w:pPr>
                    <w:pStyle w:val="36"/>
                  </w:pPr>
                  <w:r>
                    <w:rPr>
                      <w:rFonts w:hint="eastAsia"/>
                    </w:rPr>
                    <w:t>所在地</w:t>
                  </w:r>
                </w:p>
              </w:tc>
              <w:tc>
                <w:tcPr>
                  <w:tcW w:w="1402" w:type="dxa"/>
                  <w:shd w:val="clear" w:color="auto" w:fill="auto"/>
                  <w:vAlign w:val="center"/>
                </w:tcPr>
                <w:p>
                  <w:pPr>
                    <w:pStyle w:val="36"/>
                  </w:pPr>
                  <w:r>
                    <w:rPr>
                      <w:rFonts w:hint="eastAsia"/>
                    </w:rPr>
                    <w:t>断面类别</w:t>
                  </w:r>
                </w:p>
              </w:tc>
              <w:tc>
                <w:tcPr>
                  <w:tcW w:w="879" w:type="dxa"/>
                  <w:shd w:val="clear" w:color="auto" w:fill="auto"/>
                  <w:vAlign w:val="center"/>
                </w:tcPr>
                <w:p>
                  <w:pPr>
                    <w:pStyle w:val="36"/>
                  </w:pPr>
                  <w:r>
                    <w:rPr>
                      <w:rFonts w:hint="eastAsia"/>
                    </w:rPr>
                    <w:t>规定类别</w:t>
                  </w:r>
                </w:p>
              </w:tc>
              <w:tc>
                <w:tcPr>
                  <w:tcW w:w="1412" w:type="dxa"/>
                  <w:shd w:val="clear" w:color="auto" w:fill="auto"/>
                  <w:vAlign w:val="center"/>
                </w:tcPr>
                <w:p>
                  <w:pPr>
                    <w:pStyle w:val="36"/>
                  </w:pPr>
                  <w:r>
                    <w:rPr>
                      <w:rFonts w:hint="eastAsia"/>
                    </w:rPr>
                    <w:t>本年度类别</w:t>
                  </w:r>
                </w:p>
              </w:tc>
              <w:tc>
                <w:tcPr>
                  <w:tcW w:w="2053" w:type="dxa"/>
                  <w:shd w:val="clear" w:color="auto" w:fill="auto"/>
                  <w:vAlign w:val="center"/>
                </w:tcPr>
                <w:p>
                  <w:pPr>
                    <w:pStyle w:val="36"/>
                  </w:pPr>
                  <w:r>
                    <w:rPr>
                      <w:rFonts w:hint="eastAsia"/>
                    </w:rPr>
                    <w:t>主要污染指标/超标倍数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22" w:hRule="atLeast"/>
                <w:jc w:val="center"/>
              </w:trPr>
              <w:tc>
                <w:tcPr>
                  <w:tcW w:w="968" w:type="dxa"/>
                  <w:shd w:val="clear" w:color="auto" w:fill="auto"/>
                  <w:vAlign w:val="center"/>
                </w:tcPr>
                <w:p>
                  <w:pPr>
                    <w:pStyle w:val="36"/>
                  </w:pPr>
                  <w:r>
                    <w:rPr>
                      <w:rFonts w:hint="eastAsia"/>
                    </w:rPr>
                    <w:t>红江渡口</w:t>
                  </w:r>
                </w:p>
              </w:tc>
              <w:tc>
                <w:tcPr>
                  <w:tcW w:w="1323" w:type="dxa"/>
                  <w:shd w:val="clear" w:color="auto" w:fill="auto"/>
                  <w:vAlign w:val="center"/>
                </w:tcPr>
                <w:p>
                  <w:pPr>
                    <w:pStyle w:val="36"/>
                  </w:pPr>
                  <w:r>
                    <w:rPr>
                      <w:rFonts w:hint="eastAsia"/>
                    </w:rPr>
                    <w:t>蓬溪县</w:t>
                  </w:r>
                </w:p>
              </w:tc>
              <w:tc>
                <w:tcPr>
                  <w:tcW w:w="1402" w:type="dxa"/>
                  <w:shd w:val="clear" w:color="auto" w:fill="auto"/>
                  <w:vAlign w:val="center"/>
                </w:tcPr>
                <w:p>
                  <w:pPr>
                    <w:pStyle w:val="36"/>
                  </w:pPr>
                  <w:r>
                    <w:rPr>
                      <w:rFonts w:hint="eastAsia"/>
                    </w:rPr>
                    <w:t>国控</w:t>
                  </w:r>
                </w:p>
              </w:tc>
              <w:tc>
                <w:tcPr>
                  <w:tcW w:w="879" w:type="dxa"/>
                  <w:shd w:val="clear" w:color="auto" w:fill="auto"/>
                  <w:vAlign w:val="center"/>
                </w:tcPr>
                <w:p>
                  <w:pPr>
                    <w:pStyle w:val="36"/>
                  </w:pPr>
                  <w:r>
                    <w:rPr>
                      <w:rFonts w:hint="eastAsia"/>
                    </w:rPr>
                    <w:t>II</w:t>
                  </w:r>
                </w:p>
              </w:tc>
              <w:tc>
                <w:tcPr>
                  <w:tcW w:w="1412" w:type="dxa"/>
                  <w:shd w:val="clear" w:color="auto" w:fill="auto"/>
                  <w:vAlign w:val="center"/>
                </w:tcPr>
                <w:p>
                  <w:pPr>
                    <w:pStyle w:val="36"/>
                  </w:pPr>
                  <w:r>
                    <w:rPr>
                      <w:rFonts w:hint="eastAsia"/>
                    </w:rPr>
                    <w:t>π</w:t>
                  </w:r>
                </w:p>
              </w:tc>
              <w:tc>
                <w:tcPr>
                  <w:tcW w:w="2053" w:type="dxa"/>
                  <w:shd w:val="clear" w:color="auto" w:fill="auto"/>
                  <w:vAlign w:val="center"/>
                </w:tcPr>
                <w:p>
                  <w:pPr>
                    <w:pStyle w:val="36"/>
                  </w:pPr>
                  <w:r>
                    <w:rPr>
                      <w:rFonts w:hint="eastAsia"/>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jc w:val="center"/>
              </w:trPr>
              <w:tc>
                <w:tcPr>
                  <w:tcW w:w="968" w:type="dxa"/>
                  <w:shd w:val="clear" w:color="auto" w:fill="auto"/>
                  <w:vAlign w:val="center"/>
                </w:tcPr>
                <w:p>
                  <w:pPr>
                    <w:pStyle w:val="36"/>
                  </w:pPr>
                  <w:r>
                    <w:rPr>
                      <w:rFonts w:hint="eastAsia"/>
                    </w:rPr>
                    <w:t>涪山坝</w:t>
                  </w:r>
                </w:p>
              </w:tc>
              <w:tc>
                <w:tcPr>
                  <w:tcW w:w="1323" w:type="dxa"/>
                  <w:shd w:val="clear" w:color="auto" w:fill="auto"/>
                  <w:vAlign w:val="center"/>
                </w:tcPr>
                <w:p>
                  <w:pPr>
                    <w:pStyle w:val="36"/>
                  </w:pPr>
                  <w:r>
                    <w:rPr>
                      <w:rFonts w:hint="eastAsia"/>
                    </w:rPr>
                    <w:t>蓬溪县</w:t>
                  </w:r>
                </w:p>
              </w:tc>
              <w:tc>
                <w:tcPr>
                  <w:tcW w:w="1402" w:type="dxa"/>
                  <w:shd w:val="clear" w:color="auto" w:fill="auto"/>
                  <w:vAlign w:val="center"/>
                </w:tcPr>
                <w:p>
                  <w:pPr>
                    <w:pStyle w:val="36"/>
                  </w:pPr>
                  <w:r>
                    <w:rPr>
                      <w:rFonts w:hint="eastAsia"/>
                    </w:rPr>
                    <w:t>省控</w:t>
                  </w:r>
                </w:p>
              </w:tc>
              <w:tc>
                <w:tcPr>
                  <w:tcW w:w="879" w:type="dxa"/>
                  <w:shd w:val="clear" w:color="auto" w:fill="auto"/>
                  <w:vAlign w:val="center"/>
                </w:tcPr>
                <w:p>
                  <w:pPr>
                    <w:pStyle w:val="36"/>
                  </w:pPr>
                  <w:r>
                    <w:rPr>
                      <w:rFonts w:hint="eastAsia"/>
                    </w:rPr>
                    <w:t>Ⅲ</w:t>
                  </w:r>
                </w:p>
              </w:tc>
              <w:tc>
                <w:tcPr>
                  <w:tcW w:w="1412" w:type="dxa"/>
                  <w:shd w:val="clear" w:color="auto" w:fill="auto"/>
                  <w:vAlign w:val="center"/>
                </w:tcPr>
                <w:p>
                  <w:pPr>
                    <w:pStyle w:val="36"/>
                  </w:pPr>
                  <w:r>
                    <w:rPr>
                      <w:rFonts w:hint="eastAsia"/>
                    </w:rPr>
                    <w:t>Ⅲ</w:t>
                  </w:r>
                </w:p>
              </w:tc>
              <w:tc>
                <w:tcPr>
                  <w:tcW w:w="2053" w:type="dxa"/>
                  <w:shd w:val="clear" w:color="auto" w:fill="auto"/>
                  <w:vAlign w:val="center"/>
                </w:tcPr>
                <w:p>
                  <w:pPr>
                    <w:pStyle w:val="36"/>
                  </w:pPr>
                  <w:r>
                    <w:rPr>
                      <w:rFonts w:hint="eastAsia"/>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439" w:hRule="atLeast"/>
                <w:jc w:val="center"/>
              </w:trPr>
              <w:tc>
                <w:tcPr>
                  <w:tcW w:w="8037" w:type="dxa"/>
                  <w:gridSpan w:val="6"/>
                  <w:shd w:val="clear" w:color="auto" w:fill="auto"/>
                  <w:vAlign w:val="center"/>
                </w:tcPr>
                <w:p>
                  <w:pPr>
                    <w:pStyle w:val="36"/>
                    <w:jc w:val="left"/>
                  </w:pPr>
                  <w:r>
                    <w:rPr>
                      <w:rFonts w:hint="eastAsia"/>
                    </w:rPr>
                    <w:t>注： 1、地表水环境评价执行《地表水环境质量标准》(GB3838-2002)和《地表水环境质量评价办法(试行)》(环办〔2011〕22号)。</w:t>
                  </w:r>
                  <w:r>
                    <w:rPr>
                      <w:rFonts w:hint="eastAsia"/>
                    </w:rPr>
                    <w:br w:type="textWrapping"/>
                  </w:r>
                  <w:r>
                    <w:rPr>
                      <w:rFonts w:hint="eastAsia"/>
                    </w:rPr>
                    <w:t>2、21项评价指标为：pH、溶解氧、高锰酸盐指数、五日生化需氧量、氨氮、石油类、挥发酚、汞、铅、镉、阴离子表面活性剂、铬(六价)、氟化物、总磷、氰化物、硫化物、砷、化学需氧量、铜、锌、硒。</w:t>
                  </w:r>
                  <w:r>
                    <w:rPr>
                      <w:rFonts w:hint="eastAsia"/>
                    </w:rPr>
                    <w:br w:type="textWrapping"/>
                  </w:r>
                  <w:r>
                    <w:rPr>
                      <w:rFonts w:hint="eastAsia"/>
                    </w:rPr>
                    <w:t>3、超过Ⅲ类水质标准的指标为断面污染指标，取超标倍数最大的前三项为主要污染指标。</w:t>
                  </w:r>
                  <w:r>
                    <w:rPr>
                      <w:rFonts w:hint="eastAsia"/>
                    </w:rPr>
                    <w:br w:type="textWrapping"/>
                  </w:r>
                  <w:r>
                    <w:rPr>
                      <w:rFonts w:hint="eastAsia"/>
                    </w:rPr>
                    <w:t>4、国控断面采用国家反馈的采测分离数据(含部分市级补充监测数据)进行评价。</w:t>
                  </w:r>
                </w:p>
              </w:tc>
            </w:tr>
          </w:tbl>
          <w:p>
            <w:pPr>
              <w:pStyle w:val="40"/>
              <w:ind w:firstLine="482"/>
            </w:pPr>
            <w:r>
              <w:rPr>
                <w:rFonts w:hint="eastAsia"/>
              </w:rPr>
              <w:t>4、声环境质量现状评价</w:t>
            </w:r>
          </w:p>
          <w:p>
            <w:pPr>
              <w:snapToGrid w:val="0"/>
              <w:spacing w:line="360" w:lineRule="auto"/>
              <w:ind w:firstLine="480" w:firstLineChars="200"/>
              <w:rPr>
                <w:rFonts w:ascii="Calibri" w:hAnsi="Calibri"/>
              </w:rPr>
            </w:pPr>
            <w:r>
              <w:rPr>
                <w:rFonts w:ascii="Calibri" w:hAnsi="Calibri"/>
              </w:rPr>
              <w:t>工程对声环境的影响主要在施工期，主要噪声源有各类施工机械、运输汽车等的作业噪声。噪声值一般在80～100dB（A）左右，对沿线的居民会产生一定影响。但根据线性施工特点，每个敏感点处的施工时间很短，且高噪设备一般是间歇使用。此外，施工期间将加强施工机械管理，并采取一定防噪、降噪措施。因此总体来说，虽然施工噪声对敏感点有影响，但影响时段不长。</w:t>
            </w:r>
          </w:p>
          <w:p>
            <w:pPr>
              <w:spacing w:line="360" w:lineRule="auto"/>
              <w:ind w:firstLine="480" w:firstLineChars="200"/>
              <w:rPr>
                <w:rFonts w:ascii="Calibri" w:hAnsi="Calibri"/>
              </w:rPr>
            </w:pPr>
            <w:r>
              <w:rPr>
                <w:rFonts w:ascii="Calibri" w:hAnsi="Calibri"/>
              </w:rPr>
              <w:t>根据《建设项目环境影响报告表编制技术指南（</w:t>
            </w:r>
            <w:r>
              <w:rPr>
                <w:rFonts w:hint="eastAsia" w:ascii="Calibri" w:hAnsi="Calibri"/>
              </w:rPr>
              <w:t>生态环境</w:t>
            </w:r>
            <w:r>
              <w:rPr>
                <w:rFonts w:ascii="Calibri" w:hAnsi="Calibri"/>
              </w:rPr>
              <w:t>类）（试行）》，本项目</w:t>
            </w:r>
            <w:r>
              <w:rPr>
                <w:rFonts w:hint="eastAsia" w:ascii="Calibri" w:hAnsi="Calibri"/>
              </w:rPr>
              <w:t>声环境质量较好</w:t>
            </w:r>
            <w:r>
              <w:rPr>
                <w:rFonts w:ascii="Calibri" w:hAnsi="Calibri"/>
              </w:rPr>
              <w:t>，</w:t>
            </w:r>
            <w:r>
              <w:rPr>
                <w:rFonts w:hint="eastAsia" w:ascii="Calibri" w:hAnsi="Calibri"/>
              </w:rPr>
              <w:t>且项目建成后不产生噪声，对周边声环境无影响，</w:t>
            </w:r>
            <w:r>
              <w:rPr>
                <w:rFonts w:ascii="Calibri" w:hAnsi="Calibri"/>
              </w:rPr>
              <w:t>故无需监测声环境质量现状及评价达标情况。</w:t>
            </w:r>
          </w:p>
          <w:p>
            <w:pPr>
              <w:pStyle w:val="40"/>
              <w:ind w:firstLine="482"/>
              <w:rPr>
                <w:rFonts w:eastAsia="Times New Roman"/>
              </w:rPr>
            </w:pPr>
            <w:r>
              <w:rPr>
                <w:rFonts w:hint="eastAsia"/>
              </w:rPr>
              <w:t>5、土壤环境质量现状</w:t>
            </w:r>
          </w:p>
          <w:p>
            <w:pPr>
              <w:snapToGrid w:val="0"/>
              <w:spacing w:line="360" w:lineRule="auto"/>
              <w:ind w:firstLine="480" w:firstLineChars="200"/>
              <w:rPr>
                <w:rFonts w:ascii="Calibri" w:hAnsi="Calibri"/>
              </w:rPr>
            </w:pPr>
            <w:r>
              <w:rPr>
                <w:rFonts w:ascii="Calibri" w:hAnsi="Calibri"/>
              </w:rPr>
              <w:t>本项目为堤防工程，根据项目污染特征，本项目属于土壤环境生态影响型，根据《环境影响评价技术导则土壤环境（试行）》（HJ964-2018）附录A“土壤环境影响评价项目类别”判定，本项目属于</w:t>
            </w:r>
            <w:r>
              <w:rPr>
                <w:rFonts w:hint="eastAsia" w:ascii="微软雅黑" w:hAnsi="微软雅黑" w:eastAsia="微软雅黑" w:cs="微软雅黑"/>
              </w:rPr>
              <w:t>Ⅳ</w:t>
            </w:r>
            <w:r>
              <w:rPr>
                <w:rFonts w:ascii="Calibri" w:hAnsi="Calibri"/>
              </w:rPr>
              <w:t>类；故本项目可不开展土壤评价。</w:t>
            </w:r>
          </w:p>
          <w:p>
            <w:pPr>
              <w:pStyle w:val="40"/>
              <w:ind w:firstLine="482"/>
              <w:rPr>
                <w:rFonts w:eastAsia="Times New Roman"/>
              </w:rPr>
            </w:pPr>
            <w:r>
              <w:rPr>
                <w:rFonts w:hint="eastAsia"/>
              </w:rPr>
              <w:t>6、地下水环境质量现状</w:t>
            </w:r>
          </w:p>
          <w:p>
            <w:pPr>
              <w:pStyle w:val="42"/>
              <w:ind w:firstLine="480"/>
            </w:pPr>
            <w:r>
              <w:rPr>
                <w:rFonts w:hint="eastAsia" w:ascii="Calibri" w:hAnsi="Calibri" w:cs="Times New Roman"/>
              </w:rPr>
              <w:t>根据《环境影响评价技术导则 地下水环境》（HJ610-2016）可知，本项目为IV类项目，可不开展地下水环境影响评价工作。</w:t>
            </w:r>
          </w:p>
          <w:p>
            <w:pPr>
              <w:pStyle w:val="42"/>
              <w:ind w:firstLine="480"/>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753" w:hRule="atLeast"/>
          <w:jc w:val="center"/>
        </w:trPr>
        <w:tc>
          <w:tcPr>
            <w:tcW w:w="904" w:type="dxa"/>
            <w:vAlign w:val="center"/>
          </w:tcPr>
          <w:p>
            <w:pPr>
              <w:adjustRightInd w:val="0"/>
              <w:snapToGrid w:val="0"/>
              <w:jc w:val="center"/>
              <w:rPr>
                <w:rFonts w:hint="eastAsia"/>
              </w:rPr>
            </w:pPr>
            <w:r>
              <w:rPr>
                <w:rFonts w:hint="eastAsia"/>
                <w:bCs/>
              </w:rPr>
              <w:t>与项目有关的原有环境污染和生态破坏问题</w:t>
            </w:r>
          </w:p>
        </w:tc>
        <w:tc>
          <w:tcPr>
            <w:tcW w:w="8253" w:type="dxa"/>
            <w:vAlign w:val="center"/>
          </w:tcPr>
          <w:p>
            <w:pPr>
              <w:pStyle w:val="42"/>
              <w:ind w:firstLine="480"/>
            </w:pPr>
            <w:r>
              <w:rPr>
                <w:rFonts w:hint="eastAsia"/>
              </w:rPr>
              <w:t>蓬溪县墨砚湖片区多为合流管沟，尺寸偏小、系统错综复杂，淤积现象严重，断头管、管线上下游高程错位等现象，部分管道没有形成完善的排水系统。城市内部排水管网等设施运行能力偏低、老化淤堵，没有达到应有的排水能力，造成排水不畅，流量过低，在极端天气来临时极易形成内涝。外围河流水系淤塞、断堵情况严重，多余的垃圾和泥土占据了河道大部分空间，导致河流行洪能力大大降低河水水位在暴雨来临时急速上涨，造成排水口顶托，城市积水无法及时排出，形成内涝。居民生活、餐厨垃圾任意排放，导致雨水口、管道堵塞，过水能力得不到充分发挥。</w:t>
            </w:r>
          </w:p>
          <w:p>
            <w:pPr>
              <w:pStyle w:val="42"/>
              <w:ind w:firstLine="0" w:firstLineChars="0"/>
              <w:jc w:val="center"/>
            </w:pPr>
            <w:r>
              <w:drawing>
                <wp:inline distT="0" distB="0" distL="0" distR="0">
                  <wp:extent cx="4015105" cy="2649855"/>
                  <wp:effectExtent l="0" t="0" r="0" b="0"/>
                  <wp:docPr id="8289632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963251" name="图片 1"/>
                          <pic:cNvPicPr>
                            <a:picLocks noChangeAspect="1"/>
                          </pic:cNvPicPr>
                        </pic:nvPicPr>
                        <pic:blipFill>
                          <a:blip r:embed="rId14"/>
                          <a:stretch>
                            <a:fillRect/>
                          </a:stretch>
                        </pic:blipFill>
                        <pic:spPr>
                          <a:xfrm>
                            <a:off x="0" y="0"/>
                            <a:ext cx="4034633" cy="2662647"/>
                          </a:xfrm>
                          <a:prstGeom prst="rect">
                            <a:avLst/>
                          </a:prstGeom>
                        </pic:spPr>
                      </pic:pic>
                    </a:graphicData>
                  </a:graphic>
                </wp:inline>
              </w:drawing>
            </w:r>
          </w:p>
          <w:p>
            <w:pPr>
              <w:adjustRightInd w:val="0"/>
              <w:snapToGrid w:val="0"/>
              <w:jc w:val="center"/>
              <w:rPr>
                <w:rFonts w:hint="eastAsia"/>
                <w:sz w:val="28"/>
                <w:szCs w:val="28"/>
              </w:rPr>
            </w:pPr>
            <w:r>
              <w:rPr>
                <w:sz w:val="28"/>
                <w:szCs w:val="28"/>
              </w:rPr>
              <w:drawing>
                <wp:inline distT="0" distB="0" distL="0" distR="0">
                  <wp:extent cx="3985895" cy="2620645"/>
                  <wp:effectExtent l="0" t="0" r="0" b="0"/>
                  <wp:docPr id="14274191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419118" name="图片 1"/>
                          <pic:cNvPicPr>
                            <a:picLocks noChangeAspect="1"/>
                          </pic:cNvPicPr>
                        </pic:nvPicPr>
                        <pic:blipFill>
                          <a:blip r:embed="rId15"/>
                          <a:stretch>
                            <a:fillRect/>
                          </a:stretch>
                        </pic:blipFill>
                        <pic:spPr>
                          <a:xfrm>
                            <a:off x="0" y="0"/>
                            <a:ext cx="4041907" cy="2657892"/>
                          </a:xfrm>
                          <a:prstGeom prst="rect">
                            <a:avLst/>
                          </a:prstGeom>
                        </pic:spPr>
                      </pic:pic>
                    </a:graphicData>
                  </a:graphic>
                </wp:inline>
              </w:drawing>
            </w:r>
          </w:p>
          <w:p>
            <w:pPr>
              <w:adjustRightInd w:val="0"/>
              <w:snapToGrid w:val="0"/>
              <w:jc w:val="center"/>
              <w:rPr>
                <w:rFonts w:hint="eastAsia"/>
                <w:sz w:val="28"/>
                <w:szCs w:val="28"/>
              </w:rPr>
            </w:pPr>
            <w:r>
              <w:rPr>
                <w:sz w:val="28"/>
                <w:szCs w:val="28"/>
              </w:rPr>
              <w:drawing>
                <wp:inline distT="0" distB="0" distL="0" distR="0">
                  <wp:extent cx="3951605" cy="2406015"/>
                  <wp:effectExtent l="0" t="0" r="0" b="0"/>
                  <wp:docPr id="18074663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466311" name="图片 1"/>
                          <pic:cNvPicPr>
                            <a:picLocks noChangeAspect="1"/>
                          </pic:cNvPicPr>
                        </pic:nvPicPr>
                        <pic:blipFill>
                          <a:blip r:embed="rId16"/>
                          <a:stretch>
                            <a:fillRect/>
                          </a:stretch>
                        </pic:blipFill>
                        <pic:spPr>
                          <a:xfrm>
                            <a:off x="0" y="0"/>
                            <a:ext cx="4004992" cy="2438775"/>
                          </a:xfrm>
                          <a:prstGeom prst="rect">
                            <a:avLst/>
                          </a:prstGeom>
                        </pic:spPr>
                      </pic:pic>
                    </a:graphicData>
                  </a:graphic>
                </wp:inline>
              </w:drawing>
            </w:r>
          </w:p>
          <w:p>
            <w:pPr>
              <w:pStyle w:val="38"/>
            </w:pPr>
            <w:r>
              <w:t>图2-</w:t>
            </w:r>
            <w:r>
              <w:rPr>
                <w:rFonts w:hint="eastAsia"/>
              </w:rPr>
              <w:t>2</w:t>
            </w:r>
            <w:r>
              <w:t xml:space="preserve"> 项目现状图</w:t>
            </w:r>
          </w:p>
          <w:p>
            <w:pPr>
              <w:pStyle w:val="42"/>
              <w:ind w:firstLine="480"/>
              <w:rPr>
                <w:kern w:val="2"/>
              </w:rPr>
            </w:pPr>
            <w:r>
              <w:rPr>
                <w:rFonts w:hint="eastAsia"/>
              </w:rPr>
              <w:t>蓬溪县许多城市排水管网设计标准普遍较低，许多地方排水设施不健全、不完善，排水系统建设滞后且未能覆盖所有地区。此外，大多数的排水管道缺乏常规化的有效管理，导致排水管道设施不健全、管道堵塞、过水能力不足及超负荷运转等问题出现，难以满足排水需求。本次项目以解决蓬溪城市内涝点为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435" w:hRule="atLeast"/>
          <w:jc w:val="center"/>
        </w:trPr>
        <w:tc>
          <w:tcPr>
            <w:tcW w:w="904" w:type="dxa"/>
            <w:vAlign w:val="center"/>
          </w:tcPr>
          <w:p>
            <w:pPr>
              <w:adjustRightInd w:val="0"/>
              <w:snapToGrid w:val="0"/>
              <w:jc w:val="center"/>
              <w:rPr>
                <w:rFonts w:hint="eastAsia"/>
              </w:rPr>
            </w:pPr>
            <w:r>
              <w:rPr>
                <w:rFonts w:hint="eastAsia"/>
              </w:rPr>
              <w:t>生态环境保护目标</w:t>
            </w:r>
          </w:p>
        </w:tc>
        <w:tc>
          <w:tcPr>
            <w:tcW w:w="8253" w:type="dxa"/>
            <w:vAlign w:val="center"/>
          </w:tcPr>
          <w:p>
            <w:pPr>
              <w:pStyle w:val="42"/>
              <w:ind w:firstLine="480"/>
              <w:rPr>
                <w:rFonts w:ascii="宋体"/>
              </w:rPr>
            </w:pPr>
            <w:r>
              <w:rPr>
                <w:rFonts w:hint="eastAsia"/>
              </w:rPr>
              <w:t>本项目大气环境调查范围主要为工程施工区域及其施工边界外延</w:t>
            </w:r>
            <w:r>
              <w:t>500m</w:t>
            </w:r>
            <w:r>
              <w:rPr>
                <w:rFonts w:hint="eastAsia"/>
              </w:rPr>
              <w:t>，声环境调查范围主要为工程施工区域及其施工边界外延</w:t>
            </w:r>
            <w:r>
              <w:t>50m</w:t>
            </w:r>
            <w:r>
              <w:rPr>
                <w:rFonts w:hint="eastAsia"/>
              </w:rPr>
              <w:t>，生态环境调查范围主</w:t>
            </w:r>
            <w:r>
              <w:rPr>
                <w:rFonts w:hint="eastAsia" w:ascii="宋体"/>
              </w:rPr>
              <w:t>要为建设项目用地范围内。根据本项目外环境关系图，主要环境保护目标见下表。</w:t>
            </w:r>
          </w:p>
          <w:p>
            <w:pPr>
              <w:pStyle w:val="38"/>
            </w:pPr>
            <w:r>
              <w:rPr>
                <w:rFonts w:hint="eastAsia"/>
              </w:rPr>
              <w:t>表</w:t>
            </w:r>
            <w:r>
              <w:t>3-</w:t>
            </w:r>
            <w:r>
              <w:rPr>
                <w:rFonts w:hint="eastAsia"/>
              </w:rPr>
              <w:t>3</w:t>
            </w:r>
            <w:r>
              <w:t xml:space="preserve"> </w:t>
            </w:r>
            <w:r>
              <w:rPr>
                <w:rFonts w:hint="eastAsia"/>
              </w:rPr>
              <w:t>建设项目环境保护目标</w:t>
            </w:r>
          </w:p>
          <w:tbl>
            <w:tblPr>
              <w:tblStyle w:val="15"/>
              <w:tblW w:w="8037"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96"/>
              <w:gridCol w:w="895"/>
              <w:gridCol w:w="2351"/>
              <w:gridCol w:w="1551"/>
              <w:gridCol w:w="952"/>
              <w:gridCol w:w="139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896" w:type="dxa"/>
                  <w:vAlign w:val="center"/>
                </w:tcPr>
                <w:p>
                  <w:pPr>
                    <w:pStyle w:val="36"/>
                  </w:pPr>
                  <w:r>
                    <w:t>时段</w:t>
                  </w:r>
                </w:p>
              </w:tc>
              <w:tc>
                <w:tcPr>
                  <w:tcW w:w="895" w:type="dxa"/>
                  <w:vAlign w:val="center"/>
                </w:tcPr>
                <w:p>
                  <w:pPr>
                    <w:pStyle w:val="36"/>
                  </w:pPr>
                  <w:r>
                    <w:t>环境</w:t>
                  </w:r>
                </w:p>
                <w:p>
                  <w:pPr>
                    <w:pStyle w:val="36"/>
                  </w:pPr>
                  <w:r>
                    <w:t>要素</w:t>
                  </w:r>
                </w:p>
              </w:tc>
              <w:tc>
                <w:tcPr>
                  <w:tcW w:w="2351" w:type="dxa"/>
                  <w:vAlign w:val="center"/>
                </w:tcPr>
                <w:p>
                  <w:pPr>
                    <w:pStyle w:val="36"/>
                  </w:pPr>
                  <w:r>
                    <w:t>环境敏感点名称及特征</w:t>
                  </w:r>
                </w:p>
              </w:tc>
              <w:tc>
                <w:tcPr>
                  <w:tcW w:w="1551" w:type="dxa"/>
                  <w:vAlign w:val="center"/>
                </w:tcPr>
                <w:p>
                  <w:pPr>
                    <w:pStyle w:val="36"/>
                  </w:pPr>
                  <w:r>
                    <w:t>与工程区位</w:t>
                  </w:r>
                </w:p>
                <w:p>
                  <w:pPr>
                    <w:pStyle w:val="36"/>
                  </w:pPr>
                  <w:r>
                    <w:t>关系</w:t>
                  </w:r>
                </w:p>
              </w:tc>
              <w:tc>
                <w:tcPr>
                  <w:tcW w:w="952" w:type="dxa"/>
                  <w:vAlign w:val="center"/>
                </w:tcPr>
                <w:p>
                  <w:pPr>
                    <w:pStyle w:val="36"/>
                  </w:pPr>
                  <w:r>
                    <w:t>控制因子</w:t>
                  </w:r>
                </w:p>
              </w:tc>
              <w:tc>
                <w:tcPr>
                  <w:tcW w:w="1392" w:type="dxa"/>
                  <w:vAlign w:val="center"/>
                </w:tcPr>
                <w:p>
                  <w:pPr>
                    <w:pStyle w:val="36"/>
                  </w:pPr>
                  <w:r>
                    <w:t>环境保护目标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79" w:hRule="atLeast"/>
                <w:jc w:val="center"/>
              </w:trPr>
              <w:tc>
                <w:tcPr>
                  <w:tcW w:w="896" w:type="dxa"/>
                  <w:vMerge w:val="restart"/>
                  <w:vAlign w:val="center"/>
                </w:tcPr>
                <w:p>
                  <w:pPr>
                    <w:pStyle w:val="36"/>
                  </w:pPr>
                  <w:r>
                    <w:t>施工期</w:t>
                  </w:r>
                </w:p>
              </w:tc>
              <w:tc>
                <w:tcPr>
                  <w:tcW w:w="895" w:type="dxa"/>
                  <w:vMerge w:val="restart"/>
                  <w:vAlign w:val="center"/>
                </w:tcPr>
                <w:p>
                  <w:pPr>
                    <w:pStyle w:val="36"/>
                  </w:pPr>
                  <w:r>
                    <w:t>生态环境</w:t>
                  </w:r>
                </w:p>
              </w:tc>
              <w:tc>
                <w:tcPr>
                  <w:tcW w:w="2351" w:type="dxa"/>
                  <w:vAlign w:val="center"/>
                </w:tcPr>
                <w:p>
                  <w:pPr>
                    <w:pStyle w:val="36"/>
                  </w:pPr>
                  <w:r>
                    <w:t>陆生生态</w:t>
                  </w:r>
                </w:p>
              </w:tc>
              <w:tc>
                <w:tcPr>
                  <w:tcW w:w="1551" w:type="dxa"/>
                  <w:vAlign w:val="center"/>
                </w:tcPr>
                <w:p>
                  <w:pPr>
                    <w:pStyle w:val="36"/>
                  </w:pPr>
                  <w:r>
                    <w:t>工程区内</w:t>
                  </w:r>
                </w:p>
              </w:tc>
              <w:tc>
                <w:tcPr>
                  <w:tcW w:w="2344" w:type="dxa"/>
                  <w:gridSpan w:val="2"/>
                  <w:vAlign w:val="center"/>
                </w:tcPr>
                <w:p>
                  <w:pPr>
                    <w:pStyle w:val="36"/>
                  </w:pPr>
                  <w:r>
                    <w:t>控制开挖的填筑面积，减少扰动区域面积。加强野生动植物保护及施</w:t>
                  </w:r>
                </w:p>
                <w:p>
                  <w:pPr>
                    <w:pStyle w:val="36"/>
                  </w:pPr>
                  <w:r>
                    <w:t>工噪声处理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jc w:val="center"/>
              </w:trPr>
              <w:tc>
                <w:tcPr>
                  <w:tcW w:w="896" w:type="dxa"/>
                  <w:vMerge w:val="continue"/>
                  <w:vAlign w:val="center"/>
                </w:tcPr>
                <w:p>
                  <w:pPr>
                    <w:pStyle w:val="36"/>
                  </w:pPr>
                </w:p>
              </w:tc>
              <w:tc>
                <w:tcPr>
                  <w:tcW w:w="895" w:type="dxa"/>
                  <w:vMerge w:val="continue"/>
                  <w:vAlign w:val="center"/>
                </w:tcPr>
                <w:p>
                  <w:pPr>
                    <w:pStyle w:val="36"/>
                  </w:pPr>
                </w:p>
              </w:tc>
              <w:tc>
                <w:tcPr>
                  <w:tcW w:w="2351" w:type="dxa"/>
                  <w:vAlign w:val="center"/>
                </w:tcPr>
                <w:p>
                  <w:pPr>
                    <w:pStyle w:val="36"/>
                  </w:pPr>
                  <w:r>
                    <w:t>水生生态</w:t>
                  </w:r>
                </w:p>
              </w:tc>
              <w:tc>
                <w:tcPr>
                  <w:tcW w:w="1551" w:type="dxa"/>
                  <w:vAlign w:val="center"/>
                </w:tcPr>
                <w:p>
                  <w:pPr>
                    <w:pStyle w:val="36"/>
                  </w:pPr>
                  <w:r>
                    <w:t>涵洞和下游段</w:t>
                  </w:r>
                </w:p>
              </w:tc>
              <w:tc>
                <w:tcPr>
                  <w:tcW w:w="2344" w:type="dxa"/>
                  <w:gridSpan w:val="2"/>
                  <w:vAlign w:val="center"/>
                </w:tcPr>
                <w:p>
                  <w:pPr>
                    <w:pStyle w:val="36"/>
                  </w:pPr>
                  <w:r>
                    <w:t>加强管理措施，减少对水生生境、水生生物的破坏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jc w:val="center"/>
              </w:trPr>
              <w:tc>
                <w:tcPr>
                  <w:tcW w:w="896" w:type="dxa"/>
                  <w:vMerge w:val="continue"/>
                  <w:vAlign w:val="center"/>
                </w:tcPr>
                <w:p>
                  <w:pPr>
                    <w:pStyle w:val="36"/>
                  </w:pPr>
                </w:p>
              </w:tc>
              <w:tc>
                <w:tcPr>
                  <w:tcW w:w="895" w:type="dxa"/>
                  <w:vMerge w:val="continue"/>
                  <w:vAlign w:val="center"/>
                </w:tcPr>
                <w:p>
                  <w:pPr>
                    <w:pStyle w:val="36"/>
                  </w:pPr>
                </w:p>
              </w:tc>
              <w:tc>
                <w:tcPr>
                  <w:tcW w:w="2351" w:type="dxa"/>
                  <w:vAlign w:val="center"/>
                </w:tcPr>
                <w:p>
                  <w:pPr>
                    <w:pStyle w:val="36"/>
                  </w:pPr>
                  <w:r>
                    <w:t>水土流失</w:t>
                  </w:r>
                </w:p>
              </w:tc>
              <w:tc>
                <w:tcPr>
                  <w:tcW w:w="1551" w:type="dxa"/>
                  <w:vAlign w:val="center"/>
                </w:tcPr>
                <w:p>
                  <w:pPr>
                    <w:pStyle w:val="36"/>
                  </w:pPr>
                  <w:r>
                    <w:t>工程区内</w:t>
                  </w:r>
                </w:p>
              </w:tc>
              <w:tc>
                <w:tcPr>
                  <w:tcW w:w="2344" w:type="dxa"/>
                  <w:gridSpan w:val="2"/>
                  <w:vAlign w:val="center"/>
                </w:tcPr>
                <w:p>
                  <w:pPr>
                    <w:pStyle w:val="36"/>
                  </w:pPr>
                  <w:r>
                    <w:t>采取临时工程措施，防治新增水土流失</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239" w:hRule="atLeast"/>
                <w:jc w:val="center"/>
              </w:trPr>
              <w:tc>
                <w:tcPr>
                  <w:tcW w:w="896" w:type="dxa"/>
                  <w:vMerge w:val="continue"/>
                  <w:vAlign w:val="center"/>
                </w:tcPr>
                <w:p>
                  <w:pPr>
                    <w:pStyle w:val="36"/>
                  </w:pPr>
                </w:p>
              </w:tc>
              <w:tc>
                <w:tcPr>
                  <w:tcW w:w="895" w:type="dxa"/>
                  <w:vAlign w:val="center"/>
                </w:tcPr>
                <w:p>
                  <w:pPr>
                    <w:pStyle w:val="36"/>
                  </w:pPr>
                  <w:r>
                    <w:t>环</w:t>
                  </w:r>
                </w:p>
                <w:p>
                  <w:pPr>
                    <w:pStyle w:val="36"/>
                  </w:pPr>
                  <w:r>
                    <w:t>境</w:t>
                  </w:r>
                </w:p>
                <w:p>
                  <w:pPr>
                    <w:pStyle w:val="36"/>
                  </w:pPr>
                  <w:r>
                    <w:t>空</w:t>
                  </w:r>
                </w:p>
                <w:p>
                  <w:pPr>
                    <w:pStyle w:val="36"/>
                  </w:pPr>
                  <w:r>
                    <w:t>气</w:t>
                  </w:r>
                </w:p>
              </w:tc>
              <w:tc>
                <w:tcPr>
                  <w:tcW w:w="2351" w:type="dxa"/>
                  <w:vAlign w:val="center"/>
                </w:tcPr>
                <w:p>
                  <w:pPr>
                    <w:pStyle w:val="36"/>
                  </w:pPr>
                  <w:r>
                    <w:t>河道实施范围附近居民点及学校、商住楼、公共市政建筑等</w:t>
                  </w:r>
                </w:p>
              </w:tc>
              <w:tc>
                <w:tcPr>
                  <w:tcW w:w="1551" w:type="dxa"/>
                  <w:vAlign w:val="center"/>
                </w:tcPr>
                <w:p>
                  <w:pPr>
                    <w:pStyle w:val="36"/>
                  </w:pPr>
                  <w:r>
                    <w:t>工程区影响范围内，最近距离12m</w:t>
                  </w:r>
                </w:p>
              </w:tc>
              <w:tc>
                <w:tcPr>
                  <w:tcW w:w="952" w:type="dxa"/>
                  <w:vAlign w:val="center"/>
                </w:tcPr>
                <w:p>
                  <w:pPr>
                    <w:pStyle w:val="36"/>
                  </w:pPr>
                  <w:r>
                    <w:t>颗粒物（TSP）</w:t>
                  </w:r>
                </w:p>
              </w:tc>
              <w:tc>
                <w:tcPr>
                  <w:tcW w:w="1392" w:type="dxa"/>
                  <w:vAlign w:val="center"/>
                </w:tcPr>
                <w:p>
                  <w:pPr>
                    <w:pStyle w:val="36"/>
                  </w:pPr>
                  <w:r>
                    <w:t>&lt;0.30mg/m3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682" w:hRule="atLeast"/>
                <w:jc w:val="center"/>
              </w:trPr>
              <w:tc>
                <w:tcPr>
                  <w:tcW w:w="896" w:type="dxa"/>
                  <w:vMerge w:val="continue"/>
                  <w:vAlign w:val="center"/>
                </w:tcPr>
                <w:p>
                  <w:pPr>
                    <w:pStyle w:val="36"/>
                  </w:pPr>
                </w:p>
              </w:tc>
              <w:tc>
                <w:tcPr>
                  <w:tcW w:w="895" w:type="dxa"/>
                  <w:vAlign w:val="center"/>
                </w:tcPr>
                <w:p>
                  <w:pPr>
                    <w:pStyle w:val="36"/>
                  </w:pPr>
                  <w:r>
                    <w:t>声环境</w:t>
                  </w:r>
                </w:p>
              </w:tc>
              <w:tc>
                <w:tcPr>
                  <w:tcW w:w="2351" w:type="dxa"/>
                  <w:vAlign w:val="center"/>
                </w:tcPr>
                <w:p>
                  <w:pPr>
                    <w:pStyle w:val="36"/>
                  </w:pPr>
                  <w:r>
                    <w:t>河道实施范围附近居民点及学校、商住楼、公共市政建筑等</w:t>
                  </w:r>
                </w:p>
              </w:tc>
              <w:tc>
                <w:tcPr>
                  <w:tcW w:w="1551" w:type="dxa"/>
                  <w:vAlign w:val="center"/>
                </w:tcPr>
                <w:p>
                  <w:pPr>
                    <w:pStyle w:val="36"/>
                  </w:pPr>
                  <w:r>
                    <w:t>工程区影响范围内，最近距离12m</w:t>
                  </w:r>
                </w:p>
              </w:tc>
              <w:tc>
                <w:tcPr>
                  <w:tcW w:w="952" w:type="dxa"/>
                  <w:vAlign w:val="center"/>
                </w:tcPr>
                <w:p>
                  <w:pPr>
                    <w:pStyle w:val="36"/>
                  </w:pPr>
                  <w:r>
                    <w:t>dB（A）</w:t>
                  </w:r>
                </w:p>
              </w:tc>
              <w:tc>
                <w:tcPr>
                  <w:tcW w:w="1392" w:type="dxa"/>
                  <w:vAlign w:val="center"/>
                </w:tcPr>
                <w:p>
                  <w:pPr>
                    <w:pStyle w:val="36"/>
                  </w:pPr>
                  <w:r>
                    <w:t>昼间：≤60dB</w:t>
                  </w:r>
                </w:p>
                <w:p>
                  <w:pPr>
                    <w:pStyle w:val="36"/>
                  </w:pPr>
                  <w:r>
                    <w:t>（A）；</w:t>
                  </w:r>
                </w:p>
                <w:p>
                  <w:pPr>
                    <w:pStyle w:val="36"/>
                  </w:pPr>
                  <w:r>
                    <w:t>夜间：≤50dB（A）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65" w:hRule="atLeast"/>
                <w:jc w:val="center"/>
              </w:trPr>
              <w:tc>
                <w:tcPr>
                  <w:tcW w:w="896" w:type="dxa"/>
                  <w:vMerge w:val="continue"/>
                  <w:vAlign w:val="center"/>
                </w:tcPr>
                <w:p>
                  <w:pPr>
                    <w:pStyle w:val="36"/>
                  </w:pPr>
                </w:p>
              </w:tc>
              <w:tc>
                <w:tcPr>
                  <w:tcW w:w="895" w:type="dxa"/>
                  <w:vAlign w:val="center"/>
                </w:tcPr>
                <w:p>
                  <w:pPr>
                    <w:pStyle w:val="36"/>
                  </w:pPr>
                  <w:r>
                    <w:t>社会</w:t>
                  </w:r>
                </w:p>
                <w:p>
                  <w:pPr>
                    <w:pStyle w:val="36"/>
                  </w:pPr>
                  <w:r>
                    <w:t>环境</w:t>
                  </w:r>
                </w:p>
              </w:tc>
              <w:tc>
                <w:tcPr>
                  <w:tcW w:w="6246" w:type="dxa"/>
                  <w:gridSpan w:val="4"/>
                  <w:vAlign w:val="center"/>
                </w:tcPr>
                <w:p>
                  <w:pPr>
                    <w:pStyle w:val="36"/>
                  </w:pPr>
                  <w:r>
                    <w:t>工程施工期间采取有效措施，保证洪水顺利下泄，保证各交通道路的正常运行以及远处居民的正常生活。</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96" w:type="dxa"/>
                  <w:vMerge w:val="restart"/>
                  <w:vAlign w:val="center"/>
                </w:tcPr>
                <w:p>
                  <w:pPr>
                    <w:pStyle w:val="36"/>
                  </w:pPr>
                  <w:r>
                    <w:t>运</w:t>
                  </w:r>
                </w:p>
                <w:p>
                  <w:pPr>
                    <w:pStyle w:val="36"/>
                  </w:pPr>
                  <w:r>
                    <w:t>行</w:t>
                  </w:r>
                </w:p>
                <w:p>
                  <w:pPr>
                    <w:pStyle w:val="36"/>
                  </w:pPr>
                  <w:r>
                    <w:t>期</w:t>
                  </w:r>
                </w:p>
              </w:tc>
              <w:tc>
                <w:tcPr>
                  <w:tcW w:w="895" w:type="dxa"/>
                  <w:vMerge w:val="restart"/>
                  <w:vAlign w:val="center"/>
                </w:tcPr>
                <w:p>
                  <w:pPr>
                    <w:pStyle w:val="36"/>
                  </w:pPr>
                  <w:r>
                    <w:t>生态</w:t>
                  </w:r>
                </w:p>
                <w:p>
                  <w:pPr>
                    <w:pStyle w:val="36"/>
                  </w:pPr>
                  <w:r>
                    <w:t>环境</w:t>
                  </w:r>
                </w:p>
              </w:tc>
              <w:tc>
                <w:tcPr>
                  <w:tcW w:w="2351" w:type="dxa"/>
                  <w:vAlign w:val="center"/>
                </w:tcPr>
                <w:p>
                  <w:pPr>
                    <w:pStyle w:val="36"/>
                  </w:pPr>
                  <w:r>
                    <w:t xml:space="preserve">涵洞下游河段 </w:t>
                  </w:r>
                </w:p>
              </w:tc>
              <w:tc>
                <w:tcPr>
                  <w:tcW w:w="1551" w:type="dxa"/>
                  <w:vAlign w:val="center"/>
                </w:tcPr>
                <w:p>
                  <w:pPr>
                    <w:pStyle w:val="36"/>
                  </w:pPr>
                  <w:r>
                    <w:t>约4.3km</w:t>
                  </w:r>
                </w:p>
              </w:tc>
              <w:tc>
                <w:tcPr>
                  <w:tcW w:w="952" w:type="dxa"/>
                  <w:vAlign w:val="center"/>
                </w:tcPr>
                <w:p>
                  <w:pPr>
                    <w:pStyle w:val="36"/>
                  </w:pPr>
                  <w:r>
                    <w:t xml:space="preserve">水生动物（鱼类）等  </w:t>
                  </w:r>
                </w:p>
              </w:tc>
              <w:tc>
                <w:tcPr>
                  <w:tcW w:w="1392" w:type="dxa"/>
                  <w:vAlign w:val="center"/>
                </w:tcPr>
                <w:p>
                  <w:pPr>
                    <w:pStyle w:val="36"/>
                  </w:pPr>
                  <w:r>
                    <w:t>采取加强管理措施，维持河段基本生态功能的流量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jc w:val="center"/>
              </w:trPr>
              <w:tc>
                <w:tcPr>
                  <w:tcW w:w="896" w:type="dxa"/>
                  <w:vMerge w:val="continue"/>
                  <w:vAlign w:val="center"/>
                </w:tcPr>
                <w:p>
                  <w:pPr>
                    <w:pStyle w:val="36"/>
                  </w:pPr>
                </w:p>
              </w:tc>
              <w:tc>
                <w:tcPr>
                  <w:tcW w:w="895" w:type="dxa"/>
                  <w:vMerge w:val="continue"/>
                  <w:vAlign w:val="center"/>
                </w:tcPr>
                <w:p>
                  <w:pPr>
                    <w:pStyle w:val="36"/>
                  </w:pPr>
                </w:p>
              </w:tc>
              <w:tc>
                <w:tcPr>
                  <w:tcW w:w="2351" w:type="dxa"/>
                  <w:vAlign w:val="center"/>
                </w:tcPr>
                <w:p>
                  <w:pPr>
                    <w:pStyle w:val="36"/>
                  </w:pPr>
                  <w:r>
                    <w:t>水土流失</w:t>
                  </w:r>
                </w:p>
              </w:tc>
              <w:tc>
                <w:tcPr>
                  <w:tcW w:w="1551" w:type="dxa"/>
                  <w:vAlign w:val="center"/>
                </w:tcPr>
                <w:p>
                  <w:pPr>
                    <w:pStyle w:val="36"/>
                  </w:pPr>
                  <w:r>
                    <w:t>渣场、施工迹地</w:t>
                  </w:r>
                </w:p>
              </w:tc>
              <w:tc>
                <w:tcPr>
                  <w:tcW w:w="2344" w:type="dxa"/>
                  <w:gridSpan w:val="2"/>
                  <w:vAlign w:val="center"/>
                </w:tcPr>
                <w:p>
                  <w:pPr>
                    <w:pStyle w:val="36"/>
                  </w:pPr>
                  <w:r>
                    <w:t>25%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8" w:hRule="atLeast"/>
                <w:jc w:val="center"/>
              </w:trPr>
              <w:tc>
                <w:tcPr>
                  <w:tcW w:w="896" w:type="dxa"/>
                  <w:vMerge w:val="continue"/>
                  <w:vAlign w:val="center"/>
                </w:tcPr>
                <w:p>
                  <w:pPr>
                    <w:pStyle w:val="36"/>
                  </w:pPr>
                </w:p>
              </w:tc>
              <w:tc>
                <w:tcPr>
                  <w:tcW w:w="895" w:type="dxa"/>
                  <w:vAlign w:val="center"/>
                </w:tcPr>
                <w:p>
                  <w:pPr>
                    <w:pStyle w:val="36"/>
                  </w:pPr>
                  <w:r>
                    <w:t>水</w:t>
                  </w:r>
                </w:p>
                <w:p>
                  <w:pPr>
                    <w:pStyle w:val="36"/>
                  </w:pPr>
                  <w:r>
                    <w:t>环</w:t>
                  </w:r>
                </w:p>
                <w:p>
                  <w:pPr>
                    <w:pStyle w:val="36"/>
                  </w:pPr>
                  <w:r>
                    <w:t>境</w:t>
                  </w:r>
                </w:p>
              </w:tc>
              <w:tc>
                <w:tcPr>
                  <w:tcW w:w="2351" w:type="dxa"/>
                  <w:vAlign w:val="center"/>
                </w:tcPr>
                <w:p>
                  <w:pPr>
                    <w:pStyle w:val="36"/>
                  </w:pPr>
                  <w:r>
                    <w:t>涵洞</w:t>
                  </w:r>
                </w:p>
              </w:tc>
              <w:tc>
                <w:tcPr>
                  <w:tcW w:w="1551" w:type="dxa"/>
                  <w:vAlign w:val="center"/>
                </w:tcPr>
                <w:p>
                  <w:pPr>
                    <w:pStyle w:val="36"/>
                  </w:pPr>
                  <w:r>
                    <w:t>涵洞下游河段</w:t>
                  </w:r>
                </w:p>
              </w:tc>
              <w:tc>
                <w:tcPr>
                  <w:tcW w:w="952" w:type="dxa"/>
                  <w:vAlign w:val="center"/>
                </w:tcPr>
                <w:p>
                  <w:pPr>
                    <w:pStyle w:val="36"/>
                  </w:pPr>
                  <w:r>
                    <w:t>pH 、COD、BOD 、 NH -N、石油类等</w:t>
                  </w:r>
                </w:p>
              </w:tc>
              <w:tc>
                <w:tcPr>
                  <w:tcW w:w="1392" w:type="dxa"/>
                  <w:vAlign w:val="center"/>
                </w:tcPr>
                <w:p>
                  <w:pPr>
                    <w:pStyle w:val="36"/>
                  </w:pPr>
                  <w:r>
                    <w:t>维持当地地表水Ⅲ类水域水质标准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65" w:hRule="atLeast"/>
                <w:jc w:val="center"/>
              </w:trPr>
              <w:tc>
                <w:tcPr>
                  <w:tcW w:w="896" w:type="dxa"/>
                  <w:vMerge w:val="continue"/>
                  <w:vAlign w:val="center"/>
                </w:tcPr>
                <w:p>
                  <w:pPr>
                    <w:pStyle w:val="36"/>
                  </w:pPr>
                </w:p>
              </w:tc>
              <w:tc>
                <w:tcPr>
                  <w:tcW w:w="895" w:type="dxa"/>
                  <w:vAlign w:val="center"/>
                </w:tcPr>
                <w:p>
                  <w:pPr>
                    <w:pStyle w:val="36"/>
                  </w:pPr>
                  <w:r>
                    <w:t>社会</w:t>
                  </w:r>
                </w:p>
                <w:p>
                  <w:pPr>
                    <w:pStyle w:val="36"/>
                  </w:pPr>
                  <w:r>
                    <w:t>环境</w:t>
                  </w:r>
                </w:p>
              </w:tc>
              <w:tc>
                <w:tcPr>
                  <w:tcW w:w="2351" w:type="dxa"/>
                  <w:vAlign w:val="center"/>
                </w:tcPr>
                <w:p>
                  <w:pPr>
                    <w:pStyle w:val="36"/>
                  </w:pPr>
                  <w:r>
                    <w:t>工程周边居民</w:t>
                  </w:r>
                </w:p>
              </w:tc>
              <w:tc>
                <w:tcPr>
                  <w:tcW w:w="3895" w:type="dxa"/>
                  <w:gridSpan w:val="3"/>
                  <w:vAlign w:val="center"/>
                </w:tcPr>
                <w:p>
                  <w:pPr>
                    <w:pStyle w:val="36"/>
                  </w:pPr>
                  <w:r>
                    <w:t>项目运行期间采取沟通机制，维护居民的生活和生产</w:t>
                  </w:r>
                </w:p>
              </w:tc>
            </w:tr>
          </w:tbl>
          <w:p>
            <w:pPr>
              <w:pStyle w:val="42"/>
              <w:ind w:firstLine="480"/>
            </w:pPr>
            <w:r>
              <w:t>（1）水环境</w:t>
            </w:r>
          </w:p>
          <w:p>
            <w:pPr>
              <w:pStyle w:val="42"/>
              <w:ind w:firstLine="480"/>
            </w:pPr>
            <w:r>
              <w:t>施工期生产废水和生活污水零排放；营运期灌溉回归水排入河流不影响地表水体保持《地表水环境质量标准》（GB3838-2002）中 Ⅲ类水域水质。</w:t>
            </w:r>
          </w:p>
          <w:p>
            <w:pPr>
              <w:pStyle w:val="42"/>
              <w:ind w:firstLine="480"/>
            </w:pPr>
            <w:r>
              <w:t>（2）大气环境</w:t>
            </w:r>
          </w:p>
          <w:p>
            <w:pPr>
              <w:pStyle w:val="42"/>
              <w:ind w:firstLine="480"/>
            </w:pPr>
            <w:r>
              <w:t>施工期大气污染物排放达到《大气污染物综合排放标准》（GB16297-2017）规定的无组织排放监测浓度限值标准。工程区周围居民点环境空气质量达到《环境空气质量标准》（GB3095-2012）二级标准。</w:t>
            </w:r>
          </w:p>
          <w:p>
            <w:pPr>
              <w:pStyle w:val="42"/>
              <w:ind w:firstLine="480"/>
            </w:pPr>
            <w:r>
              <w:t>（3）声环境</w:t>
            </w:r>
          </w:p>
          <w:p>
            <w:pPr>
              <w:pStyle w:val="42"/>
              <w:ind w:firstLine="480"/>
            </w:pPr>
            <w:r>
              <w:t>施工区噪声达到《建筑施工场界环境噪声排放标准》（GB12523-2011）中要求。工程周边居民点噪声达到《声环境质量标准》（GB3096-2008）中2类标准。</w:t>
            </w:r>
          </w:p>
          <w:p>
            <w:pPr>
              <w:pStyle w:val="42"/>
              <w:ind w:firstLine="480"/>
            </w:pPr>
            <w:r>
              <w:t>（4）生态环境</w:t>
            </w:r>
          </w:p>
          <w:p>
            <w:pPr>
              <w:pStyle w:val="42"/>
              <w:ind w:firstLine="480"/>
            </w:pPr>
            <w:r>
              <w:t>合理利用施工场地，减少施工临时占地对当地植被破坏，文明施工，施工临时构筑物应与当地自然景观保持协调。</w:t>
            </w:r>
          </w:p>
          <w:p>
            <w:pPr>
              <w:pStyle w:val="42"/>
              <w:ind w:firstLine="480"/>
            </w:pPr>
            <w:r>
              <w:t>（5）固体废物</w:t>
            </w:r>
          </w:p>
          <w:p>
            <w:pPr>
              <w:pStyle w:val="42"/>
              <w:ind w:firstLine="480"/>
            </w:pPr>
            <w:r>
              <w:t>施工营地生活垃圾主要采取“村集中、乡收运、县处置”的方式进行处理。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211" w:hRule="atLeast"/>
          <w:jc w:val="center"/>
        </w:trPr>
        <w:tc>
          <w:tcPr>
            <w:tcW w:w="904" w:type="dxa"/>
            <w:vAlign w:val="center"/>
          </w:tcPr>
          <w:p>
            <w:pPr>
              <w:adjustRightInd w:val="0"/>
              <w:snapToGrid w:val="0"/>
              <w:jc w:val="center"/>
              <w:rPr>
                <w:rFonts w:hint="eastAsia"/>
              </w:rPr>
            </w:pPr>
            <w:r>
              <w:rPr>
                <w:rFonts w:hint="eastAsia"/>
              </w:rPr>
              <w:t>评价</w:t>
            </w:r>
          </w:p>
          <w:p>
            <w:pPr>
              <w:adjustRightInd w:val="0"/>
              <w:snapToGrid w:val="0"/>
              <w:jc w:val="center"/>
              <w:rPr>
                <w:rFonts w:hint="eastAsia"/>
                <w:sz w:val="28"/>
                <w:szCs w:val="28"/>
              </w:rPr>
            </w:pPr>
            <w:r>
              <w:rPr>
                <w:rFonts w:hint="eastAsia"/>
              </w:rPr>
              <w:t>标准</w:t>
            </w:r>
          </w:p>
        </w:tc>
        <w:tc>
          <w:tcPr>
            <w:tcW w:w="8253" w:type="dxa"/>
            <w:vAlign w:val="center"/>
          </w:tcPr>
          <w:p>
            <w:pPr>
              <w:pStyle w:val="40"/>
              <w:ind w:firstLine="482"/>
            </w:pPr>
            <w:r>
              <w:rPr>
                <w:rFonts w:hint="eastAsia"/>
              </w:rPr>
              <w:t>1</w:t>
            </w:r>
            <w:r>
              <w:t>、环境质量标准</w:t>
            </w:r>
          </w:p>
          <w:p>
            <w:pPr>
              <w:pStyle w:val="40"/>
              <w:ind w:firstLine="482"/>
            </w:pPr>
            <w:r>
              <w:rPr>
                <w:rFonts w:hint="eastAsia"/>
              </w:rPr>
              <w:t>1</w:t>
            </w:r>
            <w:r>
              <w:t>.</w:t>
            </w:r>
            <w:r>
              <w:rPr>
                <w:rFonts w:hint="eastAsia"/>
              </w:rPr>
              <w:t>1地表水</w:t>
            </w:r>
          </w:p>
          <w:p>
            <w:pPr>
              <w:spacing w:line="360" w:lineRule="auto"/>
              <w:ind w:firstLine="480" w:firstLineChars="200"/>
              <w:rPr>
                <w:rFonts w:ascii="Calibri" w:hAnsi="Calibri" w:eastAsia="Times New Roman"/>
                <w:kern w:val="28"/>
              </w:rPr>
            </w:pPr>
            <w:r>
              <w:rPr>
                <w:rFonts w:hint="eastAsia" w:ascii="Calibri" w:hAnsi="Calibri"/>
                <w:kern w:val="28"/>
              </w:rPr>
              <w:t>地表水执行《地表水环境质量标准》（GB3838-2002）</w:t>
            </w:r>
            <w:r>
              <w:rPr>
                <w:rFonts w:ascii="Calibri" w:hAnsi="Calibri"/>
                <w:kern w:val="28"/>
              </w:rPr>
              <w:t>III</w:t>
            </w:r>
            <w:r>
              <w:rPr>
                <w:rFonts w:hint="eastAsia" w:ascii="Calibri" w:hAnsi="Calibri"/>
                <w:kern w:val="28"/>
              </w:rPr>
              <w:t>类水域标准</w:t>
            </w:r>
            <w:r>
              <w:rPr>
                <w:rFonts w:hint="eastAsia" w:ascii="Calibri" w:hAnsi="Calibri"/>
              </w:rPr>
              <w:t>，具体标准值见下表。</w:t>
            </w:r>
          </w:p>
          <w:p>
            <w:pPr>
              <w:pStyle w:val="38"/>
            </w:pPr>
            <w:r>
              <w:rPr>
                <w:rFonts w:hint="eastAsia"/>
              </w:rPr>
              <w:t>表3-4 地表水环境质量标准限值</w:t>
            </w:r>
          </w:p>
          <w:tbl>
            <w:tblPr>
              <w:tblStyle w:val="15"/>
              <w:tblW w:w="8034"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
            <w:tblGrid>
              <w:gridCol w:w="1196"/>
              <w:gridCol w:w="1965"/>
              <w:gridCol w:w="3011"/>
              <w:gridCol w:w="186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jc w:val="center"/>
              </w:trPr>
              <w:tc>
                <w:tcPr>
                  <w:tcW w:w="1196" w:type="dxa"/>
                </w:tcPr>
                <w:p>
                  <w:pPr>
                    <w:pStyle w:val="36"/>
                  </w:pPr>
                  <w:r>
                    <w:rPr>
                      <w:rFonts w:hint="eastAsia"/>
                    </w:rPr>
                    <w:t>序号</w:t>
                  </w:r>
                </w:p>
              </w:tc>
              <w:tc>
                <w:tcPr>
                  <w:tcW w:w="1965" w:type="dxa"/>
                </w:tcPr>
                <w:p>
                  <w:pPr>
                    <w:pStyle w:val="36"/>
                  </w:pPr>
                  <w:r>
                    <w:rPr>
                      <w:rFonts w:hint="eastAsia"/>
                    </w:rPr>
                    <w:t>指标</w:t>
                  </w:r>
                </w:p>
              </w:tc>
              <w:tc>
                <w:tcPr>
                  <w:tcW w:w="3011" w:type="dxa"/>
                </w:tcPr>
                <w:p>
                  <w:pPr>
                    <w:pStyle w:val="36"/>
                  </w:pPr>
                  <w:r>
                    <w:rPr>
                      <w:rFonts w:hint="eastAsia"/>
                    </w:rPr>
                    <w:t>标准值</w:t>
                  </w:r>
                </w:p>
              </w:tc>
              <w:tc>
                <w:tcPr>
                  <w:tcW w:w="1862" w:type="dxa"/>
                </w:tcPr>
                <w:p>
                  <w:pPr>
                    <w:pStyle w:val="36"/>
                  </w:pPr>
                  <w:r>
                    <w:rPr>
                      <w:rFonts w:hint="eastAsia"/>
                    </w:rPr>
                    <w:t>依据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jc w:val="center"/>
              </w:trPr>
              <w:tc>
                <w:tcPr>
                  <w:tcW w:w="1196" w:type="dxa"/>
                </w:tcPr>
                <w:p>
                  <w:pPr>
                    <w:pStyle w:val="36"/>
                  </w:pPr>
                  <w:r>
                    <w:rPr>
                      <w:rFonts w:hint="eastAsia"/>
                    </w:rPr>
                    <w:t>1</w:t>
                  </w:r>
                </w:p>
              </w:tc>
              <w:tc>
                <w:tcPr>
                  <w:tcW w:w="1965" w:type="dxa"/>
                  <w:vAlign w:val="center"/>
                </w:tcPr>
                <w:p>
                  <w:pPr>
                    <w:pStyle w:val="36"/>
                  </w:pPr>
                  <w:r>
                    <w:rPr>
                      <w:rFonts w:hint="eastAsia"/>
                    </w:rPr>
                    <w:t>pH</w:t>
                  </w:r>
                </w:p>
              </w:tc>
              <w:tc>
                <w:tcPr>
                  <w:tcW w:w="3011" w:type="dxa"/>
                  <w:vAlign w:val="center"/>
                </w:tcPr>
                <w:p>
                  <w:pPr>
                    <w:pStyle w:val="36"/>
                  </w:pPr>
                  <w:r>
                    <w:rPr>
                      <w:rFonts w:hint="eastAsia"/>
                    </w:rPr>
                    <w:t>6～9</w:t>
                  </w:r>
                </w:p>
              </w:tc>
              <w:tc>
                <w:tcPr>
                  <w:tcW w:w="1862" w:type="dxa"/>
                  <w:vMerge w:val="restart"/>
                  <w:vAlign w:val="center"/>
                </w:tcPr>
                <w:p>
                  <w:pPr>
                    <w:pStyle w:val="36"/>
                  </w:pPr>
                  <w:r>
                    <w:rPr>
                      <w:rFonts w:hint="eastAsia"/>
                    </w:rPr>
                    <w:t>《地表水环境质量标准》（GB3838-2002）</w:t>
                  </w:r>
                  <w:r>
                    <w:t>II</w:t>
                  </w:r>
                  <w:r>
                    <w:rPr>
                      <w:rFonts w:hint="eastAsia"/>
                    </w:rPr>
                    <w:t>类水域标准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jc w:val="center"/>
              </w:trPr>
              <w:tc>
                <w:tcPr>
                  <w:tcW w:w="1196" w:type="dxa"/>
                </w:tcPr>
                <w:p>
                  <w:pPr>
                    <w:pStyle w:val="36"/>
                  </w:pPr>
                  <w:r>
                    <w:rPr>
                      <w:rFonts w:hint="eastAsia"/>
                    </w:rPr>
                    <w:t>2</w:t>
                  </w:r>
                </w:p>
              </w:tc>
              <w:tc>
                <w:tcPr>
                  <w:tcW w:w="1965" w:type="dxa"/>
                  <w:vAlign w:val="center"/>
                </w:tcPr>
                <w:p>
                  <w:pPr>
                    <w:pStyle w:val="36"/>
                  </w:pPr>
                  <w:r>
                    <w:rPr>
                      <w:rFonts w:hint="eastAsia"/>
                    </w:rPr>
                    <w:t>COD</w:t>
                  </w:r>
                </w:p>
              </w:tc>
              <w:tc>
                <w:tcPr>
                  <w:tcW w:w="3011" w:type="dxa"/>
                  <w:vAlign w:val="center"/>
                </w:tcPr>
                <w:p>
                  <w:pPr>
                    <w:pStyle w:val="36"/>
                  </w:pPr>
                  <w:r>
                    <w:rPr>
                      <w:rFonts w:hint="eastAsia"/>
                    </w:rPr>
                    <w:t>≤15mg/L</w:t>
                  </w:r>
                </w:p>
              </w:tc>
              <w:tc>
                <w:tcPr>
                  <w:tcW w:w="1862" w:type="dxa"/>
                  <w:vMerge w:val="continue"/>
                  <w:vAlign w:val="center"/>
                </w:tcPr>
                <w:p>
                  <w:pPr>
                    <w:pStyle w:val="36"/>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jc w:val="center"/>
              </w:trPr>
              <w:tc>
                <w:tcPr>
                  <w:tcW w:w="1196" w:type="dxa"/>
                </w:tcPr>
                <w:p>
                  <w:pPr>
                    <w:pStyle w:val="36"/>
                  </w:pPr>
                  <w:r>
                    <w:rPr>
                      <w:rFonts w:hint="eastAsia"/>
                    </w:rPr>
                    <w:t>3</w:t>
                  </w:r>
                </w:p>
              </w:tc>
              <w:tc>
                <w:tcPr>
                  <w:tcW w:w="1965" w:type="dxa"/>
                  <w:vAlign w:val="center"/>
                </w:tcPr>
                <w:p>
                  <w:pPr>
                    <w:pStyle w:val="36"/>
                  </w:pPr>
                  <w:r>
                    <w:rPr>
                      <w:rFonts w:hint="eastAsia"/>
                    </w:rPr>
                    <w:t>BOD5</w:t>
                  </w:r>
                </w:p>
              </w:tc>
              <w:tc>
                <w:tcPr>
                  <w:tcW w:w="3011" w:type="dxa"/>
                  <w:vAlign w:val="center"/>
                </w:tcPr>
                <w:p>
                  <w:pPr>
                    <w:pStyle w:val="36"/>
                  </w:pPr>
                  <w:r>
                    <w:rPr>
                      <w:rFonts w:hint="eastAsia"/>
                    </w:rPr>
                    <w:t>≤3mg/L</w:t>
                  </w:r>
                </w:p>
              </w:tc>
              <w:tc>
                <w:tcPr>
                  <w:tcW w:w="1862" w:type="dxa"/>
                  <w:vMerge w:val="continue"/>
                  <w:vAlign w:val="center"/>
                </w:tcPr>
                <w:p>
                  <w:pPr>
                    <w:pStyle w:val="36"/>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jc w:val="center"/>
              </w:trPr>
              <w:tc>
                <w:tcPr>
                  <w:tcW w:w="1196" w:type="dxa"/>
                </w:tcPr>
                <w:p>
                  <w:pPr>
                    <w:pStyle w:val="36"/>
                  </w:pPr>
                  <w:r>
                    <w:rPr>
                      <w:rFonts w:hint="eastAsia"/>
                    </w:rPr>
                    <w:t>4</w:t>
                  </w:r>
                </w:p>
              </w:tc>
              <w:tc>
                <w:tcPr>
                  <w:tcW w:w="1965" w:type="dxa"/>
                  <w:vAlign w:val="center"/>
                </w:tcPr>
                <w:p>
                  <w:pPr>
                    <w:pStyle w:val="36"/>
                  </w:pPr>
                  <w:r>
                    <w:rPr>
                      <w:rFonts w:hint="eastAsia"/>
                    </w:rPr>
                    <w:t>NH3-N</w:t>
                  </w:r>
                </w:p>
              </w:tc>
              <w:tc>
                <w:tcPr>
                  <w:tcW w:w="3011" w:type="dxa"/>
                  <w:vAlign w:val="center"/>
                </w:tcPr>
                <w:p>
                  <w:pPr>
                    <w:pStyle w:val="36"/>
                  </w:pPr>
                  <w:r>
                    <w:rPr>
                      <w:rFonts w:hint="eastAsia"/>
                    </w:rPr>
                    <w:t>≤0.5mg/L</w:t>
                  </w:r>
                </w:p>
              </w:tc>
              <w:tc>
                <w:tcPr>
                  <w:tcW w:w="1862" w:type="dxa"/>
                  <w:vMerge w:val="continue"/>
                  <w:vAlign w:val="center"/>
                </w:tcPr>
                <w:p>
                  <w:pPr>
                    <w:pStyle w:val="36"/>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jc w:val="center"/>
              </w:trPr>
              <w:tc>
                <w:tcPr>
                  <w:tcW w:w="1196" w:type="dxa"/>
                </w:tcPr>
                <w:p>
                  <w:pPr>
                    <w:pStyle w:val="36"/>
                  </w:pPr>
                  <w:r>
                    <w:rPr>
                      <w:rFonts w:hint="eastAsia"/>
                    </w:rPr>
                    <w:t>5</w:t>
                  </w:r>
                </w:p>
              </w:tc>
              <w:tc>
                <w:tcPr>
                  <w:tcW w:w="1965" w:type="dxa"/>
                  <w:vAlign w:val="center"/>
                </w:tcPr>
                <w:p>
                  <w:pPr>
                    <w:pStyle w:val="36"/>
                  </w:pPr>
                  <w:r>
                    <w:rPr>
                      <w:rFonts w:hint="eastAsia"/>
                    </w:rPr>
                    <w:t>石油类</w:t>
                  </w:r>
                </w:p>
              </w:tc>
              <w:tc>
                <w:tcPr>
                  <w:tcW w:w="3011" w:type="dxa"/>
                  <w:vAlign w:val="center"/>
                </w:tcPr>
                <w:p>
                  <w:pPr>
                    <w:pStyle w:val="36"/>
                  </w:pPr>
                  <w:r>
                    <w:rPr>
                      <w:rFonts w:hint="eastAsia"/>
                    </w:rPr>
                    <w:t>≤0.05mg/L</w:t>
                  </w:r>
                </w:p>
              </w:tc>
              <w:tc>
                <w:tcPr>
                  <w:tcW w:w="1862" w:type="dxa"/>
                  <w:vMerge w:val="continue"/>
                  <w:vAlign w:val="center"/>
                </w:tcPr>
                <w:p>
                  <w:pPr>
                    <w:pStyle w:val="36"/>
                  </w:pPr>
                </w:p>
              </w:tc>
            </w:tr>
          </w:tbl>
          <w:p>
            <w:pPr>
              <w:pStyle w:val="40"/>
              <w:ind w:firstLine="482"/>
            </w:pPr>
            <w:r>
              <w:t>1.2</w:t>
            </w:r>
            <w:r>
              <w:rPr>
                <w:rFonts w:hint="eastAsia"/>
              </w:rPr>
              <w:t>环境空气</w:t>
            </w:r>
          </w:p>
          <w:p>
            <w:pPr>
              <w:spacing w:line="360" w:lineRule="auto"/>
              <w:ind w:firstLine="480" w:firstLineChars="200"/>
              <w:rPr>
                <w:rFonts w:ascii="Calibri" w:hAnsi="Calibri" w:eastAsia="Times New Roman"/>
              </w:rPr>
            </w:pPr>
            <w:r>
              <w:rPr>
                <w:rFonts w:hint="eastAsia" w:ascii="Calibri" w:hAnsi="Calibri"/>
              </w:rPr>
              <w:t>环境空气执行《环境空气质量标准》（GB3095-2012）中的二级标准，具体标准值见下表。</w:t>
            </w:r>
          </w:p>
          <w:p>
            <w:pPr>
              <w:pStyle w:val="38"/>
            </w:pPr>
            <w:r>
              <w:rPr>
                <w:rFonts w:hint="eastAsia"/>
              </w:rPr>
              <w:t>表3-5 环境空气质量标准       单位：μg/m3</w:t>
            </w:r>
          </w:p>
          <w:tbl>
            <w:tblPr>
              <w:tblStyle w:val="15"/>
              <w:tblW w:w="8037"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16"/>
              <w:gridCol w:w="897"/>
              <w:gridCol w:w="899"/>
              <w:gridCol w:w="897"/>
              <w:gridCol w:w="899"/>
              <w:gridCol w:w="897"/>
              <w:gridCol w:w="213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1" w:hRule="atLeast"/>
                <w:jc w:val="center"/>
              </w:trPr>
              <w:tc>
                <w:tcPr>
                  <w:tcW w:w="1416" w:type="dxa"/>
                  <w:vAlign w:val="center"/>
                </w:tcPr>
                <w:p>
                  <w:pPr>
                    <w:pStyle w:val="36"/>
                  </w:pPr>
                  <w:r>
                    <w:rPr>
                      <w:rFonts w:hint="eastAsia"/>
                    </w:rPr>
                    <w:t>取值时段</w:t>
                  </w:r>
                </w:p>
              </w:tc>
              <w:tc>
                <w:tcPr>
                  <w:tcW w:w="897" w:type="dxa"/>
                  <w:vAlign w:val="center"/>
                </w:tcPr>
                <w:p>
                  <w:pPr>
                    <w:pStyle w:val="36"/>
                  </w:pPr>
                  <w:r>
                    <w:rPr>
                      <w:rFonts w:hint="eastAsia"/>
                    </w:rPr>
                    <w:t>SO</w:t>
                  </w:r>
                  <w:r>
                    <w:rPr>
                      <w:rFonts w:hint="eastAsia"/>
                      <w:vertAlign w:val="subscript"/>
                    </w:rPr>
                    <w:t>2</w:t>
                  </w:r>
                </w:p>
              </w:tc>
              <w:tc>
                <w:tcPr>
                  <w:tcW w:w="899" w:type="dxa"/>
                  <w:vAlign w:val="center"/>
                </w:tcPr>
                <w:p>
                  <w:pPr>
                    <w:pStyle w:val="36"/>
                  </w:pPr>
                  <w:r>
                    <w:rPr>
                      <w:rFonts w:hint="eastAsia"/>
                    </w:rPr>
                    <w:t>NO</w:t>
                  </w:r>
                  <w:r>
                    <w:rPr>
                      <w:rFonts w:hint="eastAsia"/>
                      <w:vertAlign w:val="subscript"/>
                    </w:rPr>
                    <w:t>2</w:t>
                  </w:r>
                </w:p>
              </w:tc>
              <w:tc>
                <w:tcPr>
                  <w:tcW w:w="897" w:type="dxa"/>
                  <w:vAlign w:val="center"/>
                </w:tcPr>
                <w:p>
                  <w:pPr>
                    <w:pStyle w:val="36"/>
                  </w:pPr>
                  <w:r>
                    <w:rPr>
                      <w:rFonts w:hint="eastAsia"/>
                    </w:rPr>
                    <w:t>PM</w:t>
                  </w:r>
                  <w:r>
                    <w:rPr>
                      <w:rFonts w:hint="eastAsia"/>
                      <w:vertAlign w:val="subscript"/>
                    </w:rPr>
                    <w:t>10</w:t>
                  </w:r>
                </w:p>
              </w:tc>
              <w:tc>
                <w:tcPr>
                  <w:tcW w:w="899" w:type="dxa"/>
                  <w:vAlign w:val="center"/>
                </w:tcPr>
                <w:p>
                  <w:pPr>
                    <w:pStyle w:val="36"/>
                  </w:pPr>
                  <w:r>
                    <w:rPr>
                      <w:rFonts w:hint="eastAsia"/>
                    </w:rPr>
                    <w:t>PM</w:t>
                  </w:r>
                  <w:r>
                    <w:rPr>
                      <w:rFonts w:hint="eastAsia"/>
                      <w:vertAlign w:val="subscript"/>
                    </w:rPr>
                    <w:t>2.5</w:t>
                  </w:r>
                </w:p>
              </w:tc>
              <w:tc>
                <w:tcPr>
                  <w:tcW w:w="897" w:type="dxa"/>
                  <w:vAlign w:val="center"/>
                </w:tcPr>
                <w:p>
                  <w:pPr>
                    <w:pStyle w:val="36"/>
                  </w:pPr>
                  <w:r>
                    <w:rPr>
                      <w:rFonts w:hint="eastAsia"/>
                    </w:rPr>
                    <w:t>CO</w:t>
                  </w:r>
                </w:p>
              </w:tc>
              <w:tc>
                <w:tcPr>
                  <w:tcW w:w="2132" w:type="dxa"/>
                  <w:vAlign w:val="center"/>
                </w:tcPr>
                <w:p>
                  <w:pPr>
                    <w:pStyle w:val="36"/>
                  </w:pPr>
                  <w:r>
                    <w:rPr>
                      <w:rFonts w:hint="eastAsia"/>
                    </w:rPr>
                    <w:t>O</w:t>
                  </w:r>
                  <w:r>
                    <w:rPr>
                      <w:rFonts w:hint="eastAsia"/>
                      <w:vertAlign w:val="sub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1416" w:type="dxa"/>
                  <w:vAlign w:val="center"/>
                </w:tcPr>
                <w:p>
                  <w:pPr>
                    <w:pStyle w:val="36"/>
                  </w:pPr>
                  <w:r>
                    <w:rPr>
                      <w:rFonts w:hint="eastAsia"/>
                    </w:rPr>
                    <w:t>年平均</w:t>
                  </w:r>
                </w:p>
              </w:tc>
              <w:tc>
                <w:tcPr>
                  <w:tcW w:w="897" w:type="dxa"/>
                  <w:vAlign w:val="center"/>
                </w:tcPr>
                <w:p>
                  <w:pPr>
                    <w:pStyle w:val="36"/>
                  </w:pPr>
                  <w:r>
                    <w:rPr>
                      <w:rFonts w:hint="eastAsia"/>
                    </w:rPr>
                    <w:t>60</w:t>
                  </w:r>
                </w:p>
              </w:tc>
              <w:tc>
                <w:tcPr>
                  <w:tcW w:w="899" w:type="dxa"/>
                  <w:vAlign w:val="center"/>
                </w:tcPr>
                <w:p>
                  <w:pPr>
                    <w:pStyle w:val="36"/>
                  </w:pPr>
                  <w:r>
                    <w:rPr>
                      <w:rFonts w:hint="eastAsia"/>
                    </w:rPr>
                    <w:t>40</w:t>
                  </w:r>
                </w:p>
              </w:tc>
              <w:tc>
                <w:tcPr>
                  <w:tcW w:w="897" w:type="dxa"/>
                  <w:vAlign w:val="center"/>
                </w:tcPr>
                <w:p>
                  <w:pPr>
                    <w:pStyle w:val="36"/>
                  </w:pPr>
                  <w:r>
                    <w:rPr>
                      <w:rFonts w:hint="eastAsia"/>
                    </w:rPr>
                    <w:t>70</w:t>
                  </w:r>
                </w:p>
              </w:tc>
              <w:tc>
                <w:tcPr>
                  <w:tcW w:w="899" w:type="dxa"/>
                  <w:vAlign w:val="center"/>
                </w:tcPr>
                <w:p>
                  <w:pPr>
                    <w:pStyle w:val="36"/>
                  </w:pPr>
                  <w:r>
                    <w:rPr>
                      <w:rFonts w:hint="eastAsia"/>
                    </w:rPr>
                    <w:t>35</w:t>
                  </w:r>
                </w:p>
              </w:tc>
              <w:tc>
                <w:tcPr>
                  <w:tcW w:w="897" w:type="dxa"/>
                  <w:vAlign w:val="center"/>
                </w:tcPr>
                <w:p>
                  <w:pPr>
                    <w:pStyle w:val="36"/>
                  </w:pPr>
                  <w:r>
                    <w:rPr>
                      <w:rFonts w:hint="eastAsia"/>
                    </w:rPr>
                    <w:t>/</w:t>
                  </w:r>
                </w:p>
              </w:tc>
              <w:tc>
                <w:tcPr>
                  <w:tcW w:w="2132" w:type="dxa"/>
                  <w:vAlign w:val="center"/>
                </w:tcPr>
                <w:p>
                  <w:pPr>
                    <w:pStyle w:val="36"/>
                  </w:pPr>
                  <w:r>
                    <w:rPr>
                      <w:rFonts w:hint="eastAsia"/>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01" w:hRule="atLeast"/>
                <w:jc w:val="center"/>
              </w:trPr>
              <w:tc>
                <w:tcPr>
                  <w:tcW w:w="1416" w:type="dxa"/>
                  <w:vAlign w:val="center"/>
                </w:tcPr>
                <w:p>
                  <w:pPr>
                    <w:pStyle w:val="36"/>
                  </w:pPr>
                  <w:r>
                    <w:rPr>
                      <w:rFonts w:hint="eastAsia"/>
                    </w:rPr>
                    <w:t>24小时平均</w:t>
                  </w:r>
                </w:p>
              </w:tc>
              <w:tc>
                <w:tcPr>
                  <w:tcW w:w="897" w:type="dxa"/>
                  <w:vAlign w:val="center"/>
                </w:tcPr>
                <w:p>
                  <w:pPr>
                    <w:pStyle w:val="36"/>
                  </w:pPr>
                  <w:r>
                    <w:rPr>
                      <w:rFonts w:hint="eastAsia"/>
                    </w:rPr>
                    <w:t>150</w:t>
                  </w:r>
                </w:p>
              </w:tc>
              <w:tc>
                <w:tcPr>
                  <w:tcW w:w="899" w:type="dxa"/>
                  <w:vAlign w:val="center"/>
                </w:tcPr>
                <w:p>
                  <w:pPr>
                    <w:pStyle w:val="36"/>
                  </w:pPr>
                  <w:r>
                    <w:rPr>
                      <w:rFonts w:hint="eastAsia"/>
                    </w:rPr>
                    <w:t>80</w:t>
                  </w:r>
                </w:p>
              </w:tc>
              <w:tc>
                <w:tcPr>
                  <w:tcW w:w="897" w:type="dxa"/>
                  <w:vAlign w:val="center"/>
                </w:tcPr>
                <w:p>
                  <w:pPr>
                    <w:pStyle w:val="36"/>
                  </w:pPr>
                  <w:r>
                    <w:rPr>
                      <w:rFonts w:hint="eastAsia"/>
                    </w:rPr>
                    <w:t>150</w:t>
                  </w:r>
                </w:p>
              </w:tc>
              <w:tc>
                <w:tcPr>
                  <w:tcW w:w="899" w:type="dxa"/>
                  <w:vAlign w:val="center"/>
                </w:tcPr>
                <w:p>
                  <w:pPr>
                    <w:pStyle w:val="36"/>
                  </w:pPr>
                  <w:r>
                    <w:rPr>
                      <w:rFonts w:hint="eastAsia"/>
                    </w:rPr>
                    <w:t>75</w:t>
                  </w:r>
                </w:p>
              </w:tc>
              <w:tc>
                <w:tcPr>
                  <w:tcW w:w="897" w:type="dxa"/>
                  <w:vAlign w:val="center"/>
                </w:tcPr>
                <w:p>
                  <w:pPr>
                    <w:pStyle w:val="36"/>
                  </w:pPr>
                  <w:r>
                    <w:rPr>
                      <w:rFonts w:hint="eastAsia"/>
                    </w:rPr>
                    <w:t>4</w:t>
                  </w:r>
                  <w:r>
                    <w:t>000</w:t>
                  </w:r>
                </w:p>
              </w:tc>
              <w:tc>
                <w:tcPr>
                  <w:tcW w:w="2132" w:type="dxa"/>
                  <w:vAlign w:val="center"/>
                </w:tcPr>
                <w:p>
                  <w:pPr>
                    <w:pStyle w:val="36"/>
                  </w:pPr>
                  <w:r>
                    <w:rPr>
                      <w:rFonts w:hint="eastAsia"/>
                    </w:rPr>
                    <w:t>160（日最大8小时平均）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jc w:val="center"/>
              </w:trPr>
              <w:tc>
                <w:tcPr>
                  <w:tcW w:w="1416" w:type="dxa"/>
                  <w:vAlign w:val="center"/>
                </w:tcPr>
                <w:p>
                  <w:pPr>
                    <w:pStyle w:val="36"/>
                  </w:pPr>
                  <w:r>
                    <w:rPr>
                      <w:rFonts w:hint="eastAsia"/>
                    </w:rPr>
                    <w:t>1小时平均</w:t>
                  </w:r>
                </w:p>
              </w:tc>
              <w:tc>
                <w:tcPr>
                  <w:tcW w:w="897" w:type="dxa"/>
                  <w:vAlign w:val="center"/>
                </w:tcPr>
                <w:p>
                  <w:pPr>
                    <w:pStyle w:val="36"/>
                  </w:pPr>
                  <w:r>
                    <w:rPr>
                      <w:rFonts w:hint="eastAsia"/>
                    </w:rPr>
                    <w:t>500</w:t>
                  </w:r>
                </w:p>
              </w:tc>
              <w:tc>
                <w:tcPr>
                  <w:tcW w:w="899" w:type="dxa"/>
                  <w:vAlign w:val="center"/>
                </w:tcPr>
                <w:p>
                  <w:pPr>
                    <w:pStyle w:val="36"/>
                  </w:pPr>
                  <w:r>
                    <w:rPr>
                      <w:rFonts w:hint="eastAsia"/>
                    </w:rPr>
                    <w:t>200</w:t>
                  </w:r>
                </w:p>
              </w:tc>
              <w:tc>
                <w:tcPr>
                  <w:tcW w:w="897" w:type="dxa"/>
                  <w:vAlign w:val="center"/>
                </w:tcPr>
                <w:p>
                  <w:pPr>
                    <w:pStyle w:val="36"/>
                  </w:pPr>
                  <w:r>
                    <w:rPr>
                      <w:rFonts w:hint="eastAsia"/>
                    </w:rPr>
                    <w:t>/</w:t>
                  </w:r>
                </w:p>
              </w:tc>
              <w:tc>
                <w:tcPr>
                  <w:tcW w:w="899" w:type="dxa"/>
                  <w:vAlign w:val="center"/>
                </w:tcPr>
                <w:p>
                  <w:pPr>
                    <w:pStyle w:val="36"/>
                  </w:pPr>
                  <w:r>
                    <w:rPr>
                      <w:rFonts w:hint="eastAsia"/>
                    </w:rPr>
                    <w:t>/</w:t>
                  </w:r>
                </w:p>
              </w:tc>
              <w:tc>
                <w:tcPr>
                  <w:tcW w:w="897" w:type="dxa"/>
                  <w:vAlign w:val="center"/>
                </w:tcPr>
                <w:p>
                  <w:pPr>
                    <w:pStyle w:val="36"/>
                  </w:pPr>
                  <w:r>
                    <w:rPr>
                      <w:rFonts w:hint="eastAsia"/>
                    </w:rPr>
                    <w:t>10000</w:t>
                  </w:r>
                </w:p>
              </w:tc>
              <w:tc>
                <w:tcPr>
                  <w:tcW w:w="2132" w:type="dxa"/>
                  <w:vAlign w:val="center"/>
                </w:tcPr>
                <w:p>
                  <w:pPr>
                    <w:pStyle w:val="36"/>
                  </w:pPr>
                  <w:r>
                    <w:rPr>
                      <w:rFonts w:hint="eastAsia"/>
                    </w:rPr>
                    <w:t>200</w:t>
                  </w:r>
                </w:p>
              </w:tc>
            </w:tr>
          </w:tbl>
          <w:p>
            <w:pPr>
              <w:pStyle w:val="40"/>
              <w:ind w:firstLine="482"/>
              <w:rPr>
                <w:rFonts w:eastAsia="Times New Roman"/>
              </w:rPr>
            </w:pPr>
            <w:r>
              <w:rPr>
                <w:rFonts w:eastAsia="Times New Roman"/>
              </w:rPr>
              <w:t>1.3</w:t>
            </w:r>
            <w:r>
              <w:rPr>
                <w:rFonts w:hint="eastAsia"/>
              </w:rPr>
              <w:t>声环境质量</w:t>
            </w:r>
          </w:p>
          <w:p>
            <w:pPr>
              <w:pStyle w:val="42"/>
              <w:ind w:firstLine="480"/>
            </w:pPr>
            <w:r>
              <w:rPr>
                <w:rFonts w:hint="eastAsia"/>
              </w:rPr>
              <w:t>环境噪声执行《声环境质量标准》（GB3096-2008）中2类标准，具体限值见下表。</w:t>
            </w:r>
          </w:p>
          <w:p>
            <w:pPr>
              <w:pStyle w:val="38"/>
            </w:pPr>
            <w:r>
              <w:rPr>
                <w:rFonts w:hint="eastAsia"/>
              </w:rPr>
              <w:t>表3-6 声环境质量标准      单位：dB（A）</w:t>
            </w:r>
          </w:p>
          <w:tbl>
            <w:tblPr>
              <w:tblStyle w:val="15"/>
              <w:tblW w:w="8037"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2145"/>
              <w:gridCol w:w="2260"/>
              <w:gridCol w:w="363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PrEx>
              <w:trPr>
                <w:trHeight w:val="257" w:hRule="atLeast"/>
                <w:jc w:val="center"/>
              </w:trPr>
              <w:tc>
                <w:tcPr>
                  <w:tcW w:w="2145" w:type="dxa"/>
                  <w:vAlign w:val="center"/>
                </w:tcPr>
                <w:p>
                  <w:pPr>
                    <w:pStyle w:val="36"/>
                  </w:pPr>
                  <w:r>
                    <w:rPr>
                      <w:rFonts w:hint="eastAsia"/>
                    </w:rPr>
                    <w:t>类别</w:t>
                  </w:r>
                </w:p>
              </w:tc>
              <w:tc>
                <w:tcPr>
                  <w:tcW w:w="2260" w:type="dxa"/>
                  <w:vAlign w:val="center"/>
                </w:tcPr>
                <w:p>
                  <w:pPr>
                    <w:pStyle w:val="36"/>
                  </w:pPr>
                  <w:r>
                    <w:rPr>
                      <w:rFonts w:hint="eastAsia"/>
                    </w:rPr>
                    <w:t>昼间</w:t>
                  </w:r>
                </w:p>
              </w:tc>
              <w:tc>
                <w:tcPr>
                  <w:tcW w:w="3632" w:type="dxa"/>
                  <w:vAlign w:val="center"/>
                </w:tcPr>
                <w:p>
                  <w:pPr>
                    <w:pStyle w:val="36"/>
                  </w:pPr>
                  <w:r>
                    <w:rPr>
                      <w:rFonts w:hint="eastAsia"/>
                    </w:rPr>
                    <w:t>夜间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66" w:hRule="atLeast"/>
                <w:jc w:val="center"/>
              </w:trPr>
              <w:tc>
                <w:tcPr>
                  <w:tcW w:w="2145" w:type="dxa"/>
                  <w:vAlign w:val="center"/>
                </w:tcPr>
                <w:p>
                  <w:pPr>
                    <w:pStyle w:val="36"/>
                  </w:pPr>
                  <w:r>
                    <w:rPr>
                      <w:rFonts w:hint="eastAsia"/>
                    </w:rPr>
                    <w:t>2类</w:t>
                  </w:r>
                </w:p>
              </w:tc>
              <w:tc>
                <w:tcPr>
                  <w:tcW w:w="2260" w:type="dxa"/>
                  <w:vAlign w:val="center"/>
                </w:tcPr>
                <w:p>
                  <w:pPr>
                    <w:pStyle w:val="36"/>
                  </w:pPr>
                  <w:r>
                    <w:rPr>
                      <w:rFonts w:hint="eastAsia"/>
                    </w:rPr>
                    <w:t>60</w:t>
                  </w:r>
                </w:p>
              </w:tc>
              <w:tc>
                <w:tcPr>
                  <w:tcW w:w="3632" w:type="dxa"/>
                  <w:vAlign w:val="center"/>
                </w:tcPr>
                <w:p>
                  <w:pPr>
                    <w:pStyle w:val="36"/>
                  </w:pPr>
                  <w:r>
                    <w:rPr>
                      <w:rFonts w:hint="eastAsia"/>
                    </w:rPr>
                    <w:t>50</w:t>
                  </w:r>
                </w:p>
              </w:tc>
            </w:tr>
          </w:tbl>
          <w:p>
            <w:pPr>
              <w:pStyle w:val="40"/>
              <w:ind w:firstLine="482"/>
            </w:pPr>
            <w:r>
              <w:t>2</w:t>
            </w:r>
            <w:r>
              <w:rPr>
                <w:rFonts w:hint="eastAsia"/>
              </w:rPr>
              <w:t>、污染物排放标准</w:t>
            </w:r>
          </w:p>
          <w:p>
            <w:pPr>
              <w:pStyle w:val="40"/>
              <w:ind w:firstLine="482"/>
            </w:pPr>
            <w:r>
              <w:t>2.1</w:t>
            </w:r>
            <w:r>
              <w:rPr>
                <w:rFonts w:hint="eastAsia"/>
              </w:rPr>
              <w:t>废水</w:t>
            </w:r>
          </w:p>
          <w:p>
            <w:pPr>
              <w:spacing w:line="360" w:lineRule="auto"/>
              <w:ind w:firstLine="480" w:firstLineChars="200"/>
              <w:rPr>
                <w:rFonts w:ascii="Calibri" w:hAnsi="Calibri" w:eastAsia="Times New Roman"/>
                <w:color w:val="000000"/>
                <w:szCs w:val="28"/>
              </w:rPr>
            </w:pPr>
            <w:r>
              <w:rPr>
                <w:rFonts w:hint="eastAsia" w:ascii="Calibri" w:hAnsi="Calibri"/>
                <w:color w:val="000000"/>
              </w:rPr>
              <w:t>本项目施工期废水经沉淀后回用，不外排。营运期无废水排放。</w:t>
            </w:r>
          </w:p>
          <w:p>
            <w:pPr>
              <w:pStyle w:val="40"/>
              <w:ind w:firstLine="482"/>
            </w:pPr>
            <w:r>
              <w:t>2.2</w:t>
            </w:r>
            <w:r>
              <w:rPr>
                <w:rFonts w:hint="eastAsia"/>
              </w:rPr>
              <w:t>废气</w:t>
            </w:r>
          </w:p>
          <w:p>
            <w:pPr>
              <w:pStyle w:val="42"/>
              <w:ind w:firstLine="480"/>
            </w:pPr>
            <w:r>
              <w:rPr>
                <w:rFonts w:hint="eastAsia"/>
              </w:rPr>
              <w:t>施工期扬尘执行《四川省施工场地扬尘排放标准》（DB51/2682-2020）中不同施工阶段的标准限值。</w:t>
            </w:r>
          </w:p>
          <w:p>
            <w:pPr>
              <w:pStyle w:val="38"/>
            </w:pPr>
            <w:r>
              <w:rPr>
                <w:rFonts w:hint="eastAsia"/>
              </w:rPr>
              <w:t>表3-7 施工期扬尘排放标准限值</w:t>
            </w:r>
          </w:p>
          <w:tbl>
            <w:tblPr>
              <w:tblStyle w:val="15"/>
              <w:tblW w:w="8034"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48"/>
              <w:gridCol w:w="3107"/>
              <w:gridCol w:w="1446"/>
              <w:gridCol w:w="1436"/>
              <w:gridCol w:w="79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48" w:type="dxa"/>
                  <w:vAlign w:val="center"/>
                </w:tcPr>
                <w:p>
                  <w:pPr>
                    <w:pStyle w:val="36"/>
                    <w:rPr>
                      <w:rFonts w:eastAsia="Times New Roman"/>
                    </w:rPr>
                  </w:pPr>
                  <w:r>
                    <w:rPr>
                      <w:rFonts w:hint="eastAsia"/>
                    </w:rPr>
                    <w:t>监测项目</w:t>
                  </w:r>
                </w:p>
              </w:tc>
              <w:tc>
                <w:tcPr>
                  <w:tcW w:w="3107" w:type="dxa"/>
                  <w:vAlign w:val="center"/>
                </w:tcPr>
                <w:p>
                  <w:pPr>
                    <w:pStyle w:val="36"/>
                    <w:rPr>
                      <w:rFonts w:eastAsia="Times New Roman"/>
                    </w:rPr>
                  </w:pPr>
                  <w:r>
                    <w:rPr>
                      <w:rFonts w:hint="eastAsia"/>
                    </w:rPr>
                    <w:t>区域</w:t>
                  </w:r>
                </w:p>
              </w:tc>
              <w:tc>
                <w:tcPr>
                  <w:tcW w:w="1446" w:type="dxa"/>
                  <w:vAlign w:val="center"/>
                </w:tcPr>
                <w:p>
                  <w:pPr>
                    <w:pStyle w:val="36"/>
                    <w:rPr>
                      <w:rFonts w:eastAsia="Times New Roman"/>
                    </w:rPr>
                  </w:pPr>
                  <w:r>
                    <w:rPr>
                      <w:rFonts w:hint="eastAsia"/>
                    </w:rPr>
                    <w:t>施工阶段</w:t>
                  </w:r>
                </w:p>
              </w:tc>
              <w:tc>
                <w:tcPr>
                  <w:tcW w:w="1436" w:type="dxa"/>
                  <w:vAlign w:val="center"/>
                </w:tcPr>
                <w:p>
                  <w:pPr>
                    <w:pStyle w:val="36"/>
                    <w:rPr>
                      <w:rFonts w:eastAsia="Times New Roman"/>
                    </w:rPr>
                  </w:pPr>
                  <w:r>
                    <w:rPr>
                      <w:rFonts w:hint="eastAsia"/>
                    </w:rPr>
                    <w:t>监测点排放限值（μg/</w:t>
                  </w:r>
                  <w:r>
                    <w:rPr>
                      <w:rFonts w:hint="eastAsia" w:eastAsia="Times New Roman"/>
                    </w:rPr>
                    <w:t>m</w:t>
                  </w:r>
                  <w:r>
                    <w:rPr>
                      <w:rFonts w:hint="eastAsia" w:eastAsia="Times New Roman"/>
                      <w:vertAlign w:val="superscript"/>
                    </w:rPr>
                    <w:t>3</w:t>
                  </w:r>
                  <w:r>
                    <w:rPr>
                      <w:rFonts w:hint="eastAsia"/>
                    </w:rPr>
                    <w:t>）</w:t>
                  </w:r>
                </w:p>
              </w:tc>
              <w:tc>
                <w:tcPr>
                  <w:tcW w:w="797" w:type="dxa"/>
                  <w:vAlign w:val="center"/>
                </w:tcPr>
                <w:p>
                  <w:pPr>
                    <w:pStyle w:val="36"/>
                    <w:rPr>
                      <w:rFonts w:eastAsia="Times New Roman"/>
                    </w:rPr>
                  </w:pPr>
                  <w:r>
                    <w:rPr>
                      <w:rFonts w:hint="eastAsia"/>
                    </w:rPr>
                    <w:t>监测时间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48" w:type="dxa"/>
                  <w:vMerge w:val="restart"/>
                  <w:vAlign w:val="center"/>
                </w:tcPr>
                <w:p>
                  <w:pPr>
                    <w:pStyle w:val="36"/>
                    <w:rPr>
                      <w:rFonts w:eastAsia="Times New Roman"/>
                    </w:rPr>
                  </w:pPr>
                  <w:r>
                    <w:rPr>
                      <w:rFonts w:hint="eastAsia"/>
                    </w:rPr>
                    <w:t>总悬浮颗粒物（TSP）</w:t>
                  </w:r>
                </w:p>
              </w:tc>
              <w:tc>
                <w:tcPr>
                  <w:tcW w:w="3107" w:type="dxa"/>
                  <w:vMerge w:val="restart"/>
                  <w:vAlign w:val="center"/>
                </w:tcPr>
                <w:p>
                  <w:pPr>
                    <w:pStyle w:val="36"/>
                    <w:rPr>
                      <w:rFonts w:eastAsia="Times New Roman"/>
                    </w:rPr>
                  </w:pPr>
                  <w:r>
                    <w:rPr>
                      <w:rFonts w:hint="eastAsia"/>
                    </w:rPr>
                    <w:t>成都市、自贡市、泸州市、德阳市、绵阳市、广元市、遂宁市、内江市、乐山市、南充市、宜宾市、广安市、达州市、巴中市、雅安市、宜宾市、资阳市</w:t>
                  </w:r>
                </w:p>
              </w:tc>
              <w:tc>
                <w:tcPr>
                  <w:tcW w:w="1446" w:type="dxa"/>
                  <w:vAlign w:val="center"/>
                </w:tcPr>
                <w:p>
                  <w:pPr>
                    <w:pStyle w:val="36"/>
                    <w:rPr>
                      <w:rFonts w:eastAsia="Times New Roman"/>
                    </w:rPr>
                  </w:pPr>
                  <w:r>
                    <w:rPr>
                      <w:rFonts w:hint="eastAsia"/>
                    </w:rPr>
                    <w:t>拆除工程/土方开挖/土方回填阶段</w:t>
                  </w:r>
                </w:p>
              </w:tc>
              <w:tc>
                <w:tcPr>
                  <w:tcW w:w="1436" w:type="dxa"/>
                  <w:vAlign w:val="center"/>
                </w:tcPr>
                <w:p>
                  <w:pPr>
                    <w:pStyle w:val="36"/>
                    <w:rPr>
                      <w:rFonts w:eastAsia="Times New Roman"/>
                    </w:rPr>
                  </w:pPr>
                  <w:r>
                    <w:rPr>
                      <w:rFonts w:hint="eastAsia" w:eastAsia="Times New Roman"/>
                    </w:rPr>
                    <w:t>600</w:t>
                  </w:r>
                </w:p>
              </w:tc>
              <w:tc>
                <w:tcPr>
                  <w:tcW w:w="797" w:type="dxa"/>
                  <w:vMerge w:val="restart"/>
                  <w:vAlign w:val="center"/>
                </w:tcPr>
                <w:p>
                  <w:pPr>
                    <w:pStyle w:val="36"/>
                    <w:rPr>
                      <w:rFonts w:eastAsia="Times New Roman"/>
                    </w:rPr>
                  </w:pPr>
                  <w:r>
                    <w:rPr>
                      <w:rFonts w:hint="eastAsia"/>
                    </w:rPr>
                    <w:t>自监测起持续15分钟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48" w:type="dxa"/>
                  <w:vMerge w:val="continue"/>
                  <w:vAlign w:val="center"/>
                </w:tcPr>
                <w:p>
                  <w:pPr>
                    <w:pStyle w:val="36"/>
                  </w:pPr>
                </w:p>
              </w:tc>
              <w:tc>
                <w:tcPr>
                  <w:tcW w:w="3107" w:type="dxa"/>
                  <w:vMerge w:val="continue"/>
                  <w:vAlign w:val="center"/>
                </w:tcPr>
                <w:p>
                  <w:pPr>
                    <w:pStyle w:val="36"/>
                    <w:rPr>
                      <w:rFonts w:eastAsia="Times New Roman"/>
                    </w:rPr>
                  </w:pPr>
                </w:p>
              </w:tc>
              <w:tc>
                <w:tcPr>
                  <w:tcW w:w="1446" w:type="dxa"/>
                  <w:vAlign w:val="center"/>
                </w:tcPr>
                <w:p>
                  <w:pPr>
                    <w:pStyle w:val="36"/>
                    <w:rPr>
                      <w:rFonts w:eastAsia="Times New Roman"/>
                    </w:rPr>
                  </w:pPr>
                  <w:r>
                    <w:rPr>
                      <w:rFonts w:hint="eastAsia"/>
                    </w:rPr>
                    <w:t>其他工程阶段</w:t>
                  </w:r>
                </w:p>
              </w:tc>
              <w:tc>
                <w:tcPr>
                  <w:tcW w:w="1436" w:type="dxa"/>
                  <w:vAlign w:val="center"/>
                </w:tcPr>
                <w:p>
                  <w:pPr>
                    <w:pStyle w:val="36"/>
                    <w:rPr>
                      <w:rFonts w:eastAsia="Times New Roman"/>
                    </w:rPr>
                  </w:pPr>
                  <w:r>
                    <w:rPr>
                      <w:rFonts w:hint="eastAsia" w:eastAsia="Times New Roman"/>
                    </w:rPr>
                    <w:t>250</w:t>
                  </w:r>
                </w:p>
              </w:tc>
              <w:tc>
                <w:tcPr>
                  <w:tcW w:w="797" w:type="dxa"/>
                  <w:vMerge w:val="continue"/>
                  <w:vAlign w:val="center"/>
                </w:tcPr>
                <w:p>
                  <w:pPr>
                    <w:pStyle w:val="36"/>
                  </w:pPr>
                </w:p>
              </w:tc>
            </w:tr>
          </w:tbl>
          <w:p>
            <w:pPr>
              <w:pStyle w:val="40"/>
              <w:ind w:firstLine="482"/>
            </w:pPr>
            <w:r>
              <w:t>2.3</w:t>
            </w:r>
            <w:r>
              <w:rPr>
                <w:rFonts w:hint="eastAsia"/>
              </w:rPr>
              <w:t>噪声</w:t>
            </w:r>
          </w:p>
          <w:p>
            <w:pPr>
              <w:pStyle w:val="42"/>
              <w:ind w:firstLine="480"/>
              <w:rPr>
                <w:rFonts w:eastAsia="Times New Roman"/>
              </w:rPr>
            </w:pPr>
            <w:r>
              <w:rPr>
                <w:rFonts w:hint="eastAsia"/>
              </w:rPr>
              <w:t>施工期噪声执行《建筑施工场界环境噪声排放标准》（GB12523-2011）中相关标准。</w:t>
            </w:r>
          </w:p>
          <w:p>
            <w:pPr>
              <w:pStyle w:val="38"/>
            </w:pPr>
            <w:r>
              <w:rPr>
                <w:rFonts w:hint="eastAsia"/>
              </w:rPr>
              <w:t>表3-8 建筑施工场界环境噪声排放标准</w:t>
            </w:r>
          </w:p>
          <w:tbl>
            <w:tblPr>
              <w:tblStyle w:val="15"/>
              <w:tblW w:w="8037"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00"/>
              <w:gridCol w:w="413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91" w:hRule="exact"/>
                <w:jc w:val="center"/>
              </w:trPr>
              <w:tc>
                <w:tcPr>
                  <w:tcW w:w="3900" w:type="dxa"/>
                  <w:vAlign w:val="center"/>
                </w:tcPr>
                <w:p>
                  <w:pPr>
                    <w:pStyle w:val="36"/>
                    <w:rPr>
                      <w:rFonts w:eastAsia="Times New Roman"/>
                    </w:rPr>
                  </w:pPr>
                  <w:r>
                    <w:rPr>
                      <w:rFonts w:hint="eastAsia"/>
                    </w:rPr>
                    <w:t>昼间dB（A）</w:t>
                  </w:r>
                </w:p>
              </w:tc>
              <w:tc>
                <w:tcPr>
                  <w:tcW w:w="4137" w:type="dxa"/>
                  <w:vAlign w:val="center"/>
                </w:tcPr>
                <w:p>
                  <w:pPr>
                    <w:pStyle w:val="36"/>
                    <w:rPr>
                      <w:rFonts w:eastAsia="Times New Roman"/>
                    </w:rPr>
                  </w:pPr>
                  <w:r>
                    <w:rPr>
                      <w:rFonts w:hint="eastAsia"/>
                    </w:rPr>
                    <w:t>夜间dB（A）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4" w:hRule="exact"/>
                <w:jc w:val="center"/>
              </w:trPr>
              <w:tc>
                <w:tcPr>
                  <w:tcW w:w="3900" w:type="dxa"/>
                  <w:vAlign w:val="center"/>
                </w:tcPr>
                <w:p>
                  <w:pPr>
                    <w:pStyle w:val="36"/>
                    <w:rPr>
                      <w:rFonts w:eastAsia="Times New Roman"/>
                    </w:rPr>
                  </w:pPr>
                  <w:r>
                    <w:rPr>
                      <w:rFonts w:hint="eastAsia" w:eastAsia="Times New Roman"/>
                    </w:rPr>
                    <w:t>70</w:t>
                  </w:r>
                </w:p>
              </w:tc>
              <w:tc>
                <w:tcPr>
                  <w:tcW w:w="4137" w:type="dxa"/>
                  <w:vAlign w:val="center"/>
                </w:tcPr>
                <w:p>
                  <w:pPr>
                    <w:pStyle w:val="36"/>
                    <w:rPr>
                      <w:rFonts w:eastAsia="Times New Roman"/>
                    </w:rPr>
                  </w:pPr>
                  <w:r>
                    <w:rPr>
                      <w:rFonts w:hint="eastAsia" w:eastAsia="Times New Roman"/>
                    </w:rPr>
                    <w:t>55</w:t>
                  </w:r>
                </w:p>
              </w:tc>
            </w:tr>
          </w:tbl>
          <w:p>
            <w:pPr>
              <w:pStyle w:val="40"/>
              <w:ind w:firstLine="482"/>
              <w:rPr>
                <w:rFonts w:eastAsia="Times New Roman"/>
              </w:rPr>
            </w:pPr>
            <w:r>
              <w:rPr>
                <w:rFonts w:eastAsia="Times New Roman"/>
              </w:rPr>
              <w:t>2.4</w:t>
            </w:r>
            <w:r>
              <w:rPr>
                <w:rFonts w:hint="eastAsia"/>
              </w:rPr>
              <w:t>固体废弃物</w:t>
            </w:r>
          </w:p>
          <w:p>
            <w:pPr>
              <w:pStyle w:val="42"/>
              <w:ind w:firstLine="480"/>
            </w:pPr>
            <w:r>
              <w:rPr>
                <w:rFonts w:hint="eastAsia"/>
              </w:rPr>
              <w:t>施工期：固体废物（建筑垃圾、生活垃圾）执行《一般工业固体废物贮存和填埋污染控制标准》(GB18599—2020)中相关规定。</w:t>
            </w:r>
          </w:p>
          <w:p>
            <w:pPr>
              <w:pStyle w:val="40"/>
              <w:ind w:firstLine="482"/>
            </w:pPr>
            <w:r>
              <w:t>2.5</w:t>
            </w:r>
            <w:r>
              <w:rPr>
                <w:rFonts w:hint="eastAsia"/>
              </w:rPr>
              <w:t>生态环境</w:t>
            </w:r>
          </w:p>
          <w:p>
            <w:pPr>
              <w:pStyle w:val="42"/>
              <w:ind w:firstLine="480"/>
            </w:pPr>
            <w:r>
              <w:rPr>
                <w:rFonts w:hint="eastAsia"/>
              </w:rPr>
              <w:t>（1）以不减少区域内濒危珍稀动植物和不破坏生态系统完整性作为目标。</w:t>
            </w:r>
          </w:p>
          <w:p>
            <w:pPr>
              <w:pStyle w:val="42"/>
              <w:ind w:firstLine="480"/>
              <w:rPr>
                <w:rFonts w:hint="eastAsia" w:ascii="宋体" w:hAnsi="宋体"/>
                <w:sz w:val="28"/>
                <w:szCs w:val="28"/>
              </w:rPr>
            </w:pPr>
            <w:r>
              <w:rPr>
                <w:rFonts w:hint="eastAsia"/>
              </w:rPr>
              <w:t>（2）水土流失以不增加土壤侵蚀强度为标准。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63" w:hRule="atLeast"/>
          <w:jc w:val="center"/>
        </w:trPr>
        <w:tc>
          <w:tcPr>
            <w:tcW w:w="904" w:type="dxa"/>
            <w:vAlign w:val="center"/>
          </w:tcPr>
          <w:p>
            <w:pPr>
              <w:adjustRightInd w:val="0"/>
              <w:snapToGrid w:val="0"/>
              <w:jc w:val="center"/>
              <w:rPr>
                <w:rFonts w:hint="eastAsia"/>
              </w:rPr>
            </w:pPr>
            <w:r>
              <w:rPr>
                <w:rFonts w:hint="eastAsia"/>
              </w:rPr>
              <w:t>其他</w:t>
            </w:r>
          </w:p>
        </w:tc>
        <w:tc>
          <w:tcPr>
            <w:tcW w:w="8253" w:type="dxa"/>
            <w:vAlign w:val="center"/>
          </w:tcPr>
          <w:p>
            <w:pPr>
              <w:pStyle w:val="42"/>
              <w:ind w:firstLine="480"/>
              <w:rPr>
                <w:rFonts w:hint="eastAsia" w:ascii="宋体" w:hAnsi="宋体"/>
                <w:sz w:val="28"/>
                <w:szCs w:val="28"/>
              </w:rPr>
            </w:pPr>
            <w:r>
              <w:rPr>
                <w:rFonts w:hint="eastAsia"/>
              </w:rPr>
              <w:t>本项目属于非污染型建设项目，建成后运营期不产生污染物，故评价不对其污染物的排放提出总量控制指标。</w:t>
            </w:r>
          </w:p>
        </w:tc>
      </w:tr>
    </w:tbl>
    <w:p>
      <w:pPr>
        <w:pStyle w:val="13"/>
        <w:adjustRightInd w:val="0"/>
        <w:snapToGrid w:val="0"/>
        <w:spacing w:before="0" w:beforeAutospacing="0" w:after="0" w:afterAutospacing="0" w:line="14" w:lineRule="auto"/>
        <w:ind w:firstLine="720"/>
        <w:jc w:val="center"/>
        <w:rPr>
          <w:rFonts w:hint="eastAsia" w:ascii="黑体" w:hAnsi="黑体" w:eastAsia="黑体"/>
          <w:snapToGrid w:val="0"/>
          <w:kern w:val="2"/>
          <w:sz w:val="36"/>
          <w:szCs w:val="36"/>
        </w:rPr>
      </w:pPr>
    </w:p>
    <w:p>
      <w:pPr>
        <w:pStyle w:val="13"/>
        <w:ind w:firstLine="720"/>
        <w:jc w:val="center"/>
        <w:outlineLvl w:val="0"/>
        <w:rPr>
          <w:rFonts w:hint="eastAsia" w:ascii="黑体" w:hAnsi="黑体" w:eastAsia="黑体"/>
          <w:snapToGrid w:val="0"/>
          <w:sz w:val="30"/>
          <w:szCs w:val="30"/>
        </w:rPr>
      </w:pPr>
      <w:r>
        <w:rPr>
          <w:rFonts w:ascii="黑体" w:hAnsi="黑体" w:eastAsia="黑体"/>
          <w:snapToGrid w:val="0"/>
          <w:kern w:val="2"/>
          <w:sz w:val="36"/>
          <w:szCs w:val="36"/>
        </w:rPr>
        <w:br w:type="page"/>
      </w:r>
      <w:r>
        <w:rPr>
          <w:rFonts w:hint="eastAsia" w:ascii="黑体" w:hAnsi="黑体" w:eastAsia="黑体"/>
          <w:snapToGrid w:val="0"/>
          <w:sz w:val="30"/>
          <w:szCs w:val="30"/>
        </w:rPr>
        <w:t>四、生态环境影响分析</w:t>
      </w:r>
    </w:p>
    <w:tbl>
      <w:tblPr>
        <w:tblStyle w:val="15"/>
        <w:tblW w:w="9242"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79"/>
        <w:gridCol w:w="836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006" w:hRule="atLeast"/>
          <w:jc w:val="center"/>
        </w:trPr>
        <w:tc>
          <w:tcPr>
            <w:tcW w:w="879" w:type="dxa"/>
            <w:tcMar>
              <w:left w:w="28" w:type="dxa"/>
              <w:right w:w="28" w:type="dxa"/>
            </w:tcMar>
            <w:vAlign w:val="center"/>
          </w:tcPr>
          <w:p>
            <w:pPr>
              <w:pStyle w:val="13"/>
              <w:adjustRightInd w:val="0"/>
              <w:snapToGrid w:val="0"/>
              <w:spacing w:before="0" w:beforeAutospacing="0" w:after="0" w:afterAutospacing="0"/>
              <w:jc w:val="center"/>
              <w:rPr>
                <w:rFonts w:hint="eastAsia"/>
                <w:bCs/>
                <w:kern w:val="2"/>
              </w:rPr>
            </w:pPr>
            <w:bookmarkStart w:id="12" w:name="_Hlk49796138"/>
            <w:r>
              <w:rPr>
                <w:rFonts w:hint="eastAsia"/>
                <w:bCs/>
                <w:spacing w:val="10"/>
                <w:kern w:val="2"/>
              </w:rPr>
              <w:t>施工期生态环境影响分析</w:t>
            </w:r>
            <w:bookmarkEnd w:id="12"/>
          </w:p>
        </w:tc>
        <w:tc>
          <w:tcPr>
            <w:tcW w:w="8363" w:type="dxa"/>
          </w:tcPr>
          <w:p>
            <w:pPr>
              <w:pStyle w:val="40"/>
              <w:ind w:firstLine="482"/>
            </w:pPr>
            <w:r>
              <w:rPr>
                <w:rFonts w:hint="eastAsia"/>
              </w:rPr>
              <w:t>1、</w:t>
            </w:r>
            <w:r>
              <w:t>施工期环境影响分析</w:t>
            </w:r>
          </w:p>
          <w:p>
            <w:pPr>
              <w:pStyle w:val="40"/>
              <w:ind w:firstLine="482"/>
            </w:pPr>
            <w:r>
              <w:t>1</w:t>
            </w:r>
            <w:r>
              <w:rPr>
                <w:rFonts w:hint="eastAsia"/>
              </w:rPr>
              <w:t>.1</w:t>
            </w:r>
            <w:r>
              <w:t>生态环境影响分析</w:t>
            </w:r>
          </w:p>
          <w:p>
            <w:pPr>
              <w:pStyle w:val="40"/>
              <w:ind w:firstLine="482"/>
            </w:pPr>
            <w:r>
              <w:rPr>
                <w:rFonts w:hint="eastAsia"/>
              </w:rPr>
              <w:t>1.1.1</w:t>
            </w:r>
            <w:r>
              <w:t>对生态系统的影响分析</w:t>
            </w:r>
          </w:p>
          <w:p>
            <w:pPr>
              <w:snapToGrid w:val="0"/>
              <w:spacing w:line="360" w:lineRule="auto"/>
              <w:ind w:firstLine="480" w:firstLineChars="200"/>
              <w:rPr>
                <w:rFonts w:hint="eastAsia"/>
              </w:rPr>
            </w:pPr>
            <w:r>
              <w:rPr>
                <w:rFonts w:hint="eastAsia"/>
              </w:rPr>
              <w:t>本项目给排水工程、泄洪涵洞工程、堤坝工程、取水工程、墨砚湖岸工程、湖体水生态工程、来龙山堰闸工程和碧山庙村拱堰改造工程主要施工期影响为：土石方开挖、填筑以及施工人员的践踏等，将使施工作业区周围的林草植被遭受直接的破坏作用，从而使群落的生物多样性降低；本项目60m大街排水改造项目、迎宾大道片区排水改造项目、蜀北下路排水改造工程、客运站片区排洪通道项目、蜀北中路排水改造项目、普宁街排洪通道项目、县城内涝整治及管网修复项目、上游片区排水改造工程和普安大道周边道路排水工程临时占地为现有道路，不涉及植被破坏。</w:t>
            </w:r>
          </w:p>
          <w:p>
            <w:pPr>
              <w:snapToGrid w:val="0"/>
              <w:spacing w:line="360" w:lineRule="auto"/>
              <w:ind w:firstLine="480" w:firstLineChars="200"/>
              <w:rPr>
                <w:rFonts w:hint="eastAsia"/>
              </w:rPr>
            </w:pPr>
            <w:r>
              <w:t>根据现场调查，在工程影响范围内，受工程影响的植物均属一般常见种，其生长范围广，适应性强。地表植被的损失将对现有生态系统产生一定的影响，但由于损失的面积相对于项目所在区域是少量的，施工期结束后对场地进行绿化将弥补部分损失的生物量，因此施工活动不会影响项目区的生态系统稳定性和完整性。</w:t>
            </w:r>
          </w:p>
          <w:p>
            <w:pPr>
              <w:snapToGrid w:val="0"/>
              <w:spacing w:line="360" w:lineRule="auto"/>
              <w:ind w:firstLine="482" w:firstLineChars="200"/>
              <w:rPr>
                <w:rFonts w:hint="eastAsia"/>
                <w:b/>
              </w:rPr>
            </w:pPr>
            <w:r>
              <w:rPr>
                <w:rFonts w:hint="eastAsia"/>
                <w:b/>
              </w:rPr>
              <w:t>1.1.2</w:t>
            </w:r>
            <w:r>
              <w:rPr>
                <w:b/>
              </w:rPr>
              <w:t>对</w:t>
            </w:r>
            <w:r>
              <w:rPr>
                <w:rFonts w:hint="eastAsia"/>
                <w:b/>
              </w:rPr>
              <w:t>陆生生态环境的影响</w:t>
            </w:r>
          </w:p>
          <w:p>
            <w:pPr>
              <w:snapToGrid w:val="0"/>
              <w:spacing w:line="360" w:lineRule="auto"/>
              <w:ind w:firstLine="480" w:firstLineChars="200"/>
              <w:rPr>
                <w:rFonts w:hint="eastAsia"/>
              </w:rPr>
            </w:pPr>
            <w:r>
              <w:rPr>
                <w:rFonts w:hint="eastAsia"/>
              </w:rPr>
              <w:t>（1）</w:t>
            </w:r>
            <w:r>
              <w:t>对陆生植物的影响</w:t>
            </w:r>
          </w:p>
          <w:p>
            <w:pPr>
              <w:snapToGrid w:val="0"/>
              <w:spacing w:line="360" w:lineRule="auto"/>
              <w:ind w:firstLine="480" w:firstLineChars="200"/>
              <w:rPr>
                <w:rFonts w:hint="eastAsia"/>
              </w:rPr>
            </w:pPr>
            <w:r>
              <w:rPr>
                <w:rFonts w:hint="eastAsia"/>
              </w:rPr>
              <w:t>经现场踏勘，项目周边不涉及自然保护区、国家森林公园等重要生态敏感区，建设项目区域内及周边200m 范围内均不涉及珍稀名木古树。</w:t>
            </w:r>
          </w:p>
          <w:p>
            <w:pPr>
              <w:snapToGrid w:val="0"/>
              <w:spacing w:line="360" w:lineRule="auto"/>
              <w:ind w:firstLine="480" w:firstLineChars="200"/>
              <w:rPr>
                <w:rFonts w:hint="eastAsia"/>
              </w:rPr>
            </w:pPr>
            <w:r>
              <w:rPr>
                <w:rFonts w:hint="eastAsia"/>
              </w:rPr>
              <w:t>施工期人为活动将使施工作业区周围的草本植被遭受直接的破坏作用，施工期内对临时占地的表土进行剥离,施工期结束后，对表土进行回覆，并适当播撒草种，栽种当地常见树种。地表植被的损失将对现有生态系统产生一定的影响，但由于损失的面积相对于项目沿线地区是少量的，且损失的种类是常见的，受工程影响的植物均属一般常见种，其生长范围广，适应性强，因此对区域生态系统结构和稳定性影响不大。</w:t>
            </w:r>
          </w:p>
          <w:p>
            <w:pPr>
              <w:snapToGrid w:val="0"/>
              <w:spacing w:line="360" w:lineRule="auto"/>
              <w:ind w:firstLine="480" w:firstLineChars="200"/>
              <w:rPr>
                <w:rFonts w:hint="eastAsia"/>
              </w:rPr>
            </w:pPr>
            <w:r>
              <w:t>在</w:t>
            </w:r>
            <w:r>
              <w:rPr>
                <w:rFonts w:hint="eastAsia"/>
              </w:rPr>
              <w:t>项目</w:t>
            </w:r>
            <w:r>
              <w:t>施工过程中，</w:t>
            </w:r>
            <w:r>
              <w:rPr>
                <w:rFonts w:hint="eastAsia"/>
              </w:rPr>
              <w:t>施工</w:t>
            </w:r>
            <w:r>
              <w:t>河道</w:t>
            </w:r>
            <w:r>
              <w:rPr>
                <w:rFonts w:hint="eastAsia"/>
              </w:rPr>
              <w:t>和湖</w:t>
            </w:r>
            <w:r>
              <w:t>一侧一定范围内的施工作业带的植被将被铲除，乔木等可以带土移栽，施工作业带其他部位的植被，由于挖掘出的土石方的堆放、人员的践踏和机具的碾压，会造成地上部分破坏，甚至被去除，但根系仍保留。</w:t>
            </w:r>
          </w:p>
          <w:p>
            <w:pPr>
              <w:snapToGrid w:val="0"/>
              <w:spacing w:line="360" w:lineRule="auto"/>
              <w:ind w:firstLine="480" w:firstLineChars="200"/>
              <w:rPr>
                <w:rFonts w:hint="eastAsia"/>
              </w:rPr>
            </w:pPr>
            <w:r>
              <w:t>施工期结束后，拆除施工场地内的临时建筑物，建筑垃圾送建筑垃圾堆场，防止建筑垃圾进入</w:t>
            </w:r>
            <w:r>
              <w:rPr>
                <w:rFonts w:hint="eastAsia"/>
              </w:rPr>
              <w:t>地表水体</w:t>
            </w:r>
            <w:r>
              <w:t>；施工场地内剩余的土、砂、石料进行回收，并对地面进行平整，恢复地貌。</w:t>
            </w:r>
          </w:p>
          <w:p>
            <w:pPr>
              <w:snapToGrid w:val="0"/>
              <w:spacing w:line="360" w:lineRule="auto"/>
              <w:ind w:firstLine="480" w:firstLineChars="200"/>
              <w:rPr>
                <w:rFonts w:hint="eastAsia"/>
              </w:rPr>
            </w:pPr>
            <w:r>
              <w:rPr>
                <w:rFonts w:hint="eastAsia"/>
              </w:rPr>
              <w:t>综上所述，项目建设后对工程占地范围内进行植被绿化，会在一定程度上补偿永久占地对植被的破坏，对区域的植被影响较小。临时占地面积小，采取相应的生态保护措施和植被恢复措施后，植被将逐渐恢复，对区域内植被影响较小。</w:t>
            </w:r>
          </w:p>
          <w:p>
            <w:pPr>
              <w:pStyle w:val="42"/>
              <w:ind w:firstLine="480"/>
              <w:rPr>
                <w:rFonts w:hint="eastAsia"/>
              </w:rPr>
            </w:pPr>
            <w:r>
              <w:rPr>
                <w:rFonts w:hint="eastAsia"/>
              </w:rPr>
              <w:t>（2）</w:t>
            </w:r>
            <w:r>
              <w:t>对鸟类的影响</w:t>
            </w:r>
          </w:p>
          <w:p>
            <w:pPr>
              <w:snapToGrid w:val="0"/>
              <w:spacing w:line="360" w:lineRule="auto"/>
              <w:ind w:firstLine="480" w:firstLineChars="200"/>
              <w:rPr>
                <w:rFonts w:hint="eastAsia"/>
                <w:color w:val="000000"/>
              </w:rPr>
            </w:pPr>
            <w:r>
              <w:rPr>
                <w:rFonts w:hint="eastAsia"/>
                <w:color w:val="000000"/>
              </w:rPr>
              <w:t>评价区域内未发现珍稀濒危及国家重点保护鸟类分布,本工程对施工区生态系统有一定的破坏，间接地通过食物来源来影响鸟类:车辆、机械等操作都会产生高分贝的噪声和持续的震动。鸟类则适应于施工前的安静的、具有一定植被作为掩蔽物的以及食物来源丰富的栖息地,因此在该项目的施工期间，施工中人为活动的干扰增加、各种机械产生的噪声和震动以及栖息地部分破坏都会对鸟类的繁殖、巢址选择、觅食和栖息都产生一定的影响。</w:t>
            </w:r>
          </w:p>
          <w:p>
            <w:pPr>
              <w:snapToGrid w:val="0"/>
              <w:spacing w:line="360" w:lineRule="auto"/>
              <w:ind w:firstLine="480" w:firstLineChars="200"/>
              <w:rPr>
                <w:rFonts w:hint="eastAsia"/>
                <w:color w:val="000000"/>
              </w:rPr>
            </w:pPr>
            <w:r>
              <w:rPr>
                <w:rFonts w:hint="eastAsia"/>
                <w:color w:val="000000"/>
              </w:rPr>
              <w:t>施工期间，禁止施工人员捕食鸟类，尽量减少植被破坏，尽量减少对鸟类栖息地的破坏，在施工期间采取一定的降噪、减振措施。考虑到鸟类具有强运动能力和对环境的强适应性等特点,一方面，它们可以通过飞翔来避免不利的外界环境，减小对其栖息和觅食的影响:另一方面，当鸟类对噪声逐渐熟悉以后,将逐渐适应施工区内的干扰环境,该区域的鸟类的生物多样性将会逐渐恢复，且施工期是短暂的，整个项目工程对评价区域内的鸟类物种多样性、鸟类区系组成、鸟类居留类型以及鸟类的生态分布影响可以接受,鸟类的种群密度也会伴随着项目工程的结束而恢复。</w:t>
            </w:r>
          </w:p>
          <w:p>
            <w:pPr>
              <w:pStyle w:val="42"/>
              <w:ind w:firstLine="480"/>
              <w:rPr>
                <w:rFonts w:hint="eastAsia"/>
              </w:rPr>
            </w:pPr>
            <w:r>
              <w:rPr>
                <w:rFonts w:hint="eastAsia"/>
              </w:rPr>
              <w:t>（3）</w:t>
            </w:r>
            <w:r>
              <w:t>对哺乳动物影响</w:t>
            </w:r>
          </w:p>
          <w:p>
            <w:pPr>
              <w:snapToGrid w:val="0"/>
              <w:spacing w:line="360" w:lineRule="auto"/>
              <w:ind w:firstLine="480" w:firstLineChars="200"/>
              <w:rPr>
                <w:rFonts w:hint="eastAsia"/>
              </w:rPr>
            </w:pPr>
            <w:r>
              <w:rPr>
                <w:rFonts w:hint="eastAsia"/>
              </w:rPr>
              <w:t>项目区域植被一般，项目区没有发现分布有国家重点保护植物。</w:t>
            </w:r>
            <w:r>
              <w:t>项目所在地能见到的动物除了鸟类外，还有小型啮齿类动物，未见大型野生动物。根据调查，主要哺乳动物有鼹鼠、家鼠等。这些野生动物的行动能力、活动范围广，适应性也比较强。在施工期，由于生境破坏和噪声污染等原因，它们会远离施工区。由于小型啮齿类动物属陆生动物，对外界环境的适应能力较强，并具有较强的运动迁移能力，工程的建设可能会使部分啮齿类动物迁移，但对种群数量的影响较小。</w:t>
            </w:r>
            <w:r>
              <w:rPr>
                <w:rFonts w:hint="eastAsia"/>
              </w:rPr>
              <w:t>随着施工结束，植被恢复后，这些影响将消失。因此，施工期对哺乳动物的影响在可接受范围内。</w:t>
            </w:r>
            <w:r>
              <w:t xml:space="preserve"> </w:t>
            </w:r>
          </w:p>
          <w:p>
            <w:pPr>
              <w:snapToGrid w:val="0"/>
              <w:spacing w:line="360" w:lineRule="auto"/>
              <w:ind w:firstLine="480" w:firstLineChars="200"/>
              <w:rPr>
                <w:rFonts w:hint="eastAsia"/>
              </w:rPr>
            </w:pPr>
            <w:r>
              <w:rPr>
                <w:rFonts w:hint="eastAsia"/>
              </w:rPr>
              <w:t>（4）</w:t>
            </w:r>
            <w:r>
              <w:t>对两栖类和爬行动物的影响</w:t>
            </w:r>
          </w:p>
          <w:p>
            <w:pPr>
              <w:autoSpaceDE w:val="0"/>
              <w:adjustRightInd w:val="0"/>
              <w:snapToGrid w:val="0"/>
              <w:spacing w:line="360" w:lineRule="auto"/>
              <w:ind w:firstLine="480" w:firstLineChars="200"/>
              <w:textAlignment w:val="baseline"/>
              <w:rPr>
                <w:rFonts w:hint="eastAsia"/>
              </w:rPr>
            </w:pPr>
            <w:r>
              <w:rPr>
                <w:rFonts w:hint="eastAsia"/>
              </w:rPr>
              <w:t>两栖动物是迁徙能力较弱的动物类群，它们对环境的依赖性较强。工程施工对两栖动物的影响体现在其生境遭受侵占，以及因受生境侵占及噪声、震动、人为活动等因素的干扰向其他适宜生境扩散。</w:t>
            </w:r>
          </w:p>
          <w:p>
            <w:pPr>
              <w:autoSpaceDE w:val="0"/>
              <w:adjustRightInd w:val="0"/>
              <w:snapToGrid w:val="0"/>
              <w:spacing w:line="360" w:lineRule="auto"/>
              <w:ind w:firstLine="480" w:firstLineChars="200"/>
              <w:textAlignment w:val="baseline"/>
              <w:rPr>
                <w:rFonts w:hint="eastAsia"/>
              </w:rPr>
            </w:pPr>
            <w:r>
              <w:rPr>
                <w:rFonts w:hint="eastAsia"/>
              </w:rPr>
              <w:t>本项目工程临时用地会占用少部分土地，导致两栖类动物、爬行类动物活动范围少量缩减，但工程占地不涉及两栖类动物、爬行类动物的栖息地，施工区生态环境的破坏导致两栖类动物、爬行类动物生境质量的下降，同时工程施工的影响体现在其生境遭受侵占和破坏，爬行动物因受生境侵占及噪声、震动、人为活动等因素的干扰向其他适宜生境扩散。由于两栖类动物、爬行类动物在环境改变后能及时迁移到周边,且施工区周边有大量的适宜生境,为避开不利因素,两栖类动物爬行类动物一般会向附近适宜生境中迁移。工程建设对两栖类动物、爬行类动物的影响主要是导致其在施工区及外围地带的分布及种群数量的变化，并没有改变其区系组成，更不会造成物种消失，且施工期较短，且对两栖类动物、爬行类动物的影响仅在施工范围及噪声影响范围，影响较小，因此，本项目施工期对两栖类动物、爬行类动物的影响可以接受。</w:t>
            </w:r>
          </w:p>
          <w:p>
            <w:pPr>
              <w:pStyle w:val="40"/>
              <w:ind w:firstLine="482"/>
              <w:rPr>
                <w:rFonts w:hint="eastAsia"/>
              </w:rPr>
            </w:pPr>
            <w:r>
              <w:rPr>
                <w:rFonts w:hint="eastAsia"/>
                <w:lang w:bidi="ar"/>
              </w:rPr>
              <w:t>1.1.3</w:t>
            </w:r>
            <w:r>
              <w:rPr>
                <w:lang w:bidi="ar"/>
              </w:rPr>
              <w:t xml:space="preserve"> </w:t>
            </w:r>
            <w:r>
              <w:rPr>
                <w:rFonts w:hint="eastAsia"/>
                <w:lang w:bidi="ar"/>
              </w:rPr>
              <w:t>对水生生态环境的影响</w:t>
            </w:r>
          </w:p>
          <w:p>
            <w:pPr>
              <w:autoSpaceDE w:val="0"/>
              <w:adjustRightInd w:val="0"/>
              <w:snapToGrid w:val="0"/>
              <w:spacing w:line="360" w:lineRule="auto"/>
              <w:ind w:firstLine="482" w:firstLineChars="200"/>
              <w:rPr>
                <w:rFonts w:hint="eastAsia"/>
                <w:b/>
                <w:bCs/>
              </w:rPr>
            </w:pPr>
            <w:r>
              <w:rPr>
                <w:rFonts w:hint="eastAsia"/>
                <w:b/>
                <w:bCs/>
                <w:lang w:bidi="ar"/>
              </w:rPr>
              <w:t>（1）对水生生态的影响</w:t>
            </w:r>
            <w:r>
              <w:rPr>
                <w:b/>
                <w:bCs/>
                <w:lang w:bidi="ar"/>
              </w:rPr>
              <w:t xml:space="preserve"> </w:t>
            </w:r>
          </w:p>
          <w:p>
            <w:pPr>
              <w:autoSpaceDE w:val="0"/>
              <w:adjustRightInd w:val="0"/>
              <w:snapToGrid w:val="0"/>
              <w:spacing w:line="360" w:lineRule="auto"/>
              <w:ind w:firstLine="480" w:firstLineChars="200"/>
              <w:rPr>
                <w:rFonts w:hint="eastAsia"/>
              </w:rPr>
            </w:pPr>
            <w:r>
              <w:rPr>
                <w:rFonts w:hint="eastAsia"/>
                <w:lang w:bidi="ar"/>
              </w:rPr>
              <w:t>河流生态系统是一种开放的、流动的生态系统，其连续性不仅含河流的水力学和水文学意义上的连续性，同时也包括对于生物群落、重要的营养物质输移的连续性。营养物质以河流为载体，随着自然水文周期的丰枯变化以及洪水漫溢，进行交换、扩散、转化、积累和释放；沿河的水生与陆生生物随之生存繁衍，相应形成了上中下游多样而有序的生物群落，包括连续的水陆交错带的植被、鱼类以及沿河连续分布的水禽和两栖动物等，这些生物群落与其生境构成了具有较完善结构与功能的河流生态系统。</w:t>
            </w:r>
          </w:p>
          <w:p>
            <w:pPr>
              <w:autoSpaceDE w:val="0"/>
              <w:adjustRightInd w:val="0"/>
              <w:snapToGrid w:val="0"/>
              <w:spacing w:line="360" w:lineRule="auto"/>
              <w:ind w:firstLine="480" w:firstLineChars="200"/>
              <w:rPr>
                <w:rFonts w:hint="eastAsia"/>
              </w:rPr>
            </w:pPr>
            <w:r>
              <w:rPr>
                <w:rFonts w:hint="eastAsia"/>
                <w:lang w:bidi="ar"/>
              </w:rPr>
              <w:t>经调查可知，本项目河道中未发现珍稀保护水生生物，但包括大量水生微生物、水生植物和水生动物，其中水生微生物以藻类等浮游植物为主，水生植物以水生维管束植物为主，水生动物主要为浮游动物、水生昆虫、蛙类、鱼虾类等，鱼类是以鲢鱼、草鱼等为主的日常消费品种。</w:t>
            </w:r>
          </w:p>
          <w:p>
            <w:pPr>
              <w:autoSpaceDE w:val="0"/>
              <w:adjustRightInd w:val="0"/>
              <w:snapToGrid w:val="0"/>
              <w:spacing w:line="360" w:lineRule="auto"/>
              <w:ind w:firstLine="482" w:firstLineChars="200"/>
              <w:rPr>
                <w:rFonts w:hint="eastAsia"/>
                <w:b/>
                <w:bCs/>
              </w:rPr>
            </w:pPr>
            <w:r>
              <w:rPr>
                <w:rFonts w:hint="eastAsia"/>
                <w:b/>
                <w:bCs/>
                <w:lang w:bidi="ar"/>
              </w:rPr>
              <w:t>（2）对鱼类资源的影响</w:t>
            </w:r>
            <w:r>
              <w:rPr>
                <w:b/>
                <w:bCs/>
                <w:lang w:bidi="ar"/>
              </w:rPr>
              <w:t xml:space="preserve"> </w:t>
            </w:r>
          </w:p>
          <w:p>
            <w:pPr>
              <w:autoSpaceDE w:val="0"/>
              <w:adjustRightInd w:val="0"/>
              <w:snapToGrid w:val="0"/>
              <w:spacing w:line="360" w:lineRule="auto"/>
              <w:ind w:firstLine="480" w:firstLineChars="200"/>
              <w:rPr>
                <w:rFonts w:hint="eastAsia"/>
              </w:rPr>
            </w:pPr>
            <w:r>
              <w:rPr>
                <w:rFonts w:hint="eastAsia"/>
                <w:lang w:bidi="ar"/>
              </w:rPr>
              <w:t>工程建设对区域河段鱼类资源的影响主要体现在两方面，一是施工围堰暂时阻断了鱼类迁徙通道；二是围堰的建设使围堰下游河流的水文因子发生了较大的改变，其流速减小、水位降低等，使河段内鱼类的生存环境发生了改变。</w:t>
            </w:r>
          </w:p>
          <w:p>
            <w:pPr>
              <w:autoSpaceDE w:val="0"/>
              <w:adjustRightInd w:val="0"/>
              <w:snapToGrid w:val="0"/>
              <w:spacing w:line="360" w:lineRule="auto"/>
              <w:ind w:firstLine="482" w:firstLineChars="200"/>
              <w:rPr>
                <w:rFonts w:hint="eastAsia"/>
                <w:b/>
                <w:bCs/>
              </w:rPr>
            </w:pPr>
            <w:r>
              <w:rPr>
                <w:rFonts w:hint="eastAsia"/>
                <w:b/>
                <w:bCs/>
                <w:lang w:bidi="ar"/>
              </w:rPr>
              <w:t xml:space="preserve">①围堰的阻隔影响对鱼类资源的影响 </w:t>
            </w:r>
          </w:p>
          <w:p>
            <w:pPr>
              <w:autoSpaceDE w:val="0"/>
              <w:adjustRightInd w:val="0"/>
              <w:snapToGrid w:val="0"/>
              <w:spacing w:line="360" w:lineRule="auto"/>
              <w:ind w:firstLine="480" w:firstLineChars="200"/>
              <w:rPr>
                <w:rFonts w:hint="eastAsia"/>
              </w:rPr>
            </w:pPr>
            <w:r>
              <w:rPr>
                <w:rFonts w:hint="eastAsia"/>
                <w:lang w:bidi="ar"/>
              </w:rPr>
              <w:t>围堰的建设将使河流被人为条块分割，限制了其中水生生物的生存空间，其阻隔影响将直接造成鱼类生境的片段化。围堰阻隔将对流域鱼类资源产生一定的不利影响，但这些鱼类生活史的完成不依赖于围堰下水域，且项目施工工期较短，施工结束后立即对围堰进行拆除，对鱼类栖息、繁殖影响有限。</w:t>
            </w:r>
          </w:p>
          <w:p>
            <w:pPr>
              <w:autoSpaceDE w:val="0"/>
              <w:adjustRightInd w:val="0"/>
              <w:snapToGrid w:val="0"/>
              <w:spacing w:line="360" w:lineRule="auto"/>
              <w:ind w:firstLine="482" w:firstLineChars="200"/>
              <w:rPr>
                <w:rFonts w:hint="eastAsia"/>
              </w:rPr>
            </w:pPr>
            <w:r>
              <w:rPr>
                <w:rFonts w:hint="eastAsia"/>
                <w:b/>
                <w:bCs/>
                <w:lang w:bidi="ar"/>
              </w:rPr>
              <w:t>本项目评价区无需要特别保护的水生动物资源、洄游性鱼类和集中的鱼类</w:t>
            </w:r>
            <w:r>
              <w:rPr>
                <w:b/>
                <w:bCs/>
                <w:lang w:bidi="ar"/>
              </w:rPr>
              <w:t>“</w:t>
            </w:r>
            <w:r>
              <w:rPr>
                <w:rFonts w:hint="eastAsia"/>
                <w:b/>
                <w:bCs/>
                <w:lang w:bidi="ar"/>
              </w:rPr>
              <w:t>三场</w:t>
            </w:r>
            <w:r>
              <w:rPr>
                <w:b/>
                <w:bCs/>
                <w:lang w:bidi="ar"/>
              </w:rPr>
              <w:t>”</w:t>
            </w:r>
            <w:r>
              <w:rPr>
                <w:rFonts w:hint="eastAsia"/>
                <w:b/>
                <w:bCs/>
                <w:lang w:bidi="ar"/>
              </w:rPr>
              <w:t>分布。因此，围堰对流域鱼类资源的阻隔影响有限。</w:t>
            </w:r>
          </w:p>
          <w:p>
            <w:pPr>
              <w:autoSpaceDE w:val="0"/>
              <w:adjustRightInd w:val="0"/>
              <w:snapToGrid w:val="0"/>
              <w:spacing w:line="360" w:lineRule="auto"/>
              <w:ind w:firstLine="478" w:firstLineChars="200"/>
              <w:textAlignment w:val="baseline"/>
              <w:rPr>
                <w:rFonts w:hint="eastAsia"/>
                <w:b/>
                <w:spacing w:val="-1"/>
              </w:rPr>
            </w:pPr>
            <w:r>
              <w:rPr>
                <w:rFonts w:hint="eastAsia"/>
                <w:b/>
                <w:spacing w:val="-1"/>
                <w:lang w:bidi="ar"/>
              </w:rPr>
              <w:t>②减水河段对鱼类影响分析</w:t>
            </w:r>
          </w:p>
          <w:p>
            <w:pPr>
              <w:autoSpaceDE w:val="0"/>
              <w:adjustRightInd w:val="0"/>
              <w:snapToGrid w:val="0"/>
              <w:spacing w:line="360" w:lineRule="auto"/>
              <w:ind w:firstLine="480" w:firstLineChars="200"/>
              <w:rPr>
                <w:rFonts w:hint="eastAsia"/>
              </w:rPr>
            </w:pPr>
            <w:r>
              <w:rPr>
                <w:rFonts w:hint="eastAsia"/>
                <w:lang w:bidi="ar"/>
              </w:rPr>
              <w:t>根据编制人员现场调查及资料收集，项目所在河段不具备鱼类</w:t>
            </w:r>
            <w:r>
              <w:rPr>
                <w:lang w:bidi="ar"/>
              </w:rPr>
              <w:t>“</w:t>
            </w:r>
            <w:r>
              <w:rPr>
                <w:rFonts w:hint="eastAsia"/>
                <w:lang w:bidi="ar"/>
              </w:rPr>
              <w:t>三场</w:t>
            </w:r>
            <w:r>
              <w:rPr>
                <w:lang w:bidi="ar"/>
              </w:rPr>
              <w:t>”</w:t>
            </w:r>
            <w:r>
              <w:rPr>
                <w:rFonts w:hint="eastAsia"/>
                <w:lang w:bidi="ar"/>
              </w:rPr>
              <w:t>的生境条件，在调查河段内无典型的长距离洄游性鱼类，没有发现集中的鱼类</w:t>
            </w:r>
            <w:r>
              <w:rPr>
                <w:lang w:bidi="ar"/>
              </w:rPr>
              <w:t>“</w:t>
            </w:r>
            <w:r>
              <w:rPr>
                <w:rFonts w:hint="eastAsia"/>
                <w:lang w:bidi="ar"/>
              </w:rPr>
              <w:t>三场</w:t>
            </w:r>
            <w:r>
              <w:rPr>
                <w:lang w:bidi="ar"/>
              </w:rPr>
              <w:t>”</w:t>
            </w:r>
            <w:r>
              <w:rPr>
                <w:rFonts w:hint="eastAsia"/>
                <w:lang w:bidi="ar"/>
              </w:rPr>
              <w:t>，调查河段未发现国家级、省级以及列入《中国濒危动物红皮书》珍稀保护鱼类，工程建设不会对珍稀保护鱼类产生影响；且受影响的鱼类主要为经济鱼类，在大部分河段均广泛分布，因此不会造成鱼类的种类灭绝。</w:t>
            </w:r>
          </w:p>
          <w:p>
            <w:pPr>
              <w:autoSpaceDE w:val="0"/>
              <w:adjustRightInd w:val="0"/>
              <w:snapToGrid w:val="0"/>
              <w:spacing w:line="360" w:lineRule="auto"/>
              <w:ind w:firstLine="480" w:firstLineChars="200"/>
              <w:rPr>
                <w:rFonts w:hint="eastAsia"/>
                <w:color w:val="000000"/>
              </w:rPr>
            </w:pPr>
            <w:r>
              <w:rPr>
                <w:rFonts w:hint="eastAsia"/>
                <w:color w:val="000000"/>
                <w:lang w:bidi="ar"/>
              </w:rPr>
              <w:t>本项目围堰施工过程中，下游河段水位仍然有少许降低，但不会形成无水段，可以满足下游河段鱼类等生态需水量。据现场踏勘，减水河段两岸有植被生长的地方距水面均较近，植被生长所需水分主要靠所在地河流及空气湿气，因此本工程的建设对减水段内两岸的植被影响小。</w:t>
            </w:r>
          </w:p>
          <w:p>
            <w:pPr>
              <w:pStyle w:val="40"/>
              <w:ind w:firstLine="482"/>
              <w:rPr>
                <w:rFonts w:hint="eastAsia"/>
                <w:lang w:bidi="zh-CN"/>
              </w:rPr>
            </w:pPr>
            <w:r>
              <w:rPr>
                <w:rFonts w:hint="eastAsia"/>
                <w:lang w:bidi="zh-CN"/>
              </w:rPr>
              <w:t>1.2</w:t>
            </w:r>
            <w:r>
              <w:rPr>
                <w:lang w:bidi="zh-CN"/>
              </w:rPr>
              <w:t>施工期水环境影响分析</w:t>
            </w:r>
          </w:p>
          <w:p>
            <w:pPr>
              <w:pStyle w:val="40"/>
              <w:ind w:firstLine="482"/>
              <w:rPr>
                <w:rFonts w:eastAsia="Times New Roman"/>
                <w:snapToGrid w:val="0"/>
              </w:rPr>
            </w:pPr>
            <w:r>
              <w:rPr>
                <w:rFonts w:hint="eastAsia"/>
                <w:snapToGrid w:val="0"/>
              </w:rPr>
              <w:t>1.2.1施工人员生活废水的影响</w:t>
            </w:r>
          </w:p>
          <w:p>
            <w:pPr>
              <w:pStyle w:val="42"/>
              <w:ind w:firstLine="480"/>
            </w:pPr>
            <w:r>
              <w:rPr>
                <w:rFonts w:hint="eastAsia"/>
              </w:rPr>
              <w:t>施工人员大部分为当地居民，中午和夜间均回家食宿，施工区设置临时管理办公用房及安全值班室，办公生活废水依托工程段附近已建厕所的化粪池进行处理后排入污水管网，经污水处理厂处理后达标排入附近水体。项目生活污水得到有效收集和处理，同时废水量小，依托现有污水处理设施可行，不会对当地地表水环境造成影响。</w:t>
            </w:r>
          </w:p>
          <w:p>
            <w:pPr>
              <w:pStyle w:val="40"/>
              <w:ind w:firstLine="482"/>
              <w:rPr>
                <w:rFonts w:hint="eastAsia"/>
                <w:snapToGrid w:val="0"/>
              </w:rPr>
            </w:pPr>
            <w:r>
              <w:rPr>
                <w:rFonts w:hint="eastAsia"/>
                <w:snapToGrid w:val="0"/>
              </w:rPr>
              <w:t>1</w:t>
            </w:r>
            <w:r>
              <w:rPr>
                <w:snapToGrid w:val="0"/>
              </w:rPr>
              <w:t>.2.2施工废水</w:t>
            </w:r>
          </w:p>
          <w:p>
            <w:pPr>
              <w:spacing w:line="360" w:lineRule="auto"/>
              <w:ind w:firstLine="480" w:firstLineChars="200"/>
              <w:rPr>
                <w:rFonts w:hint="eastAsia"/>
                <w:szCs w:val="21"/>
              </w:rPr>
            </w:pPr>
            <w:r>
              <w:rPr>
                <w:rFonts w:hint="eastAsia"/>
                <w:szCs w:val="21"/>
              </w:rPr>
              <w:t>由于工程施工期生产废水产生点较为分散，难以集中处理，本工程拟对主要工区的施工废水采用自然沉降法进行处理。处理后的水对工程区地表水环境影响较小。</w:t>
            </w:r>
          </w:p>
          <w:p>
            <w:pPr>
              <w:spacing w:line="360" w:lineRule="auto"/>
              <w:ind w:firstLine="480" w:firstLineChars="200"/>
              <w:rPr>
                <w:rFonts w:hint="eastAsia"/>
                <w:szCs w:val="21"/>
              </w:rPr>
            </w:pPr>
            <w:r>
              <w:rPr>
                <w:rFonts w:hint="eastAsia"/>
                <w:szCs w:val="21"/>
              </w:rPr>
              <w:t>（1）基坑废水</w:t>
            </w:r>
          </w:p>
          <w:p>
            <w:pPr>
              <w:spacing w:line="360" w:lineRule="auto"/>
              <w:ind w:firstLine="480" w:firstLineChars="200"/>
              <w:rPr>
                <w:rFonts w:hint="eastAsia"/>
                <w:szCs w:val="21"/>
              </w:rPr>
            </w:pPr>
            <w:r>
              <w:rPr>
                <w:rFonts w:hint="eastAsia"/>
                <w:szCs w:val="21"/>
              </w:rPr>
              <w:t>基坑废水主要由降水、渗水汇集而成，主要污染物为悬浮物。据国内其他水利工程基坑废水监测资料，基坑废水中，pH 值达11～12,悬浮物浓度高达2000mg/L。根据国内有关水利工程项目对基坑废水的处理经验，基坑废水一般不采用设施处理，仅向基坑中投加絮凝剂，让坑水静置沉淀2h 后再排放，剩余污泥定期人工清除。这种基坑废水处理技术措施合理有效，经济节约，可解决实际中发生基坑水问题。为了保证其上层清液中悬浮物和pH浓度不影响处理效果，在抽水时控制水泵的深度，保持水泵在上层清液部分；控制投药量，保证出水水质，处理后的水回用于抑尘</w:t>
            </w:r>
          </w:p>
          <w:p>
            <w:pPr>
              <w:spacing w:line="360" w:lineRule="auto"/>
              <w:ind w:firstLine="480" w:firstLineChars="200"/>
              <w:rPr>
                <w:rFonts w:hint="eastAsia"/>
                <w:szCs w:val="21"/>
              </w:rPr>
            </w:pPr>
            <w:r>
              <w:rPr>
                <w:rFonts w:hint="eastAsia"/>
                <w:szCs w:val="21"/>
              </w:rPr>
              <w:t>（2）生产废水</w:t>
            </w:r>
          </w:p>
          <w:p>
            <w:pPr>
              <w:spacing w:line="360" w:lineRule="auto"/>
              <w:ind w:firstLine="480" w:firstLineChars="200"/>
              <w:rPr>
                <w:rFonts w:hint="eastAsia"/>
                <w:szCs w:val="21"/>
              </w:rPr>
            </w:pPr>
            <w:r>
              <w:rPr>
                <w:rFonts w:hint="eastAsia"/>
                <w:szCs w:val="21"/>
              </w:rPr>
              <w:t>施工工地废水主要为车辆、机械设备冲洗水，此外施工机械跑、冒、滴、漏的污油及露天机械被暴雨冲刷后产生的含油污废水，拟采取以下措施防治施工期废水：</w:t>
            </w:r>
          </w:p>
          <w:p>
            <w:pPr>
              <w:spacing w:line="360" w:lineRule="auto"/>
              <w:ind w:firstLine="480" w:firstLineChars="200"/>
              <w:rPr>
                <w:rFonts w:hint="eastAsia"/>
                <w:szCs w:val="21"/>
              </w:rPr>
            </w:pPr>
            <w:r>
              <w:rPr>
                <w:rFonts w:hint="eastAsia"/>
                <w:szCs w:val="21"/>
              </w:rPr>
              <w:t>①施工废水经沉淀池处理后回用于洒水抑尘，不外排；在出水的一侧设土工布围栏，再次拦截泥沙。</w:t>
            </w:r>
          </w:p>
          <w:p>
            <w:pPr>
              <w:spacing w:line="360" w:lineRule="auto"/>
              <w:ind w:firstLine="480" w:firstLineChars="200"/>
              <w:rPr>
                <w:rFonts w:hint="eastAsia"/>
                <w:szCs w:val="21"/>
              </w:rPr>
            </w:pPr>
            <w:r>
              <w:rPr>
                <w:rFonts w:hint="eastAsia"/>
                <w:szCs w:val="21"/>
              </w:rPr>
              <w:t>②合理安排好施工进度，尽量避免雨季施工；开挖后的地表及早夯实，铺设混凝土；施工现场备有毡布，用于雨季对施工场地内的器械、裸露地面的覆盖；以上措施的采取，可降低初期雨水中SS和石油类的产生量和产生浓度。</w:t>
            </w:r>
          </w:p>
          <w:p>
            <w:pPr>
              <w:spacing w:line="360" w:lineRule="auto"/>
              <w:ind w:firstLine="480" w:firstLineChars="200"/>
              <w:rPr>
                <w:rFonts w:hint="eastAsia"/>
                <w:szCs w:val="21"/>
              </w:rPr>
            </w:pPr>
            <w:r>
              <w:rPr>
                <w:rFonts w:hint="eastAsia"/>
                <w:szCs w:val="21"/>
              </w:rPr>
              <w:t>③加强施工期的环境管理。避免机械油料的泄漏或废油料的倾倒进入水体后引起土壤污染和水体污染；同时施工材料如沥青、油料、化学品不能堆放河流水体附近，否则也容易造成水体污染。</w:t>
            </w:r>
          </w:p>
          <w:p>
            <w:pPr>
              <w:spacing w:line="360" w:lineRule="auto"/>
              <w:ind w:firstLine="480" w:firstLineChars="200"/>
              <w:rPr>
                <w:rFonts w:hint="eastAsia"/>
                <w:szCs w:val="21"/>
              </w:rPr>
            </w:pPr>
            <w:r>
              <w:rPr>
                <w:rFonts w:hint="eastAsia"/>
                <w:szCs w:val="21"/>
              </w:rPr>
              <w:t>综上，本项目施工期对项目区域的水环境有一定的影响，随着施工活动结束，影响将消除。项目施工期产生的各类废水得到合理有效的治理，本项目施工期废水对环境影响较小。</w:t>
            </w:r>
          </w:p>
          <w:p>
            <w:pPr>
              <w:pStyle w:val="40"/>
              <w:ind w:firstLine="482"/>
              <w:rPr>
                <w:rFonts w:hint="eastAsia"/>
              </w:rPr>
            </w:pPr>
            <w:r>
              <w:rPr>
                <w:rFonts w:hint="eastAsia"/>
              </w:rPr>
              <w:t>1.3施工期大气环境影响分析</w:t>
            </w:r>
          </w:p>
          <w:p>
            <w:pPr>
              <w:snapToGrid w:val="0"/>
              <w:spacing w:line="360" w:lineRule="auto"/>
              <w:ind w:firstLine="480" w:firstLineChars="200"/>
              <w:rPr>
                <w:rFonts w:hint="eastAsia"/>
              </w:rPr>
            </w:pPr>
            <w:r>
              <w:t>工程区大气对流较强、扩散条件较好，</w:t>
            </w:r>
            <w:r>
              <w:rPr>
                <w:rFonts w:hint="eastAsia"/>
              </w:rPr>
              <w:t>对</w:t>
            </w:r>
            <w:r>
              <w:t>工程施工对环境空气质量的影响较小，且影响的时间和范围有限，一旦施工结束，污染源即不复存在。</w:t>
            </w:r>
          </w:p>
          <w:p>
            <w:pPr>
              <w:snapToGrid w:val="0"/>
              <w:spacing w:line="360" w:lineRule="auto"/>
              <w:ind w:firstLine="480" w:firstLineChars="200"/>
              <w:rPr>
                <w:rFonts w:hint="eastAsia"/>
              </w:rPr>
            </w:pPr>
            <w:r>
              <w:t>对在产尘较大的现场施工人员，按国家有关劳动保护规定，发放防尘口罩；装载多尘物料时，应堆码整齐以减少受风面积，并适当加湿以尽量降低运输过程中起尘量；施工区干道车辆实行限速，干旱、多风季节对交通干道每天洒水四次，以减少起尘量；加强车辆的维修和保养，使用优质燃料，减少有害尾气排放。</w:t>
            </w:r>
          </w:p>
          <w:p>
            <w:pPr>
              <w:snapToGrid w:val="0"/>
              <w:spacing w:line="360" w:lineRule="auto"/>
              <w:ind w:firstLine="480" w:firstLineChars="200"/>
              <w:rPr>
                <w:rFonts w:hint="eastAsia"/>
              </w:rPr>
            </w:pPr>
            <w:r>
              <w:t>土石方开挖施工和运输，尽量控制粉尘污染。建筑结构内的施工垃圾清运，严禁随意凌空抛撒，施工垃圾应及时清运，并适量洒水，减少粉尘对空气的污染。易飞扬物、细颗粒散体材料，安排在库内存放或严密遮盖，运输时要防止遗洒、飞扬，卸运时采取码放、覆盖措施，减少污染，雇佣专门人员洒水。</w:t>
            </w:r>
          </w:p>
          <w:p>
            <w:pPr>
              <w:spacing w:line="360" w:lineRule="auto"/>
              <w:ind w:firstLine="480" w:firstLineChars="200"/>
              <w:rPr>
                <w:rFonts w:hint="eastAsia"/>
                <w:szCs w:val="21"/>
              </w:rPr>
            </w:pPr>
            <w:r>
              <w:rPr>
                <w:rFonts w:hint="eastAsia"/>
              </w:rPr>
              <w:t>本项目施工时环境空气影响主要来自施工场地开挖扬尘、汽车运输道路扬尘；</w:t>
            </w:r>
            <w:r>
              <w:rPr>
                <w:rFonts w:hint="eastAsia"/>
                <w:szCs w:val="21"/>
              </w:rPr>
              <w:t>施工过程中机械车辆产生燃油尾气以及施工人员生活燃气产生废气</w:t>
            </w:r>
            <w:r>
              <w:rPr>
                <w:rFonts w:hint="eastAsia"/>
              </w:rPr>
              <w:t>等。</w:t>
            </w:r>
          </w:p>
          <w:p>
            <w:pPr>
              <w:snapToGrid w:val="0"/>
              <w:spacing w:line="360" w:lineRule="auto"/>
              <w:ind w:firstLine="480" w:firstLineChars="200"/>
              <w:rPr>
                <w:rFonts w:hint="eastAsia"/>
              </w:rPr>
            </w:pPr>
            <w:r>
              <w:rPr>
                <w:rFonts w:hint="eastAsia"/>
              </w:rPr>
              <w:t>（</w:t>
            </w:r>
            <w:r>
              <w:rPr>
                <w:rFonts w:eastAsia="Times New Roman"/>
              </w:rPr>
              <w:t>1</w:t>
            </w:r>
            <w:r>
              <w:rPr>
                <w:rFonts w:hint="eastAsia"/>
              </w:rPr>
              <w:t>）扬尘</w:t>
            </w:r>
          </w:p>
          <w:p>
            <w:pPr>
              <w:snapToGrid w:val="0"/>
              <w:spacing w:line="360" w:lineRule="auto"/>
              <w:ind w:firstLine="480" w:firstLineChars="200"/>
              <w:rPr>
                <w:rFonts w:hint="eastAsia"/>
              </w:rPr>
            </w:pPr>
            <w:r>
              <w:rPr>
                <w:rFonts w:hint="eastAsia"/>
              </w:rPr>
              <w:t>本项目施工过程中产生的扬尘主要来自建筑材料装卸、土石方挖掘堆放以及运输车辆造成的道路扬尘等。施工期扬尘污染造成大气中</w:t>
            </w:r>
            <w:r>
              <w:rPr>
                <w:rFonts w:eastAsia="Times New Roman"/>
              </w:rPr>
              <w:t>TSP</w:t>
            </w:r>
            <w:r>
              <w:rPr>
                <w:rFonts w:hint="eastAsia"/>
              </w:rPr>
              <w:t>值增高。根据类比资料，施工扬尘的起尘量与许多因素有关。影响起尘量的因素包括：基础开挖、施工渣土堆场、进出车辆，以及起尘高度、采取的防护措施、空气湿度、风速等。</w:t>
            </w:r>
          </w:p>
          <w:p>
            <w:pPr>
              <w:snapToGrid w:val="0"/>
              <w:spacing w:line="360" w:lineRule="auto"/>
              <w:ind w:firstLine="480" w:firstLineChars="200"/>
              <w:rPr>
                <w:rFonts w:hint="eastAsia"/>
              </w:rPr>
            </w:pPr>
            <w:r>
              <w:rPr>
                <w:rFonts w:ascii="Cambria Math" w:hAnsi="Cambria Math" w:cs="Cambria Math"/>
              </w:rPr>
              <w:t>①</w:t>
            </w:r>
            <w:r>
              <w:rPr>
                <w:rFonts w:hint="eastAsia"/>
              </w:rPr>
              <w:t>运输车辆起尘</w:t>
            </w:r>
          </w:p>
          <w:p>
            <w:pPr>
              <w:snapToGrid w:val="0"/>
              <w:spacing w:line="360" w:lineRule="auto"/>
              <w:ind w:firstLine="480" w:firstLineChars="200"/>
              <w:rPr>
                <w:rFonts w:hint="eastAsia"/>
              </w:rPr>
            </w:pPr>
            <w:r>
              <w:rPr>
                <w:rFonts w:hint="eastAsia"/>
              </w:rPr>
              <w:t xml:space="preserve">在施工过程中，车辆行驶产生的扬尘占总扬尘的 </w:t>
            </w:r>
            <w:r>
              <w:rPr>
                <w:rFonts w:eastAsia="Times New Roman"/>
              </w:rPr>
              <w:t>60%</w:t>
            </w:r>
            <w:r>
              <w:rPr>
                <w:rFonts w:hint="eastAsia"/>
              </w:rPr>
              <w:t xml:space="preserve">以上。下表是一辆 </w:t>
            </w:r>
            <w:r>
              <w:rPr>
                <w:rFonts w:eastAsia="Times New Roman"/>
              </w:rPr>
              <w:t xml:space="preserve">10t </w:t>
            </w:r>
            <w:r>
              <w:rPr>
                <w:rFonts w:hint="eastAsia"/>
              </w:rPr>
              <w:t xml:space="preserve">卡车，通过一段长为 </w:t>
            </w:r>
            <w:r>
              <w:rPr>
                <w:rFonts w:eastAsia="Times New Roman"/>
              </w:rPr>
              <w:t xml:space="preserve">1km </w:t>
            </w:r>
            <w:r>
              <w:rPr>
                <w:rFonts w:hint="eastAsia"/>
              </w:rPr>
              <w:t>的路面时，不同路面清洁程度，不同行驶速度情况下的扬尘量。</w:t>
            </w:r>
          </w:p>
          <w:p>
            <w:pPr>
              <w:pStyle w:val="38"/>
              <w:rPr>
                <w:rFonts w:hint="eastAsia"/>
                <w:szCs w:val="22"/>
              </w:rPr>
            </w:pPr>
            <w:r>
              <w:rPr>
                <w:rFonts w:hint="eastAsia"/>
                <w:szCs w:val="22"/>
              </w:rPr>
              <w:t>表4-1</w:t>
            </w:r>
            <w:r>
              <w:rPr>
                <w:szCs w:val="22"/>
              </w:rPr>
              <w:t xml:space="preserve"> </w:t>
            </w:r>
            <w:r>
              <w:rPr>
                <w:rFonts w:hint="eastAsia"/>
              </w:rPr>
              <w:t>不同车速和地面清洁程度的汽车扬尘量（单位：</w:t>
            </w:r>
            <w:r>
              <w:t>kg/km.</w:t>
            </w:r>
            <w:r>
              <w:rPr>
                <w:rFonts w:hint="eastAsia"/>
              </w:rPr>
              <w:t>辆）</w:t>
            </w:r>
          </w:p>
          <w:tbl>
            <w:tblPr>
              <w:tblStyle w:val="15"/>
              <w:tblW w:w="8147" w:type="dxa"/>
              <w:jc w:val="center"/>
              <w:tblInd w:w="0" w:type="dxa"/>
              <w:tblBorders>
                <w:top w:val="single" w:color="000000" w:sz="8" w:space="0"/>
                <w:left w:val="none" w:color="auto" w:sz="0" w:space="0"/>
                <w:bottom w:val="single" w:color="auto" w:sz="4"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
            <w:tblGrid>
              <w:gridCol w:w="1328"/>
              <w:gridCol w:w="1277"/>
              <w:gridCol w:w="1108"/>
              <w:gridCol w:w="1108"/>
              <w:gridCol w:w="1110"/>
              <w:gridCol w:w="1110"/>
              <w:gridCol w:w="1106"/>
            </w:tblGrid>
            <w:tr>
              <w:tblPrEx>
                <w:tblBorders>
                  <w:top w:val="single" w:color="000000" w:sz="8" w:space="0"/>
                  <w:left w:val="none" w:color="auto" w:sz="0" w:space="0"/>
                  <w:bottom w:val="single" w:color="auto" w:sz="4"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Ex>
              <w:trPr>
                <w:trHeight w:val="20" w:hRule="atLeast"/>
                <w:jc w:val="center"/>
              </w:trPr>
              <w:tc>
                <w:tcPr>
                  <w:tcW w:w="1328" w:type="dxa"/>
                  <w:vAlign w:val="center"/>
                </w:tcPr>
                <w:p>
                  <w:pPr>
                    <w:pStyle w:val="36"/>
                    <w:rPr>
                      <w:rFonts w:hint="eastAsia"/>
                    </w:rPr>
                  </w:pPr>
                  <w:r>
                    <w:rPr>
                      <w:rFonts w:hint="eastAsia"/>
                    </w:rPr>
                    <w:t>清洁度车速</w:t>
                  </w:r>
                </w:p>
                <w:p>
                  <w:pPr>
                    <w:pStyle w:val="36"/>
                    <w:rPr>
                      <w:rFonts w:hint="eastAsia"/>
                    </w:rPr>
                  </w:pPr>
                  <w:r>
                    <w:rPr>
                      <w:rFonts w:hint="eastAsia"/>
                    </w:rPr>
                    <w:t>（</w:t>
                  </w:r>
                  <w:r>
                    <w:rPr>
                      <w:rFonts w:eastAsia="Times New Roman"/>
                    </w:rPr>
                    <w:t>km/h</w:t>
                  </w:r>
                  <w:r>
                    <w:rPr>
                      <w:rFonts w:hint="eastAsia"/>
                    </w:rPr>
                    <w:t>）</w:t>
                  </w:r>
                </w:p>
              </w:tc>
              <w:tc>
                <w:tcPr>
                  <w:tcW w:w="1277" w:type="dxa"/>
                  <w:vAlign w:val="center"/>
                </w:tcPr>
                <w:p>
                  <w:pPr>
                    <w:pStyle w:val="36"/>
                    <w:rPr>
                      <w:rFonts w:hint="eastAsia"/>
                    </w:rPr>
                  </w:pPr>
                  <w:r>
                    <w:t>0.1</w:t>
                  </w:r>
                </w:p>
                <w:p>
                  <w:pPr>
                    <w:pStyle w:val="36"/>
                    <w:rPr>
                      <w:rFonts w:hint="eastAsia"/>
                    </w:rPr>
                  </w:pPr>
                  <w:r>
                    <w:rPr>
                      <w:rFonts w:hint="eastAsia"/>
                    </w:rPr>
                    <w:t>（</w:t>
                  </w:r>
                  <w:r>
                    <w:rPr>
                      <w:rFonts w:eastAsia="Times New Roman"/>
                    </w:rPr>
                    <w:t>kg/m</w:t>
                  </w:r>
                  <w:r>
                    <w:rPr>
                      <w:rFonts w:eastAsia="Times New Roman"/>
                      <w:position w:val="7"/>
                      <w:sz w:val="13"/>
                    </w:rPr>
                    <w:t>2</w:t>
                  </w:r>
                  <w:r>
                    <w:rPr>
                      <w:rFonts w:hint="eastAsia"/>
                    </w:rPr>
                    <w:t>）</w:t>
                  </w:r>
                </w:p>
              </w:tc>
              <w:tc>
                <w:tcPr>
                  <w:tcW w:w="1108" w:type="dxa"/>
                  <w:vAlign w:val="center"/>
                </w:tcPr>
                <w:p>
                  <w:pPr>
                    <w:pStyle w:val="36"/>
                    <w:rPr>
                      <w:rFonts w:hint="eastAsia"/>
                    </w:rPr>
                  </w:pPr>
                  <w:r>
                    <w:t>0.2</w:t>
                  </w:r>
                </w:p>
                <w:p>
                  <w:pPr>
                    <w:pStyle w:val="36"/>
                    <w:rPr>
                      <w:rFonts w:hint="eastAsia"/>
                    </w:rPr>
                  </w:pPr>
                  <w:r>
                    <w:rPr>
                      <w:rFonts w:hint="eastAsia"/>
                    </w:rPr>
                    <w:t>（</w:t>
                  </w:r>
                  <w:r>
                    <w:rPr>
                      <w:rFonts w:eastAsia="Times New Roman"/>
                    </w:rPr>
                    <w:t>kg/m</w:t>
                  </w:r>
                  <w:r>
                    <w:rPr>
                      <w:rFonts w:eastAsia="Times New Roman"/>
                      <w:position w:val="7"/>
                      <w:sz w:val="13"/>
                    </w:rPr>
                    <w:t>2</w:t>
                  </w:r>
                  <w:r>
                    <w:rPr>
                      <w:rFonts w:hint="eastAsia"/>
                    </w:rPr>
                    <w:t>）</w:t>
                  </w:r>
                </w:p>
              </w:tc>
              <w:tc>
                <w:tcPr>
                  <w:tcW w:w="1108" w:type="dxa"/>
                  <w:vAlign w:val="center"/>
                </w:tcPr>
                <w:p>
                  <w:pPr>
                    <w:pStyle w:val="36"/>
                    <w:rPr>
                      <w:rFonts w:hint="eastAsia"/>
                    </w:rPr>
                  </w:pPr>
                  <w:r>
                    <w:t>0.3</w:t>
                  </w:r>
                </w:p>
                <w:p>
                  <w:pPr>
                    <w:pStyle w:val="36"/>
                    <w:rPr>
                      <w:rFonts w:hint="eastAsia"/>
                    </w:rPr>
                  </w:pPr>
                  <w:r>
                    <w:rPr>
                      <w:rFonts w:hint="eastAsia"/>
                    </w:rPr>
                    <w:t>（</w:t>
                  </w:r>
                  <w:r>
                    <w:rPr>
                      <w:rFonts w:eastAsia="Times New Roman"/>
                    </w:rPr>
                    <w:t>kg/m</w:t>
                  </w:r>
                  <w:r>
                    <w:rPr>
                      <w:rFonts w:eastAsia="Times New Roman"/>
                      <w:position w:val="7"/>
                      <w:sz w:val="13"/>
                    </w:rPr>
                    <w:t>2</w:t>
                  </w:r>
                  <w:r>
                    <w:rPr>
                      <w:rFonts w:hint="eastAsia"/>
                    </w:rPr>
                    <w:t>）</w:t>
                  </w:r>
                </w:p>
              </w:tc>
              <w:tc>
                <w:tcPr>
                  <w:tcW w:w="1110" w:type="dxa"/>
                  <w:vAlign w:val="center"/>
                </w:tcPr>
                <w:p>
                  <w:pPr>
                    <w:pStyle w:val="36"/>
                    <w:rPr>
                      <w:rFonts w:hint="eastAsia"/>
                    </w:rPr>
                  </w:pPr>
                  <w:r>
                    <w:t>0.4</w:t>
                  </w:r>
                </w:p>
                <w:p>
                  <w:pPr>
                    <w:pStyle w:val="36"/>
                    <w:rPr>
                      <w:rFonts w:hint="eastAsia"/>
                    </w:rPr>
                  </w:pPr>
                  <w:r>
                    <w:rPr>
                      <w:rFonts w:hint="eastAsia"/>
                    </w:rPr>
                    <w:t>（</w:t>
                  </w:r>
                  <w:r>
                    <w:rPr>
                      <w:rFonts w:eastAsia="Times New Roman"/>
                    </w:rPr>
                    <w:t>kg/m</w:t>
                  </w:r>
                  <w:r>
                    <w:rPr>
                      <w:rFonts w:eastAsia="Times New Roman"/>
                      <w:position w:val="7"/>
                      <w:sz w:val="13"/>
                    </w:rPr>
                    <w:t>2</w:t>
                  </w:r>
                  <w:r>
                    <w:rPr>
                      <w:rFonts w:hint="eastAsia"/>
                    </w:rPr>
                    <w:t>）</w:t>
                  </w:r>
                </w:p>
              </w:tc>
              <w:tc>
                <w:tcPr>
                  <w:tcW w:w="1110" w:type="dxa"/>
                  <w:vAlign w:val="center"/>
                </w:tcPr>
                <w:p>
                  <w:pPr>
                    <w:pStyle w:val="36"/>
                    <w:rPr>
                      <w:rFonts w:hint="eastAsia"/>
                    </w:rPr>
                  </w:pPr>
                  <w:r>
                    <w:t>0.5</w:t>
                  </w:r>
                </w:p>
                <w:p>
                  <w:pPr>
                    <w:pStyle w:val="36"/>
                    <w:rPr>
                      <w:rFonts w:hint="eastAsia"/>
                    </w:rPr>
                  </w:pPr>
                  <w:r>
                    <w:rPr>
                      <w:rFonts w:hint="eastAsia"/>
                    </w:rPr>
                    <w:t>（</w:t>
                  </w:r>
                  <w:r>
                    <w:rPr>
                      <w:rFonts w:eastAsia="Times New Roman"/>
                    </w:rPr>
                    <w:t>kg/m</w:t>
                  </w:r>
                  <w:r>
                    <w:rPr>
                      <w:rFonts w:eastAsia="Times New Roman"/>
                      <w:position w:val="7"/>
                      <w:sz w:val="13"/>
                    </w:rPr>
                    <w:t>2</w:t>
                  </w:r>
                  <w:r>
                    <w:rPr>
                      <w:rFonts w:hint="eastAsia"/>
                    </w:rPr>
                    <w:t>）</w:t>
                  </w:r>
                </w:p>
              </w:tc>
              <w:tc>
                <w:tcPr>
                  <w:tcW w:w="1106" w:type="dxa"/>
                  <w:vAlign w:val="center"/>
                </w:tcPr>
                <w:p>
                  <w:pPr>
                    <w:pStyle w:val="36"/>
                    <w:rPr>
                      <w:rFonts w:hint="eastAsia"/>
                    </w:rPr>
                  </w:pPr>
                  <w:r>
                    <w:t>1.0</w:t>
                  </w:r>
                </w:p>
                <w:p>
                  <w:pPr>
                    <w:pStyle w:val="36"/>
                    <w:rPr>
                      <w:rFonts w:hint="eastAsia"/>
                    </w:rPr>
                  </w:pPr>
                  <w:r>
                    <w:rPr>
                      <w:rFonts w:hint="eastAsia"/>
                    </w:rPr>
                    <w:t>（</w:t>
                  </w:r>
                  <w:r>
                    <w:rPr>
                      <w:rFonts w:eastAsia="Times New Roman"/>
                    </w:rPr>
                    <w:t>kg/m</w:t>
                  </w:r>
                  <w:r>
                    <w:rPr>
                      <w:rFonts w:eastAsia="Times New Roman"/>
                      <w:position w:val="7"/>
                      <w:sz w:val="13"/>
                    </w:rPr>
                    <w:t>2</w:t>
                  </w:r>
                  <w:r>
                    <w:rPr>
                      <w:rFonts w:hint="eastAsia"/>
                    </w:rPr>
                    <w:t>）</w:t>
                  </w:r>
                </w:p>
              </w:tc>
            </w:tr>
            <w:tr>
              <w:tblPrEx>
                <w:tblBorders>
                  <w:top w:val="single" w:color="000000" w:sz="8" w:space="0"/>
                  <w:left w:val="none" w:color="auto" w:sz="0" w:space="0"/>
                  <w:bottom w:val="single" w:color="auto" w:sz="4"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Ex>
              <w:trPr>
                <w:trHeight w:val="20" w:hRule="atLeast"/>
                <w:jc w:val="center"/>
              </w:trPr>
              <w:tc>
                <w:tcPr>
                  <w:tcW w:w="1328" w:type="dxa"/>
                  <w:vAlign w:val="center"/>
                </w:tcPr>
                <w:p>
                  <w:pPr>
                    <w:pStyle w:val="36"/>
                    <w:rPr>
                      <w:rFonts w:hint="eastAsia"/>
                    </w:rPr>
                  </w:pPr>
                  <w:r>
                    <w:rPr>
                      <w:w w:val="99"/>
                    </w:rPr>
                    <w:t>5</w:t>
                  </w:r>
                </w:p>
              </w:tc>
              <w:tc>
                <w:tcPr>
                  <w:tcW w:w="1277" w:type="dxa"/>
                  <w:vAlign w:val="center"/>
                </w:tcPr>
                <w:p>
                  <w:pPr>
                    <w:pStyle w:val="36"/>
                    <w:rPr>
                      <w:rFonts w:hint="eastAsia"/>
                    </w:rPr>
                  </w:pPr>
                  <w:r>
                    <w:t>0.0511</w:t>
                  </w:r>
                </w:p>
              </w:tc>
              <w:tc>
                <w:tcPr>
                  <w:tcW w:w="1108" w:type="dxa"/>
                  <w:vAlign w:val="center"/>
                </w:tcPr>
                <w:p>
                  <w:pPr>
                    <w:pStyle w:val="36"/>
                    <w:rPr>
                      <w:rFonts w:hint="eastAsia"/>
                    </w:rPr>
                  </w:pPr>
                  <w:r>
                    <w:t>0.0859</w:t>
                  </w:r>
                </w:p>
              </w:tc>
              <w:tc>
                <w:tcPr>
                  <w:tcW w:w="1108" w:type="dxa"/>
                  <w:vAlign w:val="center"/>
                </w:tcPr>
                <w:p>
                  <w:pPr>
                    <w:pStyle w:val="36"/>
                    <w:rPr>
                      <w:rFonts w:hint="eastAsia"/>
                    </w:rPr>
                  </w:pPr>
                  <w:r>
                    <w:t>0.1164</w:t>
                  </w:r>
                </w:p>
              </w:tc>
              <w:tc>
                <w:tcPr>
                  <w:tcW w:w="1110" w:type="dxa"/>
                  <w:vAlign w:val="center"/>
                </w:tcPr>
                <w:p>
                  <w:pPr>
                    <w:pStyle w:val="36"/>
                    <w:rPr>
                      <w:rFonts w:hint="eastAsia"/>
                    </w:rPr>
                  </w:pPr>
                  <w:r>
                    <w:t>0.1444</w:t>
                  </w:r>
                </w:p>
              </w:tc>
              <w:tc>
                <w:tcPr>
                  <w:tcW w:w="1110" w:type="dxa"/>
                  <w:vAlign w:val="center"/>
                </w:tcPr>
                <w:p>
                  <w:pPr>
                    <w:pStyle w:val="36"/>
                    <w:rPr>
                      <w:rFonts w:hint="eastAsia"/>
                    </w:rPr>
                  </w:pPr>
                  <w:r>
                    <w:t>0.1707</w:t>
                  </w:r>
                </w:p>
              </w:tc>
              <w:tc>
                <w:tcPr>
                  <w:tcW w:w="1106" w:type="dxa"/>
                  <w:vAlign w:val="center"/>
                </w:tcPr>
                <w:p>
                  <w:pPr>
                    <w:pStyle w:val="36"/>
                    <w:rPr>
                      <w:rFonts w:hint="eastAsia"/>
                    </w:rPr>
                  </w:pPr>
                  <w:r>
                    <w:t>0.2871</w:t>
                  </w:r>
                </w:p>
              </w:tc>
            </w:tr>
            <w:tr>
              <w:tblPrEx>
                <w:tblBorders>
                  <w:top w:val="single" w:color="000000" w:sz="8" w:space="0"/>
                  <w:left w:val="none" w:color="auto" w:sz="0" w:space="0"/>
                  <w:bottom w:val="single" w:color="auto" w:sz="4"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Ex>
              <w:trPr>
                <w:trHeight w:val="20" w:hRule="atLeast"/>
                <w:jc w:val="center"/>
              </w:trPr>
              <w:tc>
                <w:tcPr>
                  <w:tcW w:w="1328" w:type="dxa"/>
                  <w:vAlign w:val="center"/>
                </w:tcPr>
                <w:p>
                  <w:pPr>
                    <w:pStyle w:val="36"/>
                    <w:rPr>
                      <w:rFonts w:hint="eastAsia"/>
                    </w:rPr>
                  </w:pPr>
                  <w:r>
                    <w:t>10</w:t>
                  </w:r>
                </w:p>
              </w:tc>
              <w:tc>
                <w:tcPr>
                  <w:tcW w:w="1277" w:type="dxa"/>
                  <w:vAlign w:val="center"/>
                </w:tcPr>
                <w:p>
                  <w:pPr>
                    <w:pStyle w:val="36"/>
                    <w:rPr>
                      <w:rFonts w:hint="eastAsia"/>
                    </w:rPr>
                  </w:pPr>
                  <w:r>
                    <w:t>0.1021</w:t>
                  </w:r>
                </w:p>
              </w:tc>
              <w:tc>
                <w:tcPr>
                  <w:tcW w:w="1108" w:type="dxa"/>
                  <w:vAlign w:val="center"/>
                </w:tcPr>
                <w:p>
                  <w:pPr>
                    <w:pStyle w:val="36"/>
                    <w:rPr>
                      <w:rFonts w:hint="eastAsia"/>
                    </w:rPr>
                  </w:pPr>
                  <w:r>
                    <w:t>0.1710</w:t>
                  </w:r>
                </w:p>
              </w:tc>
              <w:tc>
                <w:tcPr>
                  <w:tcW w:w="1108" w:type="dxa"/>
                  <w:vAlign w:val="center"/>
                </w:tcPr>
                <w:p>
                  <w:pPr>
                    <w:pStyle w:val="36"/>
                    <w:rPr>
                      <w:rFonts w:hint="eastAsia"/>
                    </w:rPr>
                  </w:pPr>
                  <w:r>
                    <w:t>0.2328</w:t>
                  </w:r>
                </w:p>
              </w:tc>
              <w:tc>
                <w:tcPr>
                  <w:tcW w:w="1110" w:type="dxa"/>
                  <w:vAlign w:val="center"/>
                </w:tcPr>
                <w:p>
                  <w:pPr>
                    <w:pStyle w:val="36"/>
                    <w:rPr>
                      <w:rFonts w:hint="eastAsia"/>
                    </w:rPr>
                  </w:pPr>
                  <w:r>
                    <w:t>0.2888</w:t>
                  </w:r>
                </w:p>
              </w:tc>
              <w:tc>
                <w:tcPr>
                  <w:tcW w:w="1110" w:type="dxa"/>
                  <w:vAlign w:val="center"/>
                </w:tcPr>
                <w:p>
                  <w:pPr>
                    <w:pStyle w:val="36"/>
                    <w:rPr>
                      <w:rFonts w:hint="eastAsia"/>
                    </w:rPr>
                  </w:pPr>
                  <w:r>
                    <w:t>0.3414</w:t>
                  </w:r>
                </w:p>
              </w:tc>
              <w:tc>
                <w:tcPr>
                  <w:tcW w:w="1106" w:type="dxa"/>
                  <w:vAlign w:val="center"/>
                </w:tcPr>
                <w:p>
                  <w:pPr>
                    <w:pStyle w:val="36"/>
                    <w:rPr>
                      <w:rFonts w:hint="eastAsia"/>
                    </w:rPr>
                  </w:pPr>
                  <w:r>
                    <w:t>0.5742</w:t>
                  </w:r>
                </w:p>
              </w:tc>
            </w:tr>
            <w:tr>
              <w:tblPrEx>
                <w:tblBorders>
                  <w:top w:val="single" w:color="000000" w:sz="8" w:space="0"/>
                  <w:left w:val="none" w:color="auto" w:sz="0" w:space="0"/>
                  <w:bottom w:val="single" w:color="auto" w:sz="4"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Ex>
              <w:trPr>
                <w:trHeight w:val="20" w:hRule="atLeast"/>
                <w:jc w:val="center"/>
              </w:trPr>
              <w:tc>
                <w:tcPr>
                  <w:tcW w:w="1328" w:type="dxa"/>
                  <w:vAlign w:val="center"/>
                </w:tcPr>
                <w:p>
                  <w:pPr>
                    <w:pStyle w:val="36"/>
                    <w:rPr>
                      <w:rFonts w:hint="eastAsia"/>
                    </w:rPr>
                  </w:pPr>
                  <w:r>
                    <w:t>15</w:t>
                  </w:r>
                </w:p>
              </w:tc>
              <w:tc>
                <w:tcPr>
                  <w:tcW w:w="1277" w:type="dxa"/>
                  <w:vAlign w:val="center"/>
                </w:tcPr>
                <w:p>
                  <w:pPr>
                    <w:pStyle w:val="36"/>
                    <w:rPr>
                      <w:rFonts w:hint="eastAsia"/>
                    </w:rPr>
                  </w:pPr>
                  <w:r>
                    <w:t>0.1532</w:t>
                  </w:r>
                </w:p>
              </w:tc>
              <w:tc>
                <w:tcPr>
                  <w:tcW w:w="1108" w:type="dxa"/>
                  <w:vAlign w:val="center"/>
                </w:tcPr>
                <w:p>
                  <w:pPr>
                    <w:pStyle w:val="36"/>
                    <w:rPr>
                      <w:rFonts w:hint="eastAsia"/>
                    </w:rPr>
                  </w:pPr>
                  <w:r>
                    <w:t>0.2576</w:t>
                  </w:r>
                </w:p>
              </w:tc>
              <w:tc>
                <w:tcPr>
                  <w:tcW w:w="1108" w:type="dxa"/>
                  <w:vAlign w:val="center"/>
                </w:tcPr>
                <w:p>
                  <w:pPr>
                    <w:pStyle w:val="36"/>
                    <w:rPr>
                      <w:rFonts w:hint="eastAsia"/>
                    </w:rPr>
                  </w:pPr>
                  <w:r>
                    <w:t>0.3491</w:t>
                  </w:r>
                </w:p>
              </w:tc>
              <w:tc>
                <w:tcPr>
                  <w:tcW w:w="1110" w:type="dxa"/>
                  <w:vAlign w:val="center"/>
                </w:tcPr>
                <w:p>
                  <w:pPr>
                    <w:pStyle w:val="36"/>
                    <w:rPr>
                      <w:rFonts w:hint="eastAsia"/>
                    </w:rPr>
                  </w:pPr>
                  <w:r>
                    <w:t>0.4332</w:t>
                  </w:r>
                </w:p>
              </w:tc>
              <w:tc>
                <w:tcPr>
                  <w:tcW w:w="1110" w:type="dxa"/>
                  <w:vAlign w:val="center"/>
                </w:tcPr>
                <w:p>
                  <w:pPr>
                    <w:pStyle w:val="36"/>
                    <w:rPr>
                      <w:rFonts w:hint="eastAsia"/>
                    </w:rPr>
                  </w:pPr>
                  <w:r>
                    <w:t>0.5121</w:t>
                  </w:r>
                </w:p>
              </w:tc>
              <w:tc>
                <w:tcPr>
                  <w:tcW w:w="1106" w:type="dxa"/>
                  <w:vAlign w:val="center"/>
                </w:tcPr>
                <w:p>
                  <w:pPr>
                    <w:pStyle w:val="36"/>
                    <w:rPr>
                      <w:rFonts w:hint="eastAsia"/>
                    </w:rPr>
                  </w:pPr>
                  <w:r>
                    <w:t>0.8603</w:t>
                  </w:r>
                </w:p>
              </w:tc>
            </w:tr>
            <w:tr>
              <w:tblPrEx>
                <w:tblBorders>
                  <w:top w:val="single" w:color="000000" w:sz="8" w:space="0"/>
                  <w:left w:val="none" w:color="auto" w:sz="0" w:space="0"/>
                  <w:bottom w:val="single" w:color="auto" w:sz="4"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Ex>
              <w:trPr>
                <w:trHeight w:val="20" w:hRule="atLeast"/>
                <w:jc w:val="center"/>
              </w:trPr>
              <w:tc>
                <w:tcPr>
                  <w:tcW w:w="1328" w:type="dxa"/>
                  <w:vAlign w:val="center"/>
                </w:tcPr>
                <w:p>
                  <w:pPr>
                    <w:pStyle w:val="36"/>
                    <w:rPr>
                      <w:rFonts w:hint="eastAsia"/>
                    </w:rPr>
                  </w:pPr>
                  <w:r>
                    <w:t>25</w:t>
                  </w:r>
                </w:p>
              </w:tc>
              <w:tc>
                <w:tcPr>
                  <w:tcW w:w="1277" w:type="dxa"/>
                  <w:vAlign w:val="center"/>
                </w:tcPr>
                <w:p>
                  <w:pPr>
                    <w:pStyle w:val="36"/>
                    <w:rPr>
                      <w:rFonts w:hint="eastAsia"/>
                    </w:rPr>
                  </w:pPr>
                  <w:r>
                    <w:t>0.2553</w:t>
                  </w:r>
                </w:p>
              </w:tc>
              <w:tc>
                <w:tcPr>
                  <w:tcW w:w="1108" w:type="dxa"/>
                  <w:vAlign w:val="center"/>
                </w:tcPr>
                <w:p>
                  <w:pPr>
                    <w:pStyle w:val="36"/>
                    <w:rPr>
                      <w:rFonts w:hint="eastAsia"/>
                    </w:rPr>
                  </w:pPr>
                  <w:r>
                    <w:t>0.4293</w:t>
                  </w:r>
                </w:p>
              </w:tc>
              <w:tc>
                <w:tcPr>
                  <w:tcW w:w="1108" w:type="dxa"/>
                  <w:vAlign w:val="center"/>
                </w:tcPr>
                <w:p>
                  <w:pPr>
                    <w:pStyle w:val="36"/>
                    <w:rPr>
                      <w:rFonts w:hint="eastAsia"/>
                    </w:rPr>
                  </w:pPr>
                  <w:r>
                    <w:t>0.5819</w:t>
                  </w:r>
                </w:p>
              </w:tc>
              <w:tc>
                <w:tcPr>
                  <w:tcW w:w="1110" w:type="dxa"/>
                  <w:vAlign w:val="center"/>
                </w:tcPr>
                <w:p>
                  <w:pPr>
                    <w:pStyle w:val="36"/>
                    <w:rPr>
                      <w:rFonts w:hint="eastAsia"/>
                    </w:rPr>
                  </w:pPr>
                  <w:r>
                    <w:t>0.7220</w:t>
                  </w:r>
                </w:p>
              </w:tc>
              <w:tc>
                <w:tcPr>
                  <w:tcW w:w="1110" w:type="dxa"/>
                  <w:vAlign w:val="center"/>
                </w:tcPr>
                <w:p>
                  <w:pPr>
                    <w:pStyle w:val="36"/>
                    <w:rPr>
                      <w:rFonts w:hint="eastAsia"/>
                    </w:rPr>
                  </w:pPr>
                  <w:r>
                    <w:t>0.8536</w:t>
                  </w:r>
                </w:p>
              </w:tc>
              <w:tc>
                <w:tcPr>
                  <w:tcW w:w="1106" w:type="dxa"/>
                  <w:vAlign w:val="center"/>
                </w:tcPr>
                <w:p>
                  <w:pPr>
                    <w:pStyle w:val="36"/>
                    <w:rPr>
                      <w:rFonts w:hint="eastAsia"/>
                    </w:rPr>
                  </w:pPr>
                  <w:r>
                    <w:t>1.4355</w:t>
                  </w:r>
                </w:p>
              </w:tc>
            </w:tr>
          </w:tbl>
          <w:p>
            <w:pPr>
              <w:snapToGrid w:val="0"/>
              <w:spacing w:line="360" w:lineRule="auto"/>
              <w:ind w:firstLine="480" w:firstLineChars="200"/>
              <w:rPr>
                <w:rFonts w:hint="eastAsia"/>
              </w:rPr>
            </w:pPr>
            <w:r>
              <w:rPr>
                <w:rFonts w:hint="eastAsia"/>
              </w:rPr>
              <w:t>从上表可以看出，在同样的路面条件下，车速越快，扬尘量越大；在同样的车速情况下，路面越脏，扬尘量越大。因此，限制车辆行驶速度，保持路面清洁，是减少扬尘的有效手段。输道路均为已建混凝土道路，运输过程中对环境影响较小。项目内的材料运输车辆经项目建设的临时道路进行通行，该临时道路为泥结石道路，干燥天气运输扬尘较大，施工方在采取限速行驶，干燥天气道路洒水的措施，由于施工期较</w:t>
            </w:r>
            <w:r>
              <w:rPr>
                <w:rFonts w:hint="eastAsia"/>
                <w:lang w:val="en-US" w:eastAsia="zh-CN"/>
              </w:rPr>
              <w:t>短</w:t>
            </w:r>
            <w:r>
              <w:rPr>
                <w:rFonts w:hint="eastAsia"/>
              </w:rPr>
              <w:t>，综合运距较短，材料运输车辆扬尘对环境影响较小。</w:t>
            </w:r>
          </w:p>
          <w:p>
            <w:pPr>
              <w:snapToGrid w:val="0"/>
              <w:spacing w:line="360" w:lineRule="auto"/>
              <w:ind w:firstLine="480" w:firstLineChars="200"/>
              <w:rPr>
                <w:rFonts w:hint="eastAsia"/>
              </w:rPr>
            </w:pPr>
            <w:r>
              <w:rPr>
                <w:rFonts w:ascii="Cambria Math" w:hAnsi="Cambria Math" w:cs="Cambria Math"/>
              </w:rPr>
              <w:t>②</w:t>
            </w:r>
            <w:r>
              <w:rPr>
                <w:rFonts w:hint="eastAsia"/>
              </w:rPr>
              <w:t>装卸、土石方挖掘堆放等起尘</w:t>
            </w:r>
          </w:p>
          <w:p>
            <w:pPr>
              <w:pStyle w:val="42"/>
              <w:ind w:firstLine="480"/>
              <w:rPr>
                <w:rFonts w:hint="eastAsia"/>
                <w:lang w:val="zh-CN" w:bidi="zh-CN"/>
              </w:rPr>
            </w:pPr>
            <w:r>
              <w:rPr>
                <w:rFonts w:hint="eastAsia"/>
                <w:lang w:val="zh-CN" w:bidi="zh-CN"/>
              </w:rPr>
              <w:t>施工工地的地面粉尘，在环境风速足够大时（大于颗粒土沙的启动速度时）就产生了扬尘，其源强大小与颗粒物的粒径大小、比重以及环境的风速、湿度等因素有关，风速越大，颗粒越小，土沙的含水率越小，扬尘的产生量就越大。减少露天堆放和保证一定的含水率及减少裸露地面（加设编织土袋拦挡380m，密目网遮盖2000m</w:t>
            </w:r>
            <w:r>
              <w:rPr>
                <w:rFonts w:hint="eastAsia"/>
                <w:vertAlign w:val="superscript"/>
                <w:lang w:val="zh-CN" w:bidi="zh-CN"/>
              </w:rPr>
              <w:t>2</w:t>
            </w:r>
            <w:r>
              <w:rPr>
                <w:rFonts w:hint="eastAsia"/>
                <w:lang w:val="zh-CN" w:bidi="zh-CN"/>
              </w:rPr>
              <w:t>）是减少风力起尘的有效手段。</w:t>
            </w:r>
          </w:p>
          <w:p>
            <w:pPr>
              <w:spacing w:line="360" w:lineRule="auto"/>
              <w:ind w:firstLine="480" w:firstLineChars="200"/>
              <w:rPr>
                <w:rFonts w:hint="eastAsia"/>
                <w:szCs w:val="22"/>
                <w:lang w:val="zh-CN" w:bidi="zh-CN"/>
              </w:rPr>
            </w:pPr>
            <w:r>
              <w:rPr>
                <w:rFonts w:hint="eastAsia"/>
                <w:szCs w:val="22"/>
                <w:lang w:val="zh-CN" w:bidi="zh-CN"/>
              </w:rPr>
              <w:t>（</w:t>
            </w:r>
            <w:r>
              <w:rPr>
                <w:rFonts w:eastAsia="Times New Roman"/>
                <w:szCs w:val="22"/>
                <w:lang w:val="zh-CN" w:bidi="zh-CN"/>
              </w:rPr>
              <w:t>2</w:t>
            </w:r>
            <w:r>
              <w:rPr>
                <w:rFonts w:hint="eastAsia"/>
                <w:szCs w:val="22"/>
                <w:lang w:val="zh-CN" w:bidi="zh-CN"/>
              </w:rPr>
              <w:t>）施工机械废气及运输车辆尾气</w:t>
            </w:r>
          </w:p>
          <w:p>
            <w:pPr>
              <w:pStyle w:val="42"/>
              <w:ind w:firstLine="480"/>
              <w:rPr>
                <w:rFonts w:hint="eastAsia"/>
              </w:rPr>
            </w:pPr>
            <w:r>
              <w:rPr>
                <w:rFonts w:hint="eastAsia"/>
              </w:rPr>
              <w:t>本工程所有施工机械主要以柴油和汽油为燃料，施工期环境空气污染物主要是施工机械设备燃油排出的CO、NOx。由于工程施工机具数量有限，尾气排放量较小，施工机械设备施工作业时对环境空气的影响局限于施工沿线。预计工程施工作业时对局地区域环境空气影响范围仅限于下风向30～50m范围内，不过这种影响时间短，并随施工的完成而消失。其余地区环境空气质量将维持现有水平。</w:t>
            </w:r>
          </w:p>
          <w:p>
            <w:pPr>
              <w:spacing w:line="360" w:lineRule="auto"/>
              <w:ind w:firstLine="480" w:firstLineChars="200"/>
              <w:rPr>
                <w:rFonts w:hint="eastAsia"/>
                <w:szCs w:val="21"/>
              </w:rPr>
            </w:pPr>
            <w:r>
              <w:rPr>
                <w:szCs w:val="21"/>
              </w:rPr>
              <w:t>(3）沥青烟</w:t>
            </w:r>
          </w:p>
          <w:p>
            <w:pPr>
              <w:pStyle w:val="42"/>
              <w:ind w:firstLine="480"/>
              <w:rPr>
                <w:rFonts w:hint="eastAsia"/>
              </w:rPr>
            </w:pPr>
            <w:r>
              <w:t>木</w:t>
            </w:r>
            <w:r>
              <w:rPr>
                <w:rFonts w:hint="eastAsia"/>
                <w:lang w:eastAsia="zh-CN"/>
              </w:rPr>
              <w:t>项目</w:t>
            </w:r>
            <w:r>
              <w:t>不设沥青拌和站，所需的沥青均在当地购买商品沥青，购买的沥青采用罐装沥青专用车辆装运，以防止沿途洒落污染环境。</w:t>
            </w:r>
            <w:r>
              <w:rPr>
                <w:rFonts w:hint="eastAsia"/>
                <w:lang w:val="en-US" w:eastAsia="zh-CN"/>
              </w:rPr>
              <w:t>项目</w:t>
            </w:r>
            <w:r>
              <w:t>路面施工阶段，沥青烟气主要出现在路面铺设过程中。沥青烟气中主要有毒有害物质是THC、PM</w:t>
            </w:r>
            <w:r>
              <w:rPr>
                <w:rFonts w:hint="eastAsia"/>
                <w:vertAlign w:val="subscript"/>
              </w:rPr>
              <w:t>1</w:t>
            </w:r>
            <w:r>
              <w:rPr>
                <w:vertAlign w:val="subscript"/>
              </w:rPr>
              <w:t>0</w:t>
            </w:r>
            <w:r>
              <w:t>和苯并芘（a）等，本项目路面铺设采用商品沥青，沥青在专业搅拌站制成成品后，由专用运输车运至现场，立即铺设，约2</w:t>
            </w:r>
            <w:r>
              <w:rPr>
                <w:rFonts w:hint="eastAsia"/>
              </w:rPr>
              <w:t>~</w:t>
            </w:r>
            <w:r>
              <w:t>3小时后即固化可通车，液体沥青在施工现场停留时间较短</w:t>
            </w:r>
            <w:r>
              <w:rPr>
                <w:rFonts w:hint="eastAsia"/>
              </w:rPr>
              <w:t>，</w:t>
            </w:r>
            <w:r>
              <w:t>产生的沥青烟很少，无需采取特殊的治理措施。</w:t>
            </w:r>
          </w:p>
          <w:p>
            <w:pPr>
              <w:pStyle w:val="42"/>
              <w:ind w:firstLine="480"/>
              <w:rPr>
                <w:rFonts w:hint="eastAsia"/>
              </w:rPr>
            </w:pPr>
            <w:r>
              <w:rPr>
                <w:rFonts w:hint="eastAsia"/>
              </w:rPr>
              <w:t>综上，项目施工期将会对施工场地周围的环境空气质量造成一定影响，但在采取上述措施后，可以有效降低项目施工扬尘对周边环境的影响；同时，施工扬尘对大气环境的影响随着施工期的结束而消失。因此，项目施工期对环境空气产生的影响是可接受的。</w:t>
            </w:r>
          </w:p>
          <w:p>
            <w:pPr>
              <w:pStyle w:val="40"/>
              <w:ind w:firstLine="482"/>
              <w:rPr>
                <w:rFonts w:hint="eastAsia"/>
                <w:lang w:val="zh-CN" w:bidi="zh-CN"/>
              </w:rPr>
            </w:pPr>
            <w:r>
              <w:rPr>
                <w:rFonts w:hint="eastAsia"/>
                <w:lang w:bidi="zh-CN"/>
              </w:rPr>
              <w:t>1.4</w:t>
            </w:r>
            <w:r>
              <w:rPr>
                <w:lang w:val="zh-CN" w:bidi="zh-CN"/>
              </w:rPr>
              <w:t>声环境影响分析</w:t>
            </w:r>
          </w:p>
          <w:p>
            <w:pPr>
              <w:pStyle w:val="40"/>
              <w:ind w:firstLine="482"/>
              <w:rPr>
                <w:rFonts w:hint="eastAsia"/>
              </w:rPr>
            </w:pPr>
            <w:r>
              <w:t>（1）噪声源强分析</w:t>
            </w:r>
          </w:p>
          <w:p>
            <w:pPr>
              <w:snapToGrid w:val="0"/>
              <w:spacing w:line="360" w:lineRule="auto"/>
              <w:ind w:firstLine="480" w:firstLineChars="200"/>
              <w:rPr>
                <w:rFonts w:hint="eastAsia"/>
              </w:rPr>
            </w:pPr>
            <w:r>
              <w:t>采用噪声较低的生产设备和生产工艺，加强对机械设备的维修和保养，减少运行时产生的噪声。运输车辆途径居民区和施工人员办公生活区时，要适当减速，禁止使用高音喇叭。对噪声较大的机械，尽量远离噪声敏感区布置，并控制施工时段，禁止</w:t>
            </w:r>
            <w:r>
              <w:rPr>
                <w:rFonts w:hint="eastAsia"/>
              </w:rPr>
              <w:t>午休时间和</w:t>
            </w:r>
            <w:r>
              <w:t>夜间10时至清晨6时施工作业。</w:t>
            </w:r>
          </w:p>
          <w:p>
            <w:pPr>
              <w:snapToGrid w:val="0"/>
              <w:spacing w:line="360" w:lineRule="auto"/>
              <w:ind w:firstLine="480" w:firstLineChars="200"/>
              <w:rPr>
                <w:rFonts w:hint="eastAsia"/>
              </w:rPr>
            </w:pPr>
            <w:r>
              <w:t>对接触高噪声的机械操作人员实行轮班制，控制工作时间，并按照国家有关劳动保护的规定严格执行劳动保护措施，对施工人员进行个人防护。</w:t>
            </w:r>
          </w:p>
          <w:p>
            <w:pPr>
              <w:spacing w:line="360" w:lineRule="auto"/>
              <w:ind w:firstLine="480" w:firstLineChars="200"/>
              <w:rPr>
                <w:rFonts w:eastAsia="Times New Roman"/>
              </w:rPr>
            </w:pPr>
            <w:r>
              <w:t>本工程施工区噪声主要来源于施工开挖等施工机械设备的固定、连续式噪声，车辆运输时的流动噪声</w:t>
            </w:r>
            <w:r>
              <w:rPr>
                <w:rFonts w:hint="eastAsia"/>
              </w:rPr>
              <w:t>，路面拆除作业的风镐的使用噪声等。</w:t>
            </w:r>
            <w:r>
              <w:t>工程施工阶段使用的机械主要有挖掘机、推土机、打夯机等，主要噪声源及其声级见表4-2。</w:t>
            </w:r>
          </w:p>
          <w:p>
            <w:pPr>
              <w:pStyle w:val="38"/>
              <w:rPr>
                <w:rFonts w:hint="eastAsia"/>
              </w:rPr>
            </w:pPr>
            <w:r>
              <w:t>表4-2 各施工阶段主要噪声源单位：dB（A）</w:t>
            </w:r>
          </w:p>
          <w:tbl>
            <w:tblPr>
              <w:tblStyle w:val="15"/>
              <w:tblW w:w="8147"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36"/>
              <w:gridCol w:w="2433"/>
              <w:gridCol w:w="2037"/>
              <w:gridCol w:w="164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2036" w:type="dxa"/>
                  <w:shd w:val="clear" w:color="auto" w:fill="auto"/>
                  <w:noWrap/>
                  <w:vAlign w:val="center"/>
                </w:tcPr>
                <w:p>
                  <w:pPr>
                    <w:pStyle w:val="36"/>
                    <w:rPr>
                      <w:rFonts w:hint="eastAsia"/>
                    </w:rPr>
                  </w:pPr>
                  <w:r>
                    <w:rPr>
                      <w:rFonts w:hint="eastAsia"/>
                    </w:rPr>
                    <w:t>序号</w:t>
                  </w:r>
                </w:p>
              </w:tc>
              <w:tc>
                <w:tcPr>
                  <w:tcW w:w="2433" w:type="dxa"/>
                  <w:shd w:val="clear" w:color="auto" w:fill="auto"/>
                  <w:noWrap/>
                  <w:vAlign w:val="center"/>
                </w:tcPr>
                <w:p>
                  <w:pPr>
                    <w:pStyle w:val="36"/>
                    <w:rPr>
                      <w:rFonts w:hint="eastAsia"/>
                    </w:rPr>
                  </w:pPr>
                  <w:r>
                    <w:rPr>
                      <w:rFonts w:hint="eastAsia"/>
                    </w:rPr>
                    <w:t>项目</w:t>
                  </w:r>
                </w:p>
              </w:tc>
              <w:tc>
                <w:tcPr>
                  <w:tcW w:w="2037" w:type="dxa"/>
                  <w:shd w:val="clear" w:color="auto" w:fill="auto"/>
                  <w:noWrap/>
                  <w:vAlign w:val="center"/>
                </w:tcPr>
                <w:p>
                  <w:pPr>
                    <w:pStyle w:val="36"/>
                    <w:rPr>
                      <w:rFonts w:hint="eastAsia"/>
                    </w:rPr>
                  </w:pPr>
                  <w:r>
                    <w:rPr>
                      <w:rFonts w:hint="eastAsia"/>
                    </w:rPr>
                    <w:t>单位</w:t>
                  </w:r>
                </w:p>
              </w:tc>
              <w:tc>
                <w:tcPr>
                  <w:tcW w:w="1641" w:type="dxa"/>
                  <w:shd w:val="clear" w:color="auto" w:fill="auto"/>
                  <w:vAlign w:val="center"/>
                </w:tcPr>
                <w:p>
                  <w:pPr>
                    <w:pStyle w:val="36"/>
                    <w:rPr>
                      <w:rFonts w:hint="eastAsia" w:eastAsia="等线"/>
                    </w:rPr>
                  </w:pPr>
                  <w:r>
                    <w:rPr>
                      <w:rFonts w:eastAsia="等线"/>
                    </w:rPr>
                    <w:t>5m</w:t>
                  </w:r>
                  <w:r>
                    <w:rPr>
                      <w:rFonts w:hint="eastAsia"/>
                    </w:rPr>
                    <w:t>处的声级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2036" w:type="dxa"/>
                  <w:shd w:val="clear" w:color="auto" w:fill="auto"/>
                  <w:noWrap/>
                  <w:vAlign w:val="center"/>
                </w:tcPr>
                <w:p>
                  <w:pPr>
                    <w:pStyle w:val="36"/>
                    <w:rPr>
                      <w:rFonts w:hint="eastAsia" w:eastAsia="等线"/>
                    </w:rPr>
                  </w:pPr>
                  <w:r>
                    <w:rPr>
                      <w:rFonts w:eastAsia="等线"/>
                    </w:rPr>
                    <w:t>1</w:t>
                  </w:r>
                </w:p>
              </w:tc>
              <w:tc>
                <w:tcPr>
                  <w:tcW w:w="2433" w:type="dxa"/>
                  <w:shd w:val="clear" w:color="auto" w:fill="auto"/>
                  <w:noWrap/>
                  <w:vAlign w:val="center"/>
                </w:tcPr>
                <w:p>
                  <w:pPr>
                    <w:pStyle w:val="36"/>
                    <w:rPr>
                      <w:rFonts w:hint="eastAsia"/>
                    </w:rPr>
                  </w:pPr>
                  <w:r>
                    <w:rPr>
                      <w:rFonts w:hint="eastAsia"/>
                    </w:rPr>
                    <w:t>柴油发电机</w:t>
                  </w:r>
                </w:p>
              </w:tc>
              <w:tc>
                <w:tcPr>
                  <w:tcW w:w="2037" w:type="dxa"/>
                  <w:shd w:val="clear" w:color="auto" w:fill="auto"/>
                  <w:noWrap/>
                  <w:vAlign w:val="center"/>
                </w:tcPr>
                <w:p>
                  <w:pPr>
                    <w:pStyle w:val="36"/>
                    <w:rPr>
                      <w:rFonts w:hint="eastAsia"/>
                    </w:rPr>
                  </w:pPr>
                  <w:r>
                    <w:rPr>
                      <w:rFonts w:hint="eastAsia"/>
                    </w:rPr>
                    <w:t>台</w:t>
                  </w:r>
                </w:p>
              </w:tc>
              <w:tc>
                <w:tcPr>
                  <w:tcW w:w="1641" w:type="dxa"/>
                  <w:shd w:val="clear" w:color="auto" w:fill="auto"/>
                  <w:vAlign w:val="center"/>
                </w:tcPr>
                <w:p>
                  <w:pPr>
                    <w:pStyle w:val="36"/>
                    <w:rPr>
                      <w:rFonts w:hint="eastAsia" w:eastAsia="等线"/>
                    </w:rPr>
                  </w:pPr>
                  <w:r>
                    <w:rPr>
                      <w:rFonts w:eastAsia="等线"/>
                    </w:rPr>
                    <w:t>85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2036" w:type="dxa"/>
                  <w:shd w:val="clear" w:color="auto" w:fill="auto"/>
                  <w:noWrap/>
                  <w:vAlign w:val="center"/>
                </w:tcPr>
                <w:p>
                  <w:pPr>
                    <w:pStyle w:val="36"/>
                    <w:rPr>
                      <w:rFonts w:hint="eastAsia" w:eastAsia="等线"/>
                    </w:rPr>
                  </w:pPr>
                  <w:r>
                    <w:rPr>
                      <w:rFonts w:eastAsia="等线"/>
                    </w:rPr>
                    <w:t>2</w:t>
                  </w:r>
                </w:p>
              </w:tc>
              <w:tc>
                <w:tcPr>
                  <w:tcW w:w="2433" w:type="dxa"/>
                  <w:shd w:val="clear" w:color="auto" w:fill="auto"/>
                  <w:noWrap/>
                  <w:vAlign w:val="center"/>
                </w:tcPr>
                <w:p>
                  <w:pPr>
                    <w:pStyle w:val="36"/>
                    <w:rPr>
                      <w:rFonts w:hint="eastAsia"/>
                    </w:rPr>
                  </w:pPr>
                  <w:r>
                    <w:rPr>
                      <w:rFonts w:hint="eastAsia"/>
                    </w:rPr>
                    <w:t>挖掘机</w:t>
                  </w:r>
                </w:p>
              </w:tc>
              <w:tc>
                <w:tcPr>
                  <w:tcW w:w="2037" w:type="dxa"/>
                  <w:shd w:val="clear" w:color="auto" w:fill="auto"/>
                  <w:noWrap/>
                  <w:vAlign w:val="center"/>
                </w:tcPr>
                <w:p>
                  <w:pPr>
                    <w:pStyle w:val="36"/>
                    <w:rPr>
                      <w:rFonts w:hint="eastAsia"/>
                    </w:rPr>
                  </w:pPr>
                  <w:r>
                    <w:rPr>
                      <w:rFonts w:hint="eastAsia"/>
                    </w:rPr>
                    <w:t>台</w:t>
                  </w:r>
                </w:p>
              </w:tc>
              <w:tc>
                <w:tcPr>
                  <w:tcW w:w="1641" w:type="dxa"/>
                  <w:shd w:val="clear" w:color="auto" w:fill="auto"/>
                  <w:vAlign w:val="center"/>
                </w:tcPr>
                <w:p>
                  <w:pPr>
                    <w:pStyle w:val="36"/>
                    <w:rPr>
                      <w:rFonts w:hint="eastAsia" w:eastAsia="等线"/>
                    </w:rPr>
                  </w:pPr>
                  <w:r>
                    <w:rPr>
                      <w:rFonts w:eastAsia="等线"/>
                    </w:rPr>
                    <w:t>85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2036" w:type="dxa"/>
                  <w:shd w:val="clear" w:color="auto" w:fill="auto"/>
                  <w:noWrap/>
                  <w:vAlign w:val="center"/>
                </w:tcPr>
                <w:p>
                  <w:pPr>
                    <w:pStyle w:val="36"/>
                    <w:rPr>
                      <w:rFonts w:hint="eastAsia" w:eastAsia="等线"/>
                    </w:rPr>
                  </w:pPr>
                  <w:r>
                    <w:rPr>
                      <w:rFonts w:eastAsia="等线"/>
                    </w:rPr>
                    <w:t>3</w:t>
                  </w:r>
                </w:p>
              </w:tc>
              <w:tc>
                <w:tcPr>
                  <w:tcW w:w="2433" w:type="dxa"/>
                  <w:shd w:val="clear" w:color="auto" w:fill="auto"/>
                  <w:noWrap/>
                  <w:vAlign w:val="center"/>
                </w:tcPr>
                <w:p>
                  <w:pPr>
                    <w:pStyle w:val="36"/>
                    <w:rPr>
                      <w:rFonts w:hint="eastAsia"/>
                    </w:rPr>
                  </w:pPr>
                  <w:r>
                    <w:rPr>
                      <w:rFonts w:hint="eastAsia"/>
                    </w:rPr>
                    <w:t>推土机</w:t>
                  </w:r>
                </w:p>
              </w:tc>
              <w:tc>
                <w:tcPr>
                  <w:tcW w:w="2037" w:type="dxa"/>
                  <w:shd w:val="clear" w:color="auto" w:fill="auto"/>
                  <w:noWrap/>
                  <w:vAlign w:val="center"/>
                </w:tcPr>
                <w:p>
                  <w:pPr>
                    <w:pStyle w:val="36"/>
                    <w:rPr>
                      <w:rFonts w:hint="eastAsia"/>
                    </w:rPr>
                  </w:pPr>
                  <w:r>
                    <w:rPr>
                      <w:rFonts w:hint="eastAsia"/>
                    </w:rPr>
                    <w:t>台</w:t>
                  </w:r>
                </w:p>
              </w:tc>
              <w:tc>
                <w:tcPr>
                  <w:tcW w:w="1641" w:type="dxa"/>
                  <w:shd w:val="clear" w:color="auto" w:fill="auto"/>
                  <w:vAlign w:val="center"/>
                </w:tcPr>
                <w:p>
                  <w:pPr>
                    <w:pStyle w:val="36"/>
                    <w:rPr>
                      <w:rFonts w:hint="eastAsia" w:eastAsia="等线"/>
                    </w:rPr>
                  </w:pPr>
                  <w:r>
                    <w:rPr>
                      <w:rFonts w:eastAsia="等线"/>
                    </w:rPr>
                    <w:t>85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2036" w:type="dxa"/>
                  <w:shd w:val="clear" w:color="auto" w:fill="auto"/>
                  <w:noWrap/>
                  <w:vAlign w:val="center"/>
                </w:tcPr>
                <w:p>
                  <w:pPr>
                    <w:pStyle w:val="36"/>
                    <w:rPr>
                      <w:rFonts w:hint="eastAsia" w:eastAsia="等线"/>
                    </w:rPr>
                  </w:pPr>
                  <w:r>
                    <w:rPr>
                      <w:rFonts w:eastAsia="等线"/>
                    </w:rPr>
                    <w:t>4</w:t>
                  </w:r>
                </w:p>
              </w:tc>
              <w:tc>
                <w:tcPr>
                  <w:tcW w:w="2433" w:type="dxa"/>
                  <w:shd w:val="clear" w:color="auto" w:fill="auto"/>
                  <w:noWrap/>
                  <w:vAlign w:val="center"/>
                </w:tcPr>
                <w:p>
                  <w:pPr>
                    <w:pStyle w:val="36"/>
                    <w:rPr>
                      <w:rFonts w:hint="eastAsia"/>
                    </w:rPr>
                  </w:pPr>
                  <w:r>
                    <w:rPr>
                      <w:rFonts w:hint="eastAsia"/>
                    </w:rPr>
                    <w:t>潜水泵</w:t>
                  </w:r>
                </w:p>
              </w:tc>
              <w:tc>
                <w:tcPr>
                  <w:tcW w:w="2037" w:type="dxa"/>
                  <w:shd w:val="clear" w:color="auto" w:fill="auto"/>
                  <w:noWrap/>
                  <w:vAlign w:val="center"/>
                </w:tcPr>
                <w:p>
                  <w:pPr>
                    <w:pStyle w:val="36"/>
                    <w:rPr>
                      <w:rFonts w:hint="eastAsia"/>
                    </w:rPr>
                  </w:pPr>
                  <w:r>
                    <w:rPr>
                      <w:rFonts w:hint="eastAsia"/>
                    </w:rPr>
                    <w:t>台</w:t>
                  </w:r>
                </w:p>
              </w:tc>
              <w:tc>
                <w:tcPr>
                  <w:tcW w:w="1641" w:type="dxa"/>
                  <w:shd w:val="clear" w:color="auto" w:fill="auto"/>
                  <w:vAlign w:val="center"/>
                </w:tcPr>
                <w:p>
                  <w:pPr>
                    <w:pStyle w:val="36"/>
                    <w:rPr>
                      <w:rFonts w:hint="eastAsia" w:eastAsia="等线"/>
                    </w:rPr>
                  </w:pPr>
                  <w:r>
                    <w:rPr>
                      <w:rFonts w:eastAsia="等线"/>
                    </w:rPr>
                    <w:t>75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2036" w:type="dxa"/>
                  <w:shd w:val="clear" w:color="auto" w:fill="auto"/>
                  <w:noWrap/>
                  <w:vAlign w:val="center"/>
                </w:tcPr>
                <w:p>
                  <w:pPr>
                    <w:pStyle w:val="36"/>
                    <w:rPr>
                      <w:rFonts w:hint="eastAsia" w:eastAsia="等线"/>
                    </w:rPr>
                  </w:pPr>
                  <w:r>
                    <w:rPr>
                      <w:rFonts w:eastAsia="等线"/>
                    </w:rPr>
                    <w:t>5</w:t>
                  </w:r>
                </w:p>
              </w:tc>
              <w:tc>
                <w:tcPr>
                  <w:tcW w:w="2433" w:type="dxa"/>
                  <w:shd w:val="clear" w:color="auto" w:fill="auto"/>
                  <w:noWrap/>
                  <w:vAlign w:val="center"/>
                </w:tcPr>
                <w:p>
                  <w:pPr>
                    <w:pStyle w:val="36"/>
                    <w:rPr>
                      <w:rFonts w:hint="eastAsia"/>
                    </w:rPr>
                  </w:pPr>
                  <w:r>
                    <w:rPr>
                      <w:rFonts w:hint="eastAsia"/>
                    </w:rPr>
                    <w:t>自卸汽车</w:t>
                  </w:r>
                </w:p>
              </w:tc>
              <w:tc>
                <w:tcPr>
                  <w:tcW w:w="2037" w:type="dxa"/>
                  <w:shd w:val="clear" w:color="auto" w:fill="auto"/>
                  <w:noWrap/>
                  <w:vAlign w:val="center"/>
                </w:tcPr>
                <w:p>
                  <w:pPr>
                    <w:pStyle w:val="36"/>
                    <w:rPr>
                      <w:rFonts w:hint="eastAsia"/>
                    </w:rPr>
                  </w:pPr>
                  <w:r>
                    <w:rPr>
                      <w:rFonts w:hint="eastAsia"/>
                    </w:rPr>
                    <w:t>台</w:t>
                  </w:r>
                </w:p>
              </w:tc>
              <w:tc>
                <w:tcPr>
                  <w:tcW w:w="1641" w:type="dxa"/>
                  <w:shd w:val="clear" w:color="auto" w:fill="auto"/>
                  <w:vAlign w:val="center"/>
                </w:tcPr>
                <w:p>
                  <w:pPr>
                    <w:pStyle w:val="36"/>
                    <w:rPr>
                      <w:rFonts w:hint="eastAsia" w:eastAsia="等线"/>
                    </w:rPr>
                  </w:pPr>
                  <w:r>
                    <w:rPr>
                      <w:rFonts w:eastAsia="等线"/>
                    </w:rPr>
                    <w:t>75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2036" w:type="dxa"/>
                  <w:shd w:val="clear" w:color="auto" w:fill="auto"/>
                  <w:noWrap/>
                  <w:vAlign w:val="center"/>
                </w:tcPr>
                <w:p>
                  <w:pPr>
                    <w:pStyle w:val="36"/>
                    <w:rPr>
                      <w:rFonts w:hint="eastAsia" w:eastAsia="等线"/>
                    </w:rPr>
                  </w:pPr>
                  <w:r>
                    <w:rPr>
                      <w:rFonts w:eastAsia="等线"/>
                    </w:rPr>
                    <w:t>6</w:t>
                  </w:r>
                </w:p>
              </w:tc>
              <w:tc>
                <w:tcPr>
                  <w:tcW w:w="2433" w:type="dxa"/>
                  <w:shd w:val="clear" w:color="auto" w:fill="auto"/>
                  <w:noWrap/>
                  <w:vAlign w:val="center"/>
                </w:tcPr>
                <w:p>
                  <w:pPr>
                    <w:pStyle w:val="36"/>
                    <w:rPr>
                      <w:rFonts w:hint="eastAsia"/>
                    </w:rPr>
                  </w:pPr>
                  <w:r>
                    <w:rPr>
                      <w:rFonts w:hint="eastAsia"/>
                    </w:rPr>
                    <w:t>混凝土运输车</w:t>
                  </w:r>
                </w:p>
              </w:tc>
              <w:tc>
                <w:tcPr>
                  <w:tcW w:w="2037" w:type="dxa"/>
                  <w:shd w:val="clear" w:color="auto" w:fill="auto"/>
                  <w:noWrap/>
                  <w:vAlign w:val="center"/>
                </w:tcPr>
                <w:p>
                  <w:pPr>
                    <w:pStyle w:val="36"/>
                    <w:rPr>
                      <w:rFonts w:hint="eastAsia"/>
                    </w:rPr>
                  </w:pPr>
                  <w:r>
                    <w:rPr>
                      <w:rFonts w:hint="eastAsia"/>
                    </w:rPr>
                    <w:t>台</w:t>
                  </w:r>
                </w:p>
              </w:tc>
              <w:tc>
                <w:tcPr>
                  <w:tcW w:w="1641" w:type="dxa"/>
                  <w:shd w:val="clear" w:color="auto" w:fill="auto"/>
                  <w:vAlign w:val="center"/>
                </w:tcPr>
                <w:p>
                  <w:pPr>
                    <w:pStyle w:val="36"/>
                    <w:rPr>
                      <w:rFonts w:hint="eastAsia" w:eastAsia="等线"/>
                    </w:rPr>
                  </w:pPr>
                  <w:r>
                    <w:rPr>
                      <w:rFonts w:eastAsia="等线"/>
                    </w:rPr>
                    <w:t>80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2036" w:type="dxa"/>
                  <w:shd w:val="clear" w:color="auto" w:fill="auto"/>
                  <w:noWrap/>
                  <w:vAlign w:val="center"/>
                </w:tcPr>
                <w:p>
                  <w:pPr>
                    <w:pStyle w:val="36"/>
                    <w:rPr>
                      <w:rFonts w:hint="eastAsia" w:eastAsia="等线"/>
                    </w:rPr>
                  </w:pPr>
                  <w:r>
                    <w:rPr>
                      <w:rFonts w:eastAsia="等线"/>
                    </w:rPr>
                    <w:t>7</w:t>
                  </w:r>
                </w:p>
              </w:tc>
              <w:tc>
                <w:tcPr>
                  <w:tcW w:w="2433" w:type="dxa"/>
                  <w:shd w:val="clear" w:color="auto" w:fill="auto"/>
                  <w:noWrap/>
                  <w:vAlign w:val="center"/>
                </w:tcPr>
                <w:p>
                  <w:pPr>
                    <w:pStyle w:val="36"/>
                    <w:rPr>
                      <w:rFonts w:hint="eastAsia"/>
                    </w:rPr>
                  </w:pPr>
                  <w:r>
                    <w:rPr>
                      <w:rFonts w:hint="eastAsia"/>
                    </w:rPr>
                    <w:t>压路机</w:t>
                  </w:r>
                </w:p>
              </w:tc>
              <w:tc>
                <w:tcPr>
                  <w:tcW w:w="2037" w:type="dxa"/>
                  <w:shd w:val="clear" w:color="auto" w:fill="auto"/>
                  <w:noWrap/>
                  <w:vAlign w:val="center"/>
                </w:tcPr>
                <w:p>
                  <w:pPr>
                    <w:pStyle w:val="36"/>
                    <w:rPr>
                      <w:rFonts w:hint="eastAsia"/>
                    </w:rPr>
                  </w:pPr>
                  <w:r>
                    <w:rPr>
                      <w:rFonts w:hint="eastAsia"/>
                    </w:rPr>
                    <w:t>台</w:t>
                  </w:r>
                </w:p>
              </w:tc>
              <w:tc>
                <w:tcPr>
                  <w:tcW w:w="1641" w:type="dxa"/>
                  <w:shd w:val="clear" w:color="auto" w:fill="auto"/>
                  <w:vAlign w:val="center"/>
                </w:tcPr>
                <w:p>
                  <w:pPr>
                    <w:pStyle w:val="36"/>
                    <w:rPr>
                      <w:rFonts w:hint="eastAsia" w:eastAsia="等线"/>
                    </w:rPr>
                  </w:pPr>
                  <w:r>
                    <w:rPr>
                      <w:rFonts w:eastAsia="等线"/>
                    </w:rPr>
                    <w:t>85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2036" w:type="dxa"/>
                  <w:shd w:val="clear" w:color="auto" w:fill="auto"/>
                  <w:noWrap/>
                  <w:vAlign w:val="center"/>
                </w:tcPr>
                <w:p>
                  <w:pPr>
                    <w:pStyle w:val="36"/>
                    <w:rPr>
                      <w:rFonts w:hint="eastAsia" w:eastAsia="等线"/>
                    </w:rPr>
                  </w:pPr>
                  <w:r>
                    <w:rPr>
                      <w:rFonts w:eastAsia="等线"/>
                    </w:rPr>
                    <w:t>8</w:t>
                  </w:r>
                </w:p>
              </w:tc>
              <w:tc>
                <w:tcPr>
                  <w:tcW w:w="2433" w:type="dxa"/>
                  <w:shd w:val="clear" w:color="auto" w:fill="auto"/>
                  <w:noWrap/>
                  <w:vAlign w:val="center"/>
                </w:tcPr>
                <w:p>
                  <w:pPr>
                    <w:pStyle w:val="36"/>
                    <w:rPr>
                      <w:rFonts w:hint="eastAsia" w:eastAsia="等线"/>
                    </w:rPr>
                  </w:pPr>
                  <w:r>
                    <w:rPr>
                      <w:rFonts w:eastAsia="等线"/>
                    </w:rPr>
                    <w:t>50mm</w:t>
                  </w:r>
                  <w:r>
                    <w:rPr>
                      <w:rFonts w:hint="eastAsia"/>
                    </w:rPr>
                    <w:t>振捣器</w:t>
                  </w:r>
                </w:p>
              </w:tc>
              <w:tc>
                <w:tcPr>
                  <w:tcW w:w="2037" w:type="dxa"/>
                  <w:shd w:val="clear" w:color="auto" w:fill="auto"/>
                  <w:noWrap/>
                  <w:vAlign w:val="center"/>
                </w:tcPr>
                <w:p>
                  <w:pPr>
                    <w:pStyle w:val="36"/>
                    <w:rPr>
                      <w:rFonts w:hint="eastAsia"/>
                    </w:rPr>
                  </w:pPr>
                  <w:r>
                    <w:rPr>
                      <w:rFonts w:hint="eastAsia"/>
                    </w:rPr>
                    <w:t>台</w:t>
                  </w:r>
                </w:p>
              </w:tc>
              <w:tc>
                <w:tcPr>
                  <w:tcW w:w="1641" w:type="dxa"/>
                  <w:shd w:val="clear" w:color="auto" w:fill="auto"/>
                  <w:vAlign w:val="center"/>
                </w:tcPr>
                <w:p>
                  <w:pPr>
                    <w:pStyle w:val="36"/>
                    <w:rPr>
                      <w:rFonts w:hint="eastAsia" w:eastAsia="等线"/>
                    </w:rPr>
                  </w:pPr>
                  <w:r>
                    <w:rPr>
                      <w:rFonts w:eastAsia="等线"/>
                    </w:rPr>
                    <w:t>75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2036" w:type="dxa"/>
                  <w:shd w:val="clear" w:color="auto" w:fill="auto"/>
                  <w:noWrap/>
                  <w:vAlign w:val="center"/>
                </w:tcPr>
                <w:p>
                  <w:pPr>
                    <w:pStyle w:val="36"/>
                    <w:rPr>
                      <w:rFonts w:hint="eastAsia" w:eastAsia="等线"/>
                    </w:rPr>
                  </w:pPr>
                  <w:r>
                    <w:rPr>
                      <w:rFonts w:eastAsia="等线"/>
                    </w:rPr>
                    <w:t>9</w:t>
                  </w:r>
                </w:p>
              </w:tc>
              <w:tc>
                <w:tcPr>
                  <w:tcW w:w="2433" w:type="dxa"/>
                  <w:shd w:val="clear" w:color="auto" w:fill="auto"/>
                  <w:noWrap/>
                  <w:vAlign w:val="center"/>
                </w:tcPr>
                <w:p>
                  <w:pPr>
                    <w:pStyle w:val="36"/>
                    <w:rPr>
                      <w:rFonts w:hint="eastAsia"/>
                    </w:rPr>
                  </w:pPr>
                  <w:r>
                    <w:rPr>
                      <w:rFonts w:hint="eastAsia"/>
                    </w:rPr>
                    <w:t>手推胶轮车</w:t>
                  </w:r>
                </w:p>
              </w:tc>
              <w:tc>
                <w:tcPr>
                  <w:tcW w:w="2037" w:type="dxa"/>
                  <w:shd w:val="clear" w:color="auto" w:fill="auto"/>
                  <w:noWrap/>
                  <w:vAlign w:val="center"/>
                </w:tcPr>
                <w:p>
                  <w:pPr>
                    <w:pStyle w:val="36"/>
                    <w:rPr>
                      <w:rFonts w:hint="eastAsia"/>
                    </w:rPr>
                  </w:pPr>
                  <w:r>
                    <w:rPr>
                      <w:rFonts w:hint="eastAsia"/>
                    </w:rPr>
                    <w:t>台</w:t>
                  </w:r>
                </w:p>
              </w:tc>
              <w:tc>
                <w:tcPr>
                  <w:tcW w:w="1641" w:type="dxa"/>
                  <w:shd w:val="clear" w:color="auto" w:fill="auto"/>
                  <w:vAlign w:val="center"/>
                </w:tcPr>
                <w:p>
                  <w:pPr>
                    <w:pStyle w:val="36"/>
                    <w:rPr>
                      <w:rFonts w:hint="eastAsia" w:eastAsia="等线"/>
                    </w:rPr>
                  </w:pPr>
                  <w:r>
                    <w:rPr>
                      <w:rFonts w:eastAsia="等线"/>
                    </w:rPr>
                    <w:t>65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2036" w:type="dxa"/>
                  <w:shd w:val="clear" w:color="auto" w:fill="auto"/>
                  <w:noWrap/>
                  <w:vAlign w:val="center"/>
                </w:tcPr>
                <w:p>
                  <w:pPr>
                    <w:pStyle w:val="36"/>
                    <w:rPr>
                      <w:rFonts w:hint="eastAsia" w:eastAsia="等线"/>
                    </w:rPr>
                  </w:pPr>
                  <w:r>
                    <w:rPr>
                      <w:rFonts w:eastAsia="等线"/>
                    </w:rPr>
                    <w:t>10</w:t>
                  </w:r>
                </w:p>
              </w:tc>
              <w:tc>
                <w:tcPr>
                  <w:tcW w:w="2433" w:type="dxa"/>
                  <w:shd w:val="clear" w:color="auto" w:fill="auto"/>
                  <w:noWrap/>
                  <w:vAlign w:val="center"/>
                </w:tcPr>
                <w:p>
                  <w:pPr>
                    <w:pStyle w:val="36"/>
                    <w:rPr>
                      <w:rFonts w:hint="eastAsia"/>
                    </w:rPr>
                  </w:pPr>
                  <w:r>
                    <w:rPr>
                      <w:rFonts w:hint="eastAsia"/>
                    </w:rPr>
                    <w:t>钢筋切断</w:t>
                  </w:r>
                </w:p>
              </w:tc>
              <w:tc>
                <w:tcPr>
                  <w:tcW w:w="2037" w:type="dxa"/>
                  <w:shd w:val="clear" w:color="auto" w:fill="auto"/>
                  <w:noWrap/>
                  <w:vAlign w:val="center"/>
                </w:tcPr>
                <w:p>
                  <w:pPr>
                    <w:pStyle w:val="36"/>
                    <w:rPr>
                      <w:rFonts w:hint="eastAsia"/>
                    </w:rPr>
                  </w:pPr>
                  <w:r>
                    <w:rPr>
                      <w:rFonts w:hint="eastAsia"/>
                    </w:rPr>
                    <w:t>台</w:t>
                  </w:r>
                </w:p>
              </w:tc>
              <w:tc>
                <w:tcPr>
                  <w:tcW w:w="1641" w:type="dxa"/>
                  <w:shd w:val="clear" w:color="auto" w:fill="auto"/>
                  <w:vAlign w:val="center"/>
                </w:tcPr>
                <w:p>
                  <w:pPr>
                    <w:pStyle w:val="36"/>
                    <w:rPr>
                      <w:rFonts w:hint="eastAsia" w:eastAsia="等线"/>
                    </w:rPr>
                  </w:pPr>
                  <w:r>
                    <w:rPr>
                      <w:rFonts w:eastAsia="等线"/>
                    </w:rPr>
                    <w:t>67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2036" w:type="dxa"/>
                  <w:shd w:val="clear" w:color="auto" w:fill="auto"/>
                  <w:noWrap/>
                  <w:vAlign w:val="center"/>
                </w:tcPr>
                <w:p>
                  <w:pPr>
                    <w:pStyle w:val="36"/>
                    <w:rPr>
                      <w:rFonts w:hint="eastAsia" w:eastAsia="等线"/>
                    </w:rPr>
                  </w:pPr>
                  <w:r>
                    <w:rPr>
                      <w:rFonts w:eastAsia="等线"/>
                    </w:rPr>
                    <w:t>11</w:t>
                  </w:r>
                </w:p>
              </w:tc>
              <w:tc>
                <w:tcPr>
                  <w:tcW w:w="2433" w:type="dxa"/>
                  <w:shd w:val="clear" w:color="auto" w:fill="auto"/>
                  <w:noWrap/>
                  <w:vAlign w:val="center"/>
                </w:tcPr>
                <w:p>
                  <w:pPr>
                    <w:pStyle w:val="36"/>
                    <w:rPr>
                      <w:rFonts w:hint="eastAsia"/>
                    </w:rPr>
                  </w:pPr>
                  <w:r>
                    <w:rPr>
                      <w:rFonts w:hint="eastAsia"/>
                    </w:rPr>
                    <w:t>电焊机</w:t>
                  </w:r>
                </w:p>
              </w:tc>
              <w:tc>
                <w:tcPr>
                  <w:tcW w:w="2037" w:type="dxa"/>
                  <w:shd w:val="clear" w:color="auto" w:fill="auto"/>
                  <w:noWrap/>
                  <w:vAlign w:val="center"/>
                </w:tcPr>
                <w:p>
                  <w:pPr>
                    <w:pStyle w:val="36"/>
                    <w:rPr>
                      <w:rFonts w:hint="eastAsia"/>
                    </w:rPr>
                  </w:pPr>
                  <w:r>
                    <w:rPr>
                      <w:rFonts w:hint="eastAsia"/>
                    </w:rPr>
                    <w:t>台</w:t>
                  </w:r>
                </w:p>
              </w:tc>
              <w:tc>
                <w:tcPr>
                  <w:tcW w:w="1641" w:type="dxa"/>
                  <w:shd w:val="clear" w:color="auto" w:fill="auto"/>
                  <w:vAlign w:val="center"/>
                </w:tcPr>
                <w:p>
                  <w:pPr>
                    <w:pStyle w:val="36"/>
                    <w:rPr>
                      <w:rFonts w:hint="eastAsia" w:eastAsia="等线"/>
                    </w:rPr>
                  </w:pPr>
                  <w:r>
                    <w:rPr>
                      <w:rFonts w:eastAsia="等线"/>
                    </w:rPr>
                    <w:t>80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2036" w:type="dxa"/>
                  <w:shd w:val="clear" w:color="auto" w:fill="auto"/>
                  <w:noWrap/>
                  <w:vAlign w:val="center"/>
                </w:tcPr>
                <w:p>
                  <w:pPr>
                    <w:pStyle w:val="36"/>
                    <w:rPr>
                      <w:rFonts w:hint="eastAsia" w:eastAsia="等线"/>
                    </w:rPr>
                  </w:pPr>
                  <w:r>
                    <w:rPr>
                      <w:rFonts w:eastAsia="等线"/>
                    </w:rPr>
                    <w:t>12</w:t>
                  </w:r>
                </w:p>
              </w:tc>
              <w:tc>
                <w:tcPr>
                  <w:tcW w:w="2433" w:type="dxa"/>
                  <w:shd w:val="clear" w:color="auto" w:fill="auto"/>
                  <w:noWrap/>
                  <w:vAlign w:val="center"/>
                </w:tcPr>
                <w:p>
                  <w:pPr>
                    <w:pStyle w:val="36"/>
                    <w:rPr>
                      <w:rFonts w:hint="eastAsia"/>
                    </w:rPr>
                  </w:pPr>
                  <w:r>
                    <w:rPr>
                      <w:rFonts w:hint="eastAsia"/>
                    </w:rPr>
                    <w:t>钢筋弯掘机</w:t>
                  </w:r>
                </w:p>
              </w:tc>
              <w:tc>
                <w:tcPr>
                  <w:tcW w:w="2037" w:type="dxa"/>
                  <w:shd w:val="clear" w:color="auto" w:fill="auto"/>
                  <w:noWrap/>
                  <w:vAlign w:val="center"/>
                </w:tcPr>
                <w:p>
                  <w:pPr>
                    <w:pStyle w:val="36"/>
                    <w:rPr>
                      <w:rFonts w:hint="eastAsia"/>
                    </w:rPr>
                  </w:pPr>
                  <w:r>
                    <w:rPr>
                      <w:rFonts w:hint="eastAsia"/>
                    </w:rPr>
                    <w:t>台</w:t>
                  </w:r>
                </w:p>
              </w:tc>
              <w:tc>
                <w:tcPr>
                  <w:tcW w:w="1641" w:type="dxa"/>
                  <w:shd w:val="clear" w:color="auto" w:fill="auto"/>
                  <w:vAlign w:val="center"/>
                </w:tcPr>
                <w:p>
                  <w:pPr>
                    <w:pStyle w:val="36"/>
                    <w:rPr>
                      <w:rFonts w:hint="eastAsia" w:eastAsia="等线"/>
                    </w:rPr>
                  </w:pPr>
                  <w:r>
                    <w:rPr>
                      <w:rFonts w:eastAsia="等线"/>
                    </w:rPr>
                    <w:t>70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2036" w:type="dxa"/>
                  <w:shd w:val="clear" w:color="auto" w:fill="auto"/>
                  <w:noWrap/>
                  <w:vAlign w:val="center"/>
                </w:tcPr>
                <w:p>
                  <w:pPr>
                    <w:pStyle w:val="36"/>
                    <w:rPr>
                      <w:rFonts w:hint="eastAsia" w:eastAsia="等线"/>
                    </w:rPr>
                  </w:pPr>
                  <w:r>
                    <w:rPr>
                      <w:rFonts w:eastAsia="等线"/>
                    </w:rPr>
                    <w:t>13</w:t>
                  </w:r>
                </w:p>
              </w:tc>
              <w:tc>
                <w:tcPr>
                  <w:tcW w:w="2433" w:type="dxa"/>
                  <w:shd w:val="clear" w:color="auto" w:fill="auto"/>
                  <w:noWrap/>
                  <w:vAlign w:val="center"/>
                </w:tcPr>
                <w:p>
                  <w:pPr>
                    <w:pStyle w:val="36"/>
                    <w:rPr>
                      <w:rFonts w:hint="eastAsia"/>
                    </w:rPr>
                  </w:pPr>
                  <w:r>
                    <w:rPr>
                      <w:rFonts w:hint="eastAsia"/>
                    </w:rPr>
                    <w:t>振捣器平板式</w:t>
                  </w:r>
                </w:p>
              </w:tc>
              <w:tc>
                <w:tcPr>
                  <w:tcW w:w="2037" w:type="dxa"/>
                  <w:shd w:val="clear" w:color="auto" w:fill="auto"/>
                  <w:noWrap/>
                  <w:vAlign w:val="center"/>
                </w:tcPr>
                <w:p>
                  <w:pPr>
                    <w:pStyle w:val="36"/>
                    <w:rPr>
                      <w:rFonts w:hint="eastAsia"/>
                    </w:rPr>
                  </w:pPr>
                  <w:r>
                    <w:rPr>
                      <w:rFonts w:hint="eastAsia"/>
                    </w:rPr>
                    <w:t>台</w:t>
                  </w:r>
                </w:p>
              </w:tc>
              <w:tc>
                <w:tcPr>
                  <w:tcW w:w="1641" w:type="dxa"/>
                  <w:shd w:val="clear" w:color="auto" w:fill="auto"/>
                  <w:vAlign w:val="center"/>
                </w:tcPr>
                <w:p>
                  <w:pPr>
                    <w:pStyle w:val="36"/>
                    <w:rPr>
                      <w:rFonts w:hint="eastAsia" w:eastAsia="等线"/>
                    </w:rPr>
                  </w:pPr>
                  <w:r>
                    <w:rPr>
                      <w:rFonts w:eastAsia="等线"/>
                    </w:rPr>
                    <w:t>75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2036" w:type="dxa"/>
                  <w:shd w:val="clear" w:color="auto" w:fill="auto"/>
                  <w:noWrap/>
                  <w:vAlign w:val="center"/>
                </w:tcPr>
                <w:p>
                  <w:pPr>
                    <w:pStyle w:val="36"/>
                    <w:rPr>
                      <w:rFonts w:hint="eastAsia" w:eastAsia="等线"/>
                    </w:rPr>
                  </w:pPr>
                  <w:r>
                    <w:rPr>
                      <w:rFonts w:eastAsia="等线"/>
                    </w:rPr>
                    <w:t>14</w:t>
                  </w:r>
                </w:p>
              </w:tc>
              <w:tc>
                <w:tcPr>
                  <w:tcW w:w="2433" w:type="dxa"/>
                  <w:shd w:val="clear" w:color="auto" w:fill="auto"/>
                  <w:noWrap/>
                  <w:vAlign w:val="center"/>
                </w:tcPr>
                <w:p>
                  <w:pPr>
                    <w:pStyle w:val="36"/>
                    <w:rPr>
                      <w:rFonts w:hint="eastAsia"/>
                    </w:rPr>
                  </w:pPr>
                  <w:r>
                    <w:rPr>
                      <w:rFonts w:hint="eastAsia"/>
                    </w:rPr>
                    <w:t>振捣梁</w:t>
                  </w:r>
                </w:p>
              </w:tc>
              <w:tc>
                <w:tcPr>
                  <w:tcW w:w="2037" w:type="dxa"/>
                  <w:shd w:val="clear" w:color="auto" w:fill="auto"/>
                  <w:noWrap/>
                  <w:vAlign w:val="center"/>
                </w:tcPr>
                <w:p>
                  <w:pPr>
                    <w:pStyle w:val="36"/>
                    <w:rPr>
                      <w:rFonts w:hint="eastAsia"/>
                    </w:rPr>
                  </w:pPr>
                  <w:r>
                    <w:rPr>
                      <w:rFonts w:hint="eastAsia"/>
                    </w:rPr>
                    <w:t>台</w:t>
                  </w:r>
                </w:p>
              </w:tc>
              <w:tc>
                <w:tcPr>
                  <w:tcW w:w="1641" w:type="dxa"/>
                  <w:shd w:val="clear" w:color="auto" w:fill="auto"/>
                  <w:vAlign w:val="center"/>
                </w:tcPr>
                <w:p>
                  <w:pPr>
                    <w:pStyle w:val="36"/>
                    <w:rPr>
                      <w:rFonts w:hint="eastAsia" w:eastAsia="等线"/>
                    </w:rPr>
                  </w:pPr>
                  <w:r>
                    <w:rPr>
                      <w:rFonts w:eastAsia="等线"/>
                    </w:rPr>
                    <w:t>66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2036" w:type="dxa"/>
                  <w:shd w:val="clear" w:color="auto" w:fill="auto"/>
                  <w:noWrap/>
                  <w:vAlign w:val="center"/>
                </w:tcPr>
                <w:p>
                  <w:pPr>
                    <w:pStyle w:val="36"/>
                    <w:rPr>
                      <w:rFonts w:hint="eastAsia" w:eastAsia="等线"/>
                    </w:rPr>
                  </w:pPr>
                  <w:r>
                    <w:rPr>
                      <w:rFonts w:eastAsia="等线"/>
                    </w:rPr>
                    <w:t>15</w:t>
                  </w:r>
                </w:p>
              </w:tc>
              <w:tc>
                <w:tcPr>
                  <w:tcW w:w="2433" w:type="dxa"/>
                  <w:shd w:val="clear" w:color="auto" w:fill="auto"/>
                  <w:noWrap/>
                  <w:vAlign w:val="center"/>
                </w:tcPr>
                <w:p>
                  <w:pPr>
                    <w:pStyle w:val="36"/>
                    <w:rPr>
                      <w:rFonts w:hint="eastAsia"/>
                    </w:rPr>
                  </w:pPr>
                  <w:r>
                    <w:rPr>
                      <w:rFonts w:hint="eastAsia"/>
                    </w:rPr>
                    <w:t>空压计</w:t>
                  </w:r>
                </w:p>
              </w:tc>
              <w:tc>
                <w:tcPr>
                  <w:tcW w:w="2037" w:type="dxa"/>
                  <w:shd w:val="clear" w:color="auto" w:fill="auto"/>
                  <w:noWrap/>
                  <w:vAlign w:val="center"/>
                </w:tcPr>
                <w:p>
                  <w:pPr>
                    <w:pStyle w:val="36"/>
                    <w:rPr>
                      <w:rFonts w:hint="eastAsia"/>
                    </w:rPr>
                  </w:pPr>
                  <w:r>
                    <w:rPr>
                      <w:rFonts w:hint="eastAsia"/>
                    </w:rPr>
                    <w:t>台</w:t>
                  </w:r>
                </w:p>
              </w:tc>
              <w:tc>
                <w:tcPr>
                  <w:tcW w:w="1641" w:type="dxa"/>
                  <w:shd w:val="clear" w:color="auto" w:fill="auto"/>
                  <w:vAlign w:val="center"/>
                </w:tcPr>
                <w:p>
                  <w:pPr>
                    <w:pStyle w:val="36"/>
                    <w:rPr>
                      <w:rFonts w:hint="eastAsia" w:eastAsia="等线"/>
                    </w:rPr>
                  </w:pPr>
                  <w:r>
                    <w:rPr>
                      <w:rFonts w:eastAsia="等线"/>
                    </w:rPr>
                    <w:t>70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2036" w:type="dxa"/>
                  <w:shd w:val="clear" w:color="auto" w:fill="auto"/>
                  <w:noWrap/>
                  <w:vAlign w:val="center"/>
                </w:tcPr>
                <w:p>
                  <w:pPr>
                    <w:pStyle w:val="36"/>
                    <w:rPr>
                      <w:rFonts w:hint="eastAsia" w:eastAsia="等线"/>
                    </w:rPr>
                  </w:pPr>
                  <w:r>
                    <w:rPr>
                      <w:rFonts w:eastAsia="等线"/>
                    </w:rPr>
                    <w:t>16</w:t>
                  </w:r>
                </w:p>
              </w:tc>
              <w:tc>
                <w:tcPr>
                  <w:tcW w:w="2433" w:type="dxa"/>
                  <w:shd w:val="clear" w:color="auto" w:fill="auto"/>
                  <w:noWrap/>
                  <w:vAlign w:val="center"/>
                </w:tcPr>
                <w:p>
                  <w:pPr>
                    <w:pStyle w:val="36"/>
                    <w:rPr>
                      <w:rFonts w:hint="eastAsia"/>
                    </w:rPr>
                  </w:pPr>
                  <w:r>
                    <w:rPr>
                      <w:rFonts w:hint="eastAsia"/>
                    </w:rPr>
                    <w:t>注浆机</w:t>
                  </w:r>
                </w:p>
              </w:tc>
              <w:tc>
                <w:tcPr>
                  <w:tcW w:w="2037" w:type="dxa"/>
                  <w:shd w:val="clear" w:color="auto" w:fill="auto"/>
                  <w:noWrap/>
                  <w:vAlign w:val="center"/>
                </w:tcPr>
                <w:p>
                  <w:pPr>
                    <w:pStyle w:val="36"/>
                    <w:rPr>
                      <w:rFonts w:hint="eastAsia"/>
                    </w:rPr>
                  </w:pPr>
                  <w:r>
                    <w:rPr>
                      <w:rFonts w:hint="eastAsia"/>
                    </w:rPr>
                    <w:t>台</w:t>
                  </w:r>
                </w:p>
              </w:tc>
              <w:tc>
                <w:tcPr>
                  <w:tcW w:w="1641" w:type="dxa"/>
                  <w:shd w:val="clear" w:color="auto" w:fill="auto"/>
                  <w:vAlign w:val="center"/>
                </w:tcPr>
                <w:p>
                  <w:pPr>
                    <w:pStyle w:val="36"/>
                    <w:rPr>
                      <w:rFonts w:hint="eastAsia" w:eastAsia="等线"/>
                    </w:rPr>
                  </w:pPr>
                  <w:r>
                    <w:rPr>
                      <w:rFonts w:eastAsia="等线"/>
                    </w:rPr>
                    <w:t>65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2036" w:type="dxa"/>
                  <w:shd w:val="clear" w:color="auto" w:fill="auto"/>
                  <w:noWrap/>
                  <w:vAlign w:val="center"/>
                </w:tcPr>
                <w:p>
                  <w:pPr>
                    <w:pStyle w:val="36"/>
                    <w:rPr>
                      <w:rFonts w:hint="eastAsia" w:eastAsia="等线"/>
                    </w:rPr>
                  </w:pPr>
                  <w:r>
                    <w:rPr>
                      <w:rFonts w:eastAsia="等线"/>
                    </w:rPr>
                    <w:t>17</w:t>
                  </w:r>
                </w:p>
              </w:tc>
              <w:tc>
                <w:tcPr>
                  <w:tcW w:w="2433" w:type="dxa"/>
                  <w:shd w:val="clear" w:color="auto" w:fill="auto"/>
                  <w:noWrap/>
                  <w:vAlign w:val="center"/>
                </w:tcPr>
                <w:p>
                  <w:pPr>
                    <w:pStyle w:val="36"/>
                    <w:rPr>
                      <w:rFonts w:hint="eastAsia"/>
                    </w:rPr>
                  </w:pPr>
                  <w:r>
                    <w:rPr>
                      <w:rFonts w:hint="eastAsia"/>
                    </w:rPr>
                    <w:t>砂浆搅拌机</w:t>
                  </w:r>
                </w:p>
              </w:tc>
              <w:tc>
                <w:tcPr>
                  <w:tcW w:w="2037" w:type="dxa"/>
                  <w:shd w:val="clear" w:color="auto" w:fill="auto"/>
                  <w:noWrap/>
                  <w:vAlign w:val="center"/>
                </w:tcPr>
                <w:p>
                  <w:pPr>
                    <w:pStyle w:val="36"/>
                    <w:rPr>
                      <w:rFonts w:hint="eastAsia"/>
                    </w:rPr>
                  </w:pPr>
                  <w:r>
                    <w:rPr>
                      <w:rFonts w:hint="eastAsia"/>
                    </w:rPr>
                    <w:t>台</w:t>
                  </w:r>
                </w:p>
              </w:tc>
              <w:tc>
                <w:tcPr>
                  <w:tcW w:w="1641" w:type="dxa"/>
                  <w:shd w:val="clear" w:color="auto" w:fill="auto"/>
                  <w:vAlign w:val="center"/>
                </w:tcPr>
                <w:p>
                  <w:pPr>
                    <w:pStyle w:val="36"/>
                    <w:rPr>
                      <w:rFonts w:hint="eastAsia" w:eastAsia="等线"/>
                    </w:rPr>
                  </w:pPr>
                  <w:r>
                    <w:rPr>
                      <w:rFonts w:eastAsia="等线"/>
                    </w:rPr>
                    <w:t>80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2036" w:type="dxa"/>
                  <w:shd w:val="clear" w:color="auto" w:fill="auto"/>
                  <w:noWrap/>
                  <w:vAlign w:val="center"/>
                </w:tcPr>
                <w:p>
                  <w:pPr>
                    <w:pStyle w:val="36"/>
                    <w:rPr>
                      <w:rFonts w:hint="eastAsia" w:eastAsia="等线"/>
                    </w:rPr>
                  </w:pPr>
                  <w:r>
                    <w:rPr>
                      <w:rFonts w:eastAsia="等线"/>
                    </w:rPr>
                    <w:t>18</w:t>
                  </w:r>
                </w:p>
              </w:tc>
              <w:tc>
                <w:tcPr>
                  <w:tcW w:w="2433" w:type="dxa"/>
                  <w:shd w:val="clear" w:color="auto" w:fill="auto"/>
                  <w:noWrap/>
                  <w:vAlign w:val="center"/>
                </w:tcPr>
                <w:p>
                  <w:pPr>
                    <w:pStyle w:val="36"/>
                    <w:rPr>
                      <w:rFonts w:hint="eastAsia"/>
                    </w:rPr>
                  </w:pPr>
                  <w:r>
                    <w:rPr>
                      <w:rFonts w:hint="eastAsia"/>
                    </w:rPr>
                    <w:t>锚杆钻机</w:t>
                  </w:r>
                </w:p>
              </w:tc>
              <w:tc>
                <w:tcPr>
                  <w:tcW w:w="2037" w:type="dxa"/>
                  <w:shd w:val="clear" w:color="auto" w:fill="auto"/>
                  <w:noWrap/>
                  <w:vAlign w:val="center"/>
                </w:tcPr>
                <w:p>
                  <w:pPr>
                    <w:pStyle w:val="36"/>
                    <w:rPr>
                      <w:rFonts w:hint="eastAsia"/>
                    </w:rPr>
                  </w:pPr>
                  <w:r>
                    <w:rPr>
                      <w:rFonts w:hint="eastAsia"/>
                    </w:rPr>
                    <w:t>台</w:t>
                  </w:r>
                </w:p>
              </w:tc>
              <w:tc>
                <w:tcPr>
                  <w:tcW w:w="1641" w:type="dxa"/>
                  <w:shd w:val="clear" w:color="auto" w:fill="auto"/>
                  <w:vAlign w:val="center"/>
                </w:tcPr>
                <w:p>
                  <w:pPr>
                    <w:pStyle w:val="36"/>
                    <w:rPr>
                      <w:rFonts w:hint="eastAsia" w:eastAsia="等线"/>
                    </w:rPr>
                  </w:pPr>
                  <w:r>
                    <w:rPr>
                      <w:rFonts w:eastAsia="等线"/>
                    </w:rPr>
                    <w:t>85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2036" w:type="dxa"/>
                  <w:shd w:val="clear" w:color="auto" w:fill="auto"/>
                  <w:noWrap/>
                  <w:vAlign w:val="center"/>
                </w:tcPr>
                <w:p>
                  <w:pPr>
                    <w:pStyle w:val="36"/>
                    <w:rPr>
                      <w:rFonts w:hint="eastAsia" w:eastAsia="等线"/>
                    </w:rPr>
                  </w:pPr>
                  <w:r>
                    <w:rPr>
                      <w:rFonts w:eastAsia="等线"/>
                    </w:rPr>
                    <w:t>20</w:t>
                  </w:r>
                </w:p>
              </w:tc>
              <w:tc>
                <w:tcPr>
                  <w:tcW w:w="2433" w:type="dxa"/>
                  <w:shd w:val="clear" w:color="auto" w:fill="auto"/>
                  <w:noWrap/>
                  <w:vAlign w:val="center"/>
                </w:tcPr>
                <w:p>
                  <w:pPr>
                    <w:pStyle w:val="36"/>
                    <w:rPr>
                      <w:rFonts w:hint="eastAsia"/>
                    </w:rPr>
                  </w:pPr>
                  <w:r>
                    <w:rPr>
                      <w:rFonts w:hint="eastAsia"/>
                    </w:rPr>
                    <w:t>卷扬机</w:t>
                  </w:r>
                </w:p>
              </w:tc>
              <w:tc>
                <w:tcPr>
                  <w:tcW w:w="2037" w:type="dxa"/>
                  <w:shd w:val="clear" w:color="auto" w:fill="auto"/>
                  <w:noWrap/>
                  <w:vAlign w:val="center"/>
                </w:tcPr>
                <w:p>
                  <w:pPr>
                    <w:pStyle w:val="36"/>
                    <w:rPr>
                      <w:rFonts w:hint="eastAsia"/>
                    </w:rPr>
                  </w:pPr>
                  <w:r>
                    <w:rPr>
                      <w:rFonts w:hint="eastAsia"/>
                    </w:rPr>
                    <w:t>台</w:t>
                  </w:r>
                </w:p>
              </w:tc>
              <w:tc>
                <w:tcPr>
                  <w:tcW w:w="1641" w:type="dxa"/>
                  <w:shd w:val="clear" w:color="auto" w:fill="auto"/>
                  <w:vAlign w:val="center"/>
                </w:tcPr>
                <w:p>
                  <w:pPr>
                    <w:pStyle w:val="36"/>
                    <w:rPr>
                      <w:rFonts w:hint="eastAsia" w:eastAsia="等线"/>
                    </w:rPr>
                  </w:pPr>
                  <w:r>
                    <w:rPr>
                      <w:rFonts w:eastAsia="等线"/>
                    </w:rPr>
                    <w:t>75</w:t>
                  </w:r>
                </w:p>
              </w:tc>
            </w:tr>
          </w:tbl>
          <w:p>
            <w:pPr>
              <w:autoSpaceDE w:val="0"/>
              <w:autoSpaceDN w:val="0"/>
              <w:adjustRightInd w:val="0"/>
              <w:spacing w:line="360" w:lineRule="auto"/>
              <w:ind w:firstLine="480" w:firstLineChars="200"/>
              <w:rPr>
                <w:rFonts w:eastAsia="Times New Roman"/>
                <w:szCs w:val="22"/>
              </w:rPr>
            </w:pPr>
            <w:r>
              <w:rPr>
                <w:szCs w:val="22"/>
              </w:rPr>
              <w:t>在施工过程中，运输车辆在行驶过程中会产生交通噪声，特别是重型汽车运行中产生的噪声辐射强度较高。因各类运输车辆频繁行驶在施工工地，其会对周围环境产生交通噪声影响。根据类比同类型工程监测资料，施工机械噪声值在</w:t>
            </w:r>
            <w:r>
              <w:rPr>
                <w:rFonts w:hint="eastAsia"/>
                <w:szCs w:val="22"/>
              </w:rPr>
              <w:t>65</w:t>
            </w:r>
            <w:r>
              <w:rPr>
                <w:szCs w:val="22"/>
              </w:rPr>
              <w:t>～9</w:t>
            </w:r>
            <w:r>
              <w:rPr>
                <w:rFonts w:hint="eastAsia"/>
                <w:szCs w:val="22"/>
              </w:rPr>
              <w:t>0</w:t>
            </w:r>
            <w:r>
              <w:rPr>
                <w:szCs w:val="22"/>
              </w:rPr>
              <w:t>dB(A)之间，噪声最大值约为</w:t>
            </w:r>
            <w:r>
              <w:rPr>
                <w:rFonts w:hint="eastAsia"/>
                <w:szCs w:val="22"/>
              </w:rPr>
              <w:t>85</w:t>
            </w:r>
            <w:r>
              <w:rPr>
                <w:szCs w:val="22"/>
              </w:rPr>
              <w:t>dB(A)。</w:t>
            </w:r>
          </w:p>
          <w:p>
            <w:pPr>
              <w:autoSpaceDE w:val="0"/>
              <w:autoSpaceDN w:val="0"/>
              <w:adjustRightInd w:val="0"/>
              <w:spacing w:line="360" w:lineRule="auto"/>
              <w:ind w:firstLine="480" w:firstLineChars="200"/>
              <w:rPr>
                <w:rFonts w:hint="eastAsia"/>
                <w:szCs w:val="22"/>
              </w:rPr>
            </w:pPr>
            <w:r>
              <w:rPr>
                <w:szCs w:val="22"/>
              </w:rPr>
              <w:t>工程施工机械多为移动式设备，采取隔声、吸声等处理难度大，因而施工期噪声污染防治以预防为主，使施工期噪声对环境的影响降低到最低程度。施工期噪声影响主要表现为施工道路交通噪声对周边居民的干扰</w:t>
            </w:r>
            <w:r>
              <w:rPr>
                <w:rFonts w:hint="eastAsia"/>
                <w:szCs w:val="22"/>
              </w:rPr>
              <w:t>。</w:t>
            </w:r>
            <w:r>
              <w:rPr>
                <w:szCs w:val="22"/>
              </w:rPr>
              <w:t xml:space="preserve"> </w:t>
            </w:r>
          </w:p>
          <w:p>
            <w:pPr>
              <w:spacing w:line="360" w:lineRule="auto"/>
              <w:ind w:firstLine="480" w:firstLineChars="200"/>
              <w:rPr>
                <w:rFonts w:eastAsia="Times New Roman"/>
                <w:bCs/>
              </w:rPr>
            </w:pPr>
            <w:r>
              <w:rPr>
                <w:bCs/>
              </w:rPr>
              <w:t>（2）噪声影响预测</w:t>
            </w:r>
          </w:p>
          <w:p>
            <w:pPr>
              <w:spacing w:line="360" w:lineRule="auto"/>
              <w:ind w:firstLine="480" w:firstLineChars="200"/>
              <w:rPr>
                <w:rFonts w:eastAsia="Times New Roman"/>
                <w:bCs/>
              </w:rPr>
            </w:pPr>
            <w:r>
              <w:rPr>
                <w:bCs/>
              </w:rPr>
              <w:t>噪声点源影响预测模式如下：</w:t>
            </w:r>
          </w:p>
          <w:p>
            <w:pPr>
              <w:spacing w:line="360" w:lineRule="auto"/>
              <w:ind w:firstLine="480" w:firstLineChars="200"/>
              <w:jc w:val="center"/>
              <w:rPr>
                <w:rFonts w:eastAsia="Times New Roman"/>
                <w:bCs/>
              </w:rPr>
            </w:pPr>
            <w:r>
              <w:rPr>
                <w:rFonts w:eastAsia="Times New Roman"/>
                <w:bCs/>
              </w:rPr>
              <w:t>L</w:t>
            </w:r>
            <w:r>
              <w:rPr>
                <w:rFonts w:eastAsia="Times New Roman"/>
                <w:bCs/>
                <w:vertAlign w:val="subscript"/>
              </w:rPr>
              <w:t>A</w:t>
            </w:r>
            <w:r>
              <w:rPr>
                <w:rFonts w:eastAsia="Times New Roman"/>
                <w:bCs/>
              </w:rPr>
              <w:t>(r)=L</w:t>
            </w:r>
            <w:r>
              <w:rPr>
                <w:rFonts w:eastAsia="Times New Roman"/>
                <w:bCs/>
                <w:vertAlign w:val="subscript"/>
              </w:rPr>
              <w:t>A</w:t>
            </w:r>
            <w:r>
              <w:rPr>
                <w:rFonts w:eastAsia="Times New Roman"/>
                <w:bCs/>
              </w:rPr>
              <w:t>(r</w:t>
            </w:r>
            <w:r>
              <w:rPr>
                <w:rFonts w:eastAsia="Times New Roman"/>
                <w:bCs/>
                <w:vertAlign w:val="subscript"/>
              </w:rPr>
              <w:t>0</w:t>
            </w:r>
            <w:r>
              <w:rPr>
                <w:rFonts w:eastAsia="Times New Roman"/>
                <w:bCs/>
              </w:rPr>
              <w:t>)-20lg(r/r</w:t>
            </w:r>
            <w:r>
              <w:rPr>
                <w:bCs/>
                <w:vertAlign w:val="subscript"/>
              </w:rPr>
              <w:t>0</w:t>
            </w:r>
            <w:r>
              <w:rPr>
                <w:rFonts w:eastAsia="Times New Roman"/>
                <w:bCs/>
              </w:rPr>
              <w:t>)</w:t>
            </w:r>
          </w:p>
          <w:p>
            <w:pPr>
              <w:spacing w:line="360" w:lineRule="auto"/>
              <w:ind w:firstLine="480" w:firstLineChars="200"/>
              <w:rPr>
                <w:rFonts w:eastAsia="Times New Roman"/>
                <w:bCs/>
              </w:rPr>
            </w:pPr>
            <w:r>
              <w:rPr>
                <w:bCs/>
              </w:rPr>
              <w:t>式中：L</w:t>
            </w:r>
            <w:r>
              <w:rPr>
                <w:rFonts w:eastAsia="Times New Roman"/>
                <w:bCs/>
                <w:vertAlign w:val="subscript"/>
              </w:rPr>
              <w:t>A</w:t>
            </w:r>
            <w:r>
              <w:rPr>
                <w:rFonts w:eastAsia="Times New Roman"/>
                <w:bCs/>
              </w:rPr>
              <w:t>(r)—</w:t>
            </w:r>
            <w:r>
              <w:rPr>
                <w:bCs/>
              </w:rPr>
              <w:t>距声源r处的施工噪声预测值，dB(A)；</w:t>
            </w:r>
          </w:p>
          <w:p>
            <w:pPr>
              <w:spacing w:line="360" w:lineRule="auto"/>
              <w:ind w:firstLine="480" w:firstLineChars="200"/>
              <w:rPr>
                <w:rFonts w:eastAsia="Times New Roman"/>
                <w:bCs/>
              </w:rPr>
            </w:pPr>
            <w:r>
              <w:rPr>
                <w:rFonts w:eastAsia="Times New Roman"/>
                <w:bCs/>
              </w:rPr>
              <w:t>L</w:t>
            </w:r>
            <w:r>
              <w:rPr>
                <w:rFonts w:eastAsia="Times New Roman"/>
                <w:bCs/>
                <w:vertAlign w:val="subscript"/>
              </w:rPr>
              <w:t>A</w:t>
            </w:r>
            <w:r>
              <w:rPr>
                <w:rFonts w:eastAsia="Times New Roman"/>
                <w:bCs/>
              </w:rPr>
              <w:t>(r</w:t>
            </w:r>
            <w:r>
              <w:rPr>
                <w:rFonts w:eastAsia="Times New Roman"/>
                <w:bCs/>
                <w:vertAlign w:val="subscript"/>
              </w:rPr>
              <w:t>0</w:t>
            </w:r>
            <w:r>
              <w:rPr>
                <w:rFonts w:eastAsia="Times New Roman"/>
                <w:bCs/>
              </w:rPr>
              <w:t>)—</w:t>
            </w:r>
            <w:r>
              <w:rPr>
                <w:bCs/>
              </w:rPr>
              <w:t>距声源r0处的参考声压级，dB(A)；</w:t>
            </w:r>
          </w:p>
          <w:p>
            <w:pPr>
              <w:spacing w:line="360" w:lineRule="auto"/>
              <w:ind w:firstLine="480" w:firstLineChars="200"/>
              <w:rPr>
                <w:rFonts w:eastAsia="Times New Roman"/>
                <w:bCs/>
              </w:rPr>
            </w:pPr>
            <w:r>
              <w:rPr>
                <w:rFonts w:eastAsia="Times New Roman"/>
                <w:bCs/>
              </w:rPr>
              <w:t>r—</w:t>
            </w:r>
            <w:r>
              <w:rPr>
                <w:bCs/>
              </w:rPr>
              <w:t>预测点距声源的距离，m；</w:t>
            </w:r>
          </w:p>
          <w:p>
            <w:pPr>
              <w:spacing w:line="360" w:lineRule="auto"/>
              <w:ind w:firstLine="480" w:firstLineChars="200"/>
              <w:rPr>
                <w:rFonts w:eastAsia="Times New Roman"/>
                <w:bCs/>
              </w:rPr>
            </w:pPr>
            <w:r>
              <w:rPr>
                <w:rFonts w:eastAsia="Times New Roman"/>
                <w:bCs/>
              </w:rPr>
              <w:t>r</w:t>
            </w:r>
            <w:r>
              <w:rPr>
                <w:rFonts w:eastAsia="Times New Roman"/>
                <w:bCs/>
                <w:vertAlign w:val="subscript"/>
              </w:rPr>
              <w:t>0</w:t>
            </w:r>
            <w:r>
              <w:rPr>
                <w:rFonts w:eastAsia="Times New Roman"/>
                <w:bCs/>
              </w:rPr>
              <w:t>—</w:t>
            </w:r>
            <w:r>
              <w:rPr>
                <w:bCs/>
              </w:rPr>
              <w:t>参考点距声源的距离，m。</w:t>
            </w:r>
          </w:p>
          <w:p>
            <w:pPr>
              <w:spacing w:line="360" w:lineRule="auto"/>
              <w:ind w:firstLine="480" w:firstLineChars="200"/>
              <w:rPr>
                <w:rFonts w:eastAsia="Times New Roman"/>
                <w:bCs/>
              </w:rPr>
            </w:pPr>
            <w:r>
              <w:rPr>
                <w:bCs/>
              </w:rPr>
              <w:t>对于多台施工机械对某个预测点的影响，应进行声级叠加。</w:t>
            </w:r>
          </w:p>
          <w:p>
            <w:pPr>
              <w:spacing w:line="360" w:lineRule="auto"/>
              <w:ind w:firstLine="480" w:firstLineChars="200"/>
              <w:rPr>
                <w:rFonts w:eastAsia="Times New Roman"/>
                <w:bCs/>
              </w:rPr>
            </w:pPr>
            <w:r>
              <w:rPr>
                <w:bCs/>
              </w:rPr>
              <w:t>各声源在预测点产生的合成声级采用以下公式计算：</w:t>
            </w:r>
          </w:p>
          <w:p>
            <w:pPr>
              <w:snapToGrid w:val="0"/>
              <w:spacing w:line="360" w:lineRule="auto"/>
              <w:ind w:firstLine="480" w:firstLineChars="200"/>
              <w:jc w:val="center"/>
              <w:rPr>
                <w:rFonts w:hint="eastAsia"/>
                <w:bCs/>
                <w:snapToGrid w:val="0"/>
              </w:rPr>
            </w:pPr>
            <w:r>
              <w:rPr>
                <w:bCs/>
                <w:lang w:bidi="ar"/>
              </w:rPr>
              <w:drawing>
                <wp:inline distT="0" distB="0" distL="0" distR="0">
                  <wp:extent cx="1371600" cy="457200"/>
                  <wp:effectExtent l="0" t="0" r="0" b="0"/>
                  <wp:docPr id="5" name="对象 50"/>
                  <wp:cNvGraphicFramePr/>
                  <a:graphic xmlns:a="http://schemas.openxmlformats.org/drawingml/2006/main">
                    <a:graphicData uri="http://schemas.openxmlformats.org/drawingml/2006/picture">
                      <pic:pic xmlns:pic="http://schemas.openxmlformats.org/drawingml/2006/picture">
                        <pic:nvPicPr>
                          <pic:cNvPr id="5" name="对象 50"/>
                          <pic:cNvPicPr/>
                        </pic:nvPicPr>
                        <pic:blipFill>
                          <a:blip r:embed="rId17">
                            <a:extLst>
                              <a:ext uri="{28A0092B-C50C-407E-A947-70E740481C1C}">
                                <a14:useLocalDpi xmlns:a14="http://schemas.microsoft.com/office/drawing/2010/main" val="0"/>
                              </a:ext>
                            </a:extLst>
                          </a:blip>
                          <a:srcRect/>
                          <a:stretch>
                            <a:fillRect/>
                          </a:stretch>
                        </pic:blipFill>
                        <pic:spPr>
                          <a:xfrm>
                            <a:off x="0" y="0"/>
                            <a:ext cx="1371600" cy="457200"/>
                          </a:xfrm>
                          <a:prstGeom prst="rect">
                            <a:avLst/>
                          </a:prstGeom>
                          <a:noFill/>
                          <a:ln>
                            <a:noFill/>
                          </a:ln>
                        </pic:spPr>
                      </pic:pic>
                    </a:graphicData>
                  </a:graphic>
                </wp:inline>
              </w:drawing>
            </w:r>
          </w:p>
          <w:p>
            <w:pPr>
              <w:spacing w:line="360" w:lineRule="auto"/>
              <w:ind w:firstLine="480" w:firstLineChars="200"/>
              <w:rPr>
                <w:rFonts w:hint="eastAsia"/>
                <w:bCs/>
              </w:rPr>
            </w:pPr>
            <w:r>
              <w:rPr>
                <w:bCs/>
              </w:rPr>
              <w:t>（3）噪声影响预测结果</w:t>
            </w:r>
          </w:p>
          <w:p>
            <w:pPr>
              <w:spacing w:line="360" w:lineRule="auto"/>
              <w:ind w:firstLine="480" w:firstLineChars="200"/>
              <w:rPr>
                <w:rFonts w:eastAsia="Times New Roman"/>
              </w:rPr>
            </w:pPr>
            <w:r>
              <w:rPr>
                <w:bCs/>
              </w:rPr>
              <w:t>根据噪声衰减模式，各施工机具声源在不同距离处的噪声影响值（未考虑吸声、隔声等效果）参见表</w:t>
            </w:r>
            <w:r>
              <w:rPr>
                <w:rFonts w:hint="eastAsia"/>
                <w:bCs/>
              </w:rPr>
              <w:t>4-3</w:t>
            </w:r>
            <w:r>
              <w:rPr>
                <w:bCs/>
              </w:rPr>
              <w:t>。</w:t>
            </w:r>
          </w:p>
          <w:p>
            <w:pPr>
              <w:pStyle w:val="38"/>
              <w:rPr>
                <w:rFonts w:eastAsia="Times New Roman"/>
              </w:rPr>
            </w:pPr>
            <w:r>
              <w:t>表</w:t>
            </w:r>
            <w:r>
              <w:rPr>
                <w:rFonts w:hint="eastAsia"/>
              </w:rPr>
              <w:t xml:space="preserve">4-3 </w:t>
            </w:r>
            <w:r>
              <w:t>施工机械噪声影响结果表（dB）</w:t>
            </w:r>
          </w:p>
          <w:tbl>
            <w:tblPr>
              <w:tblStyle w:val="15"/>
              <w:tblW w:w="8147"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14"/>
              <w:gridCol w:w="1123"/>
              <w:gridCol w:w="1122"/>
              <w:gridCol w:w="1122"/>
              <w:gridCol w:w="1122"/>
              <w:gridCol w:w="1122"/>
              <w:gridCol w:w="112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414" w:type="dxa"/>
                  <w:vMerge w:val="restart"/>
                  <w:shd w:val="clear" w:color="auto" w:fill="auto"/>
                  <w:noWrap/>
                  <w:vAlign w:val="center"/>
                </w:tcPr>
                <w:p>
                  <w:pPr>
                    <w:pStyle w:val="36"/>
                    <w:rPr>
                      <w:rFonts w:hint="eastAsia"/>
                    </w:rPr>
                  </w:pPr>
                  <w:r>
                    <w:rPr>
                      <w:rFonts w:hint="eastAsia"/>
                    </w:rPr>
                    <w:t>机械名称</w:t>
                  </w:r>
                </w:p>
              </w:tc>
              <w:tc>
                <w:tcPr>
                  <w:tcW w:w="6733" w:type="dxa"/>
                  <w:gridSpan w:val="6"/>
                  <w:shd w:val="clear" w:color="auto" w:fill="auto"/>
                  <w:noWrap/>
                  <w:vAlign w:val="center"/>
                </w:tcPr>
                <w:p>
                  <w:pPr>
                    <w:pStyle w:val="36"/>
                    <w:rPr>
                      <w:rFonts w:hint="eastAsia"/>
                    </w:rPr>
                  </w:pPr>
                  <w:r>
                    <w:rPr>
                      <w:rFonts w:hint="eastAsia"/>
                    </w:rPr>
                    <w:t>噪声预测值dB(A)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414" w:type="dxa"/>
                  <w:vMerge w:val="continue"/>
                  <w:vAlign w:val="center"/>
                </w:tcPr>
                <w:p>
                  <w:pPr>
                    <w:pStyle w:val="36"/>
                    <w:rPr>
                      <w:rFonts w:hint="eastAsia"/>
                    </w:rPr>
                  </w:pPr>
                </w:p>
              </w:tc>
              <w:tc>
                <w:tcPr>
                  <w:tcW w:w="1123" w:type="dxa"/>
                  <w:shd w:val="clear" w:color="auto" w:fill="auto"/>
                  <w:noWrap/>
                  <w:vAlign w:val="center"/>
                </w:tcPr>
                <w:p>
                  <w:pPr>
                    <w:pStyle w:val="36"/>
                    <w:rPr>
                      <w:rFonts w:hint="eastAsia"/>
                    </w:rPr>
                  </w:pPr>
                  <w:r>
                    <w:rPr>
                      <w:rFonts w:hint="eastAsia"/>
                    </w:rPr>
                    <w:t>5m</w:t>
                  </w:r>
                </w:p>
              </w:tc>
              <w:tc>
                <w:tcPr>
                  <w:tcW w:w="1122" w:type="dxa"/>
                  <w:shd w:val="clear" w:color="auto" w:fill="auto"/>
                  <w:noWrap/>
                  <w:vAlign w:val="center"/>
                </w:tcPr>
                <w:p>
                  <w:pPr>
                    <w:pStyle w:val="36"/>
                    <w:rPr>
                      <w:rFonts w:hint="eastAsia"/>
                    </w:rPr>
                  </w:pPr>
                  <w:r>
                    <w:rPr>
                      <w:rFonts w:hint="eastAsia"/>
                    </w:rPr>
                    <w:t>10m</w:t>
                  </w:r>
                </w:p>
              </w:tc>
              <w:tc>
                <w:tcPr>
                  <w:tcW w:w="1122" w:type="dxa"/>
                  <w:shd w:val="clear" w:color="auto" w:fill="auto"/>
                  <w:noWrap/>
                  <w:vAlign w:val="center"/>
                </w:tcPr>
                <w:p>
                  <w:pPr>
                    <w:pStyle w:val="36"/>
                    <w:rPr>
                      <w:rFonts w:hint="eastAsia"/>
                    </w:rPr>
                  </w:pPr>
                  <w:r>
                    <w:rPr>
                      <w:rFonts w:hint="eastAsia"/>
                    </w:rPr>
                    <w:t>20m</w:t>
                  </w:r>
                </w:p>
              </w:tc>
              <w:tc>
                <w:tcPr>
                  <w:tcW w:w="1122" w:type="dxa"/>
                  <w:shd w:val="clear" w:color="auto" w:fill="auto"/>
                  <w:noWrap/>
                  <w:vAlign w:val="center"/>
                </w:tcPr>
                <w:p>
                  <w:pPr>
                    <w:pStyle w:val="36"/>
                    <w:rPr>
                      <w:rFonts w:hint="eastAsia"/>
                    </w:rPr>
                  </w:pPr>
                  <w:r>
                    <w:rPr>
                      <w:rFonts w:hint="eastAsia"/>
                    </w:rPr>
                    <w:t>30m</w:t>
                  </w:r>
                </w:p>
              </w:tc>
              <w:tc>
                <w:tcPr>
                  <w:tcW w:w="1122" w:type="dxa"/>
                  <w:shd w:val="clear" w:color="auto" w:fill="auto"/>
                  <w:noWrap/>
                  <w:vAlign w:val="center"/>
                </w:tcPr>
                <w:p>
                  <w:pPr>
                    <w:pStyle w:val="36"/>
                    <w:rPr>
                      <w:rFonts w:hint="eastAsia"/>
                    </w:rPr>
                  </w:pPr>
                  <w:r>
                    <w:rPr>
                      <w:rFonts w:hint="eastAsia"/>
                    </w:rPr>
                    <w:t>40m</w:t>
                  </w:r>
                </w:p>
              </w:tc>
              <w:tc>
                <w:tcPr>
                  <w:tcW w:w="1122" w:type="dxa"/>
                  <w:shd w:val="clear" w:color="auto" w:fill="auto"/>
                  <w:noWrap/>
                  <w:vAlign w:val="center"/>
                </w:tcPr>
                <w:p>
                  <w:pPr>
                    <w:pStyle w:val="36"/>
                    <w:rPr>
                      <w:rFonts w:hint="eastAsia"/>
                    </w:rPr>
                  </w:pPr>
                  <w:r>
                    <w:rPr>
                      <w:rFonts w:hint="eastAsia"/>
                    </w:rPr>
                    <w:t>50m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414" w:type="dxa"/>
                  <w:shd w:val="clear" w:color="auto" w:fill="auto"/>
                  <w:noWrap/>
                  <w:vAlign w:val="center"/>
                </w:tcPr>
                <w:p>
                  <w:pPr>
                    <w:pStyle w:val="36"/>
                    <w:rPr>
                      <w:rFonts w:hint="eastAsia"/>
                    </w:rPr>
                  </w:pPr>
                  <w:r>
                    <w:rPr>
                      <w:rFonts w:hint="eastAsia"/>
                    </w:rPr>
                    <w:t>柴油发电机</w:t>
                  </w:r>
                </w:p>
              </w:tc>
              <w:tc>
                <w:tcPr>
                  <w:tcW w:w="1123" w:type="dxa"/>
                  <w:shd w:val="clear" w:color="auto" w:fill="auto"/>
                  <w:vAlign w:val="center"/>
                </w:tcPr>
                <w:p>
                  <w:pPr>
                    <w:pStyle w:val="36"/>
                    <w:rPr>
                      <w:rFonts w:hint="eastAsia"/>
                      <w:szCs w:val="21"/>
                    </w:rPr>
                  </w:pPr>
                  <w:r>
                    <w:rPr>
                      <w:szCs w:val="21"/>
                    </w:rPr>
                    <w:t>85</w:t>
                  </w:r>
                </w:p>
              </w:tc>
              <w:tc>
                <w:tcPr>
                  <w:tcW w:w="1122" w:type="dxa"/>
                  <w:shd w:val="clear" w:color="auto" w:fill="auto"/>
                  <w:vAlign w:val="center"/>
                </w:tcPr>
                <w:p>
                  <w:pPr>
                    <w:pStyle w:val="36"/>
                    <w:rPr>
                      <w:rFonts w:hint="eastAsia"/>
                      <w:szCs w:val="21"/>
                    </w:rPr>
                  </w:pPr>
                  <w:r>
                    <w:rPr>
                      <w:szCs w:val="21"/>
                    </w:rPr>
                    <w:t>65</w:t>
                  </w:r>
                </w:p>
              </w:tc>
              <w:tc>
                <w:tcPr>
                  <w:tcW w:w="1122" w:type="dxa"/>
                  <w:shd w:val="clear" w:color="auto" w:fill="auto"/>
                  <w:vAlign w:val="center"/>
                </w:tcPr>
                <w:p>
                  <w:pPr>
                    <w:pStyle w:val="36"/>
                    <w:rPr>
                      <w:rFonts w:hint="eastAsia"/>
                      <w:szCs w:val="21"/>
                    </w:rPr>
                  </w:pPr>
                  <w:r>
                    <w:rPr>
                      <w:szCs w:val="21"/>
                    </w:rPr>
                    <w:t>59</w:t>
                  </w:r>
                </w:p>
              </w:tc>
              <w:tc>
                <w:tcPr>
                  <w:tcW w:w="1122" w:type="dxa"/>
                  <w:shd w:val="clear" w:color="auto" w:fill="auto"/>
                  <w:vAlign w:val="center"/>
                </w:tcPr>
                <w:p>
                  <w:pPr>
                    <w:pStyle w:val="36"/>
                    <w:rPr>
                      <w:rFonts w:hint="eastAsia"/>
                      <w:szCs w:val="21"/>
                    </w:rPr>
                  </w:pPr>
                  <w:r>
                    <w:rPr>
                      <w:szCs w:val="21"/>
                    </w:rPr>
                    <w:t>56</w:t>
                  </w:r>
                </w:p>
              </w:tc>
              <w:tc>
                <w:tcPr>
                  <w:tcW w:w="1122" w:type="dxa"/>
                  <w:shd w:val="clear" w:color="auto" w:fill="auto"/>
                  <w:vAlign w:val="center"/>
                </w:tcPr>
                <w:p>
                  <w:pPr>
                    <w:pStyle w:val="36"/>
                    <w:rPr>
                      <w:rFonts w:hint="eastAsia"/>
                      <w:szCs w:val="21"/>
                    </w:rPr>
                  </w:pPr>
                  <w:r>
                    <w:rPr>
                      <w:szCs w:val="21"/>
                    </w:rPr>
                    <w:t>53</w:t>
                  </w:r>
                </w:p>
              </w:tc>
              <w:tc>
                <w:tcPr>
                  <w:tcW w:w="1122" w:type="dxa"/>
                  <w:shd w:val="clear" w:color="auto" w:fill="auto"/>
                  <w:vAlign w:val="center"/>
                </w:tcPr>
                <w:p>
                  <w:pPr>
                    <w:pStyle w:val="36"/>
                    <w:rPr>
                      <w:rFonts w:hint="eastAsia"/>
                      <w:szCs w:val="21"/>
                    </w:rPr>
                  </w:pPr>
                  <w:r>
                    <w:rPr>
                      <w:szCs w:val="21"/>
                    </w:rPr>
                    <w:t>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414" w:type="dxa"/>
                  <w:shd w:val="clear" w:color="auto" w:fill="auto"/>
                  <w:noWrap/>
                  <w:vAlign w:val="center"/>
                </w:tcPr>
                <w:p>
                  <w:pPr>
                    <w:pStyle w:val="36"/>
                    <w:rPr>
                      <w:rFonts w:hint="eastAsia"/>
                    </w:rPr>
                  </w:pPr>
                  <w:r>
                    <w:rPr>
                      <w:rFonts w:hint="eastAsia"/>
                    </w:rPr>
                    <w:t>挖掘机</w:t>
                  </w:r>
                </w:p>
              </w:tc>
              <w:tc>
                <w:tcPr>
                  <w:tcW w:w="1123" w:type="dxa"/>
                  <w:shd w:val="clear" w:color="auto" w:fill="auto"/>
                  <w:vAlign w:val="center"/>
                </w:tcPr>
                <w:p>
                  <w:pPr>
                    <w:pStyle w:val="36"/>
                    <w:rPr>
                      <w:rFonts w:hint="eastAsia"/>
                      <w:szCs w:val="21"/>
                    </w:rPr>
                  </w:pPr>
                  <w:r>
                    <w:rPr>
                      <w:szCs w:val="21"/>
                    </w:rPr>
                    <w:t>85</w:t>
                  </w:r>
                </w:p>
              </w:tc>
              <w:tc>
                <w:tcPr>
                  <w:tcW w:w="1122" w:type="dxa"/>
                  <w:shd w:val="clear" w:color="auto" w:fill="auto"/>
                  <w:vAlign w:val="center"/>
                </w:tcPr>
                <w:p>
                  <w:pPr>
                    <w:pStyle w:val="36"/>
                    <w:rPr>
                      <w:rFonts w:hint="eastAsia"/>
                      <w:szCs w:val="21"/>
                    </w:rPr>
                  </w:pPr>
                  <w:r>
                    <w:rPr>
                      <w:szCs w:val="21"/>
                    </w:rPr>
                    <w:t>65</w:t>
                  </w:r>
                </w:p>
              </w:tc>
              <w:tc>
                <w:tcPr>
                  <w:tcW w:w="1122" w:type="dxa"/>
                  <w:shd w:val="clear" w:color="auto" w:fill="auto"/>
                  <w:vAlign w:val="center"/>
                </w:tcPr>
                <w:p>
                  <w:pPr>
                    <w:pStyle w:val="36"/>
                    <w:rPr>
                      <w:rFonts w:hint="eastAsia"/>
                      <w:szCs w:val="21"/>
                    </w:rPr>
                  </w:pPr>
                  <w:r>
                    <w:rPr>
                      <w:szCs w:val="21"/>
                    </w:rPr>
                    <w:t>59</w:t>
                  </w:r>
                </w:p>
              </w:tc>
              <w:tc>
                <w:tcPr>
                  <w:tcW w:w="1122" w:type="dxa"/>
                  <w:shd w:val="clear" w:color="auto" w:fill="auto"/>
                  <w:vAlign w:val="center"/>
                </w:tcPr>
                <w:p>
                  <w:pPr>
                    <w:pStyle w:val="36"/>
                    <w:rPr>
                      <w:rFonts w:hint="eastAsia"/>
                      <w:szCs w:val="21"/>
                    </w:rPr>
                  </w:pPr>
                  <w:r>
                    <w:rPr>
                      <w:szCs w:val="21"/>
                    </w:rPr>
                    <w:t>56</w:t>
                  </w:r>
                </w:p>
              </w:tc>
              <w:tc>
                <w:tcPr>
                  <w:tcW w:w="1122" w:type="dxa"/>
                  <w:shd w:val="clear" w:color="auto" w:fill="auto"/>
                  <w:vAlign w:val="center"/>
                </w:tcPr>
                <w:p>
                  <w:pPr>
                    <w:pStyle w:val="36"/>
                    <w:rPr>
                      <w:rFonts w:hint="eastAsia"/>
                      <w:szCs w:val="21"/>
                    </w:rPr>
                  </w:pPr>
                  <w:r>
                    <w:rPr>
                      <w:szCs w:val="21"/>
                    </w:rPr>
                    <w:t>53</w:t>
                  </w:r>
                </w:p>
              </w:tc>
              <w:tc>
                <w:tcPr>
                  <w:tcW w:w="1122" w:type="dxa"/>
                  <w:shd w:val="clear" w:color="auto" w:fill="auto"/>
                  <w:vAlign w:val="center"/>
                </w:tcPr>
                <w:p>
                  <w:pPr>
                    <w:pStyle w:val="36"/>
                    <w:rPr>
                      <w:rFonts w:hint="eastAsia"/>
                      <w:szCs w:val="21"/>
                    </w:rPr>
                  </w:pPr>
                  <w:r>
                    <w:rPr>
                      <w:szCs w:val="21"/>
                    </w:rPr>
                    <w:t>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414" w:type="dxa"/>
                  <w:shd w:val="clear" w:color="auto" w:fill="auto"/>
                  <w:noWrap/>
                  <w:vAlign w:val="center"/>
                </w:tcPr>
                <w:p>
                  <w:pPr>
                    <w:pStyle w:val="36"/>
                    <w:rPr>
                      <w:rFonts w:hint="eastAsia"/>
                    </w:rPr>
                  </w:pPr>
                  <w:r>
                    <w:rPr>
                      <w:rFonts w:hint="eastAsia"/>
                    </w:rPr>
                    <w:t>推土机</w:t>
                  </w:r>
                </w:p>
              </w:tc>
              <w:tc>
                <w:tcPr>
                  <w:tcW w:w="1123" w:type="dxa"/>
                  <w:shd w:val="clear" w:color="auto" w:fill="auto"/>
                  <w:vAlign w:val="center"/>
                </w:tcPr>
                <w:p>
                  <w:pPr>
                    <w:pStyle w:val="36"/>
                    <w:rPr>
                      <w:rFonts w:hint="eastAsia"/>
                      <w:szCs w:val="21"/>
                    </w:rPr>
                  </w:pPr>
                  <w:r>
                    <w:rPr>
                      <w:szCs w:val="21"/>
                    </w:rPr>
                    <w:t>85</w:t>
                  </w:r>
                </w:p>
              </w:tc>
              <w:tc>
                <w:tcPr>
                  <w:tcW w:w="1122" w:type="dxa"/>
                  <w:shd w:val="clear" w:color="auto" w:fill="auto"/>
                  <w:vAlign w:val="center"/>
                </w:tcPr>
                <w:p>
                  <w:pPr>
                    <w:pStyle w:val="36"/>
                    <w:rPr>
                      <w:rFonts w:hint="eastAsia"/>
                      <w:szCs w:val="21"/>
                    </w:rPr>
                  </w:pPr>
                  <w:r>
                    <w:rPr>
                      <w:szCs w:val="21"/>
                    </w:rPr>
                    <w:t>65</w:t>
                  </w:r>
                </w:p>
              </w:tc>
              <w:tc>
                <w:tcPr>
                  <w:tcW w:w="1122" w:type="dxa"/>
                  <w:shd w:val="clear" w:color="auto" w:fill="auto"/>
                  <w:vAlign w:val="center"/>
                </w:tcPr>
                <w:p>
                  <w:pPr>
                    <w:pStyle w:val="36"/>
                    <w:rPr>
                      <w:rFonts w:hint="eastAsia"/>
                      <w:szCs w:val="21"/>
                    </w:rPr>
                  </w:pPr>
                  <w:r>
                    <w:rPr>
                      <w:szCs w:val="21"/>
                    </w:rPr>
                    <w:t>59</w:t>
                  </w:r>
                </w:p>
              </w:tc>
              <w:tc>
                <w:tcPr>
                  <w:tcW w:w="1122" w:type="dxa"/>
                  <w:shd w:val="clear" w:color="auto" w:fill="auto"/>
                  <w:vAlign w:val="center"/>
                </w:tcPr>
                <w:p>
                  <w:pPr>
                    <w:pStyle w:val="36"/>
                    <w:rPr>
                      <w:rFonts w:hint="eastAsia"/>
                      <w:szCs w:val="21"/>
                    </w:rPr>
                  </w:pPr>
                  <w:r>
                    <w:rPr>
                      <w:szCs w:val="21"/>
                    </w:rPr>
                    <w:t>56</w:t>
                  </w:r>
                </w:p>
              </w:tc>
              <w:tc>
                <w:tcPr>
                  <w:tcW w:w="1122" w:type="dxa"/>
                  <w:shd w:val="clear" w:color="auto" w:fill="auto"/>
                  <w:vAlign w:val="center"/>
                </w:tcPr>
                <w:p>
                  <w:pPr>
                    <w:pStyle w:val="36"/>
                    <w:rPr>
                      <w:rFonts w:hint="eastAsia"/>
                      <w:szCs w:val="21"/>
                    </w:rPr>
                  </w:pPr>
                  <w:r>
                    <w:rPr>
                      <w:szCs w:val="21"/>
                    </w:rPr>
                    <w:t>53</w:t>
                  </w:r>
                </w:p>
              </w:tc>
              <w:tc>
                <w:tcPr>
                  <w:tcW w:w="1122" w:type="dxa"/>
                  <w:shd w:val="clear" w:color="auto" w:fill="auto"/>
                  <w:vAlign w:val="center"/>
                </w:tcPr>
                <w:p>
                  <w:pPr>
                    <w:pStyle w:val="36"/>
                    <w:rPr>
                      <w:rFonts w:hint="eastAsia"/>
                      <w:szCs w:val="21"/>
                    </w:rPr>
                  </w:pPr>
                  <w:r>
                    <w:rPr>
                      <w:szCs w:val="21"/>
                    </w:rPr>
                    <w:t>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414" w:type="dxa"/>
                  <w:shd w:val="clear" w:color="auto" w:fill="auto"/>
                  <w:noWrap/>
                  <w:vAlign w:val="center"/>
                </w:tcPr>
                <w:p>
                  <w:pPr>
                    <w:pStyle w:val="36"/>
                    <w:rPr>
                      <w:rFonts w:hint="eastAsia"/>
                    </w:rPr>
                  </w:pPr>
                  <w:r>
                    <w:rPr>
                      <w:rFonts w:hint="eastAsia"/>
                    </w:rPr>
                    <w:t>潜水泵</w:t>
                  </w:r>
                </w:p>
              </w:tc>
              <w:tc>
                <w:tcPr>
                  <w:tcW w:w="1123" w:type="dxa"/>
                  <w:shd w:val="clear" w:color="auto" w:fill="auto"/>
                  <w:vAlign w:val="center"/>
                </w:tcPr>
                <w:p>
                  <w:pPr>
                    <w:pStyle w:val="36"/>
                    <w:rPr>
                      <w:rFonts w:hint="eastAsia"/>
                      <w:szCs w:val="21"/>
                    </w:rPr>
                  </w:pPr>
                  <w:r>
                    <w:rPr>
                      <w:szCs w:val="21"/>
                    </w:rPr>
                    <w:t>75</w:t>
                  </w:r>
                </w:p>
              </w:tc>
              <w:tc>
                <w:tcPr>
                  <w:tcW w:w="1122" w:type="dxa"/>
                  <w:shd w:val="clear" w:color="auto" w:fill="auto"/>
                  <w:vAlign w:val="center"/>
                </w:tcPr>
                <w:p>
                  <w:pPr>
                    <w:pStyle w:val="36"/>
                    <w:rPr>
                      <w:rFonts w:hint="eastAsia"/>
                      <w:szCs w:val="21"/>
                    </w:rPr>
                  </w:pPr>
                  <w:r>
                    <w:rPr>
                      <w:szCs w:val="21"/>
                    </w:rPr>
                    <w:t>45</w:t>
                  </w:r>
                </w:p>
              </w:tc>
              <w:tc>
                <w:tcPr>
                  <w:tcW w:w="1122" w:type="dxa"/>
                  <w:shd w:val="clear" w:color="auto" w:fill="auto"/>
                  <w:vAlign w:val="center"/>
                </w:tcPr>
                <w:p>
                  <w:pPr>
                    <w:pStyle w:val="36"/>
                    <w:rPr>
                      <w:rFonts w:hint="eastAsia"/>
                      <w:szCs w:val="21"/>
                    </w:rPr>
                  </w:pPr>
                  <w:r>
                    <w:rPr>
                      <w:szCs w:val="21"/>
                    </w:rPr>
                    <w:t>39</w:t>
                  </w:r>
                </w:p>
              </w:tc>
              <w:tc>
                <w:tcPr>
                  <w:tcW w:w="1122" w:type="dxa"/>
                  <w:shd w:val="clear" w:color="auto" w:fill="auto"/>
                  <w:vAlign w:val="center"/>
                </w:tcPr>
                <w:p>
                  <w:pPr>
                    <w:pStyle w:val="36"/>
                    <w:rPr>
                      <w:rFonts w:hint="eastAsia"/>
                      <w:szCs w:val="21"/>
                    </w:rPr>
                  </w:pPr>
                  <w:r>
                    <w:rPr>
                      <w:szCs w:val="21"/>
                    </w:rPr>
                    <w:t>36</w:t>
                  </w:r>
                </w:p>
              </w:tc>
              <w:tc>
                <w:tcPr>
                  <w:tcW w:w="1122" w:type="dxa"/>
                  <w:shd w:val="clear" w:color="auto" w:fill="auto"/>
                  <w:vAlign w:val="center"/>
                </w:tcPr>
                <w:p>
                  <w:pPr>
                    <w:pStyle w:val="36"/>
                    <w:rPr>
                      <w:rFonts w:hint="eastAsia"/>
                      <w:szCs w:val="21"/>
                    </w:rPr>
                  </w:pPr>
                  <w:r>
                    <w:rPr>
                      <w:szCs w:val="21"/>
                    </w:rPr>
                    <w:t>33</w:t>
                  </w:r>
                </w:p>
              </w:tc>
              <w:tc>
                <w:tcPr>
                  <w:tcW w:w="1122" w:type="dxa"/>
                  <w:shd w:val="clear" w:color="auto" w:fill="auto"/>
                  <w:vAlign w:val="center"/>
                </w:tcPr>
                <w:p>
                  <w:pPr>
                    <w:pStyle w:val="36"/>
                    <w:rPr>
                      <w:rFonts w:hint="eastAsia"/>
                      <w:szCs w:val="21"/>
                    </w:rPr>
                  </w:pPr>
                  <w:r>
                    <w:rPr>
                      <w:szCs w:val="21"/>
                    </w:rPr>
                    <w:t>30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414" w:type="dxa"/>
                  <w:shd w:val="clear" w:color="auto" w:fill="auto"/>
                  <w:noWrap/>
                  <w:vAlign w:val="center"/>
                </w:tcPr>
                <w:p>
                  <w:pPr>
                    <w:pStyle w:val="36"/>
                    <w:rPr>
                      <w:rFonts w:hint="eastAsia"/>
                    </w:rPr>
                  </w:pPr>
                  <w:r>
                    <w:rPr>
                      <w:rFonts w:hint="eastAsia"/>
                    </w:rPr>
                    <w:t>自卸汽车</w:t>
                  </w:r>
                </w:p>
              </w:tc>
              <w:tc>
                <w:tcPr>
                  <w:tcW w:w="1123" w:type="dxa"/>
                  <w:shd w:val="clear" w:color="auto" w:fill="auto"/>
                  <w:vAlign w:val="center"/>
                </w:tcPr>
                <w:p>
                  <w:pPr>
                    <w:pStyle w:val="36"/>
                    <w:rPr>
                      <w:rFonts w:hint="eastAsia"/>
                      <w:szCs w:val="21"/>
                    </w:rPr>
                  </w:pPr>
                  <w:r>
                    <w:rPr>
                      <w:szCs w:val="21"/>
                    </w:rPr>
                    <w:t>75</w:t>
                  </w:r>
                </w:p>
              </w:tc>
              <w:tc>
                <w:tcPr>
                  <w:tcW w:w="1122" w:type="dxa"/>
                  <w:shd w:val="clear" w:color="auto" w:fill="auto"/>
                  <w:vAlign w:val="center"/>
                </w:tcPr>
                <w:p>
                  <w:pPr>
                    <w:pStyle w:val="36"/>
                    <w:rPr>
                      <w:rFonts w:hint="eastAsia"/>
                      <w:szCs w:val="21"/>
                    </w:rPr>
                  </w:pPr>
                  <w:r>
                    <w:rPr>
                      <w:szCs w:val="21"/>
                    </w:rPr>
                    <w:t>45</w:t>
                  </w:r>
                </w:p>
              </w:tc>
              <w:tc>
                <w:tcPr>
                  <w:tcW w:w="1122" w:type="dxa"/>
                  <w:shd w:val="clear" w:color="auto" w:fill="auto"/>
                  <w:vAlign w:val="center"/>
                </w:tcPr>
                <w:p>
                  <w:pPr>
                    <w:pStyle w:val="36"/>
                    <w:rPr>
                      <w:rFonts w:hint="eastAsia"/>
                      <w:szCs w:val="21"/>
                    </w:rPr>
                  </w:pPr>
                  <w:r>
                    <w:rPr>
                      <w:szCs w:val="21"/>
                    </w:rPr>
                    <w:t>39</w:t>
                  </w:r>
                </w:p>
              </w:tc>
              <w:tc>
                <w:tcPr>
                  <w:tcW w:w="1122" w:type="dxa"/>
                  <w:shd w:val="clear" w:color="auto" w:fill="auto"/>
                  <w:vAlign w:val="center"/>
                </w:tcPr>
                <w:p>
                  <w:pPr>
                    <w:pStyle w:val="36"/>
                    <w:rPr>
                      <w:rFonts w:hint="eastAsia"/>
                      <w:szCs w:val="21"/>
                    </w:rPr>
                  </w:pPr>
                  <w:r>
                    <w:rPr>
                      <w:szCs w:val="21"/>
                    </w:rPr>
                    <w:t>36</w:t>
                  </w:r>
                </w:p>
              </w:tc>
              <w:tc>
                <w:tcPr>
                  <w:tcW w:w="1122" w:type="dxa"/>
                  <w:shd w:val="clear" w:color="auto" w:fill="auto"/>
                  <w:vAlign w:val="center"/>
                </w:tcPr>
                <w:p>
                  <w:pPr>
                    <w:pStyle w:val="36"/>
                    <w:rPr>
                      <w:rFonts w:hint="eastAsia"/>
                      <w:szCs w:val="21"/>
                    </w:rPr>
                  </w:pPr>
                  <w:r>
                    <w:rPr>
                      <w:szCs w:val="21"/>
                    </w:rPr>
                    <w:t>33</w:t>
                  </w:r>
                </w:p>
              </w:tc>
              <w:tc>
                <w:tcPr>
                  <w:tcW w:w="1122" w:type="dxa"/>
                  <w:shd w:val="clear" w:color="auto" w:fill="auto"/>
                  <w:vAlign w:val="center"/>
                </w:tcPr>
                <w:p>
                  <w:pPr>
                    <w:pStyle w:val="36"/>
                    <w:rPr>
                      <w:rFonts w:hint="eastAsia"/>
                      <w:szCs w:val="21"/>
                    </w:rPr>
                  </w:pPr>
                  <w:r>
                    <w:rPr>
                      <w:szCs w:val="21"/>
                    </w:rPr>
                    <w:t>30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414" w:type="dxa"/>
                  <w:shd w:val="clear" w:color="auto" w:fill="auto"/>
                  <w:noWrap/>
                  <w:vAlign w:val="center"/>
                </w:tcPr>
                <w:p>
                  <w:pPr>
                    <w:pStyle w:val="36"/>
                    <w:rPr>
                      <w:rFonts w:hint="eastAsia"/>
                    </w:rPr>
                  </w:pPr>
                  <w:r>
                    <w:rPr>
                      <w:rFonts w:hint="eastAsia"/>
                    </w:rPr>
                    <w:t>混凝土运输车</w:t>
                  </w:r>
                </w:p>
              </w:tc>
              <w:tc>
                <w:tcPr>
                  <w:tcW w:w="1123" w:type="dxa"/>
                  <w:shd w:val="clear" w:color="auto" w:fill="auto"/>
                  <w:vAlign w:val="center"/>
                </w:tcPr>
                <w:p>
                  <w:pPr>
                    <w:pStyle w:val="36"/>
                    <w:rPr>
                      <w:rFonts w:hint="eastAsia"/>
                      <w:szCs w:val="21"/>
                    </w:rPr>
                  </w:pPr>
                  <w:r>
                    <w:rPr>
                      <w:szCs w:val="21"/>
                    </w:rPr>
                    <w:t>80</w:t>
                  </w:r>
                </w:p>
              </w:tc>
              <w:tc>
                <w:tcPr>
                  <w:tcW w:w="1122" w:type="dxa"/>
                  <w:shd w:val="clear" w:color="auto" w:fill="auto"/>
                  <w:vAlign w:val="center"/>
                </w:tcPr>
                <w:p>
                  <w:pPr>
                    <w:pStyle w:val="36"/>
                    <w:rPr>
                      <w:rFonts w:hint="eastAsia"/>
                      <w:szCs w:val="21"/>
                    </w:rPr>
                  </w:pPr>
                  <w:r>
                    <w:rPr>
                      <w:szCs w:val="21"/>
                    </w:rPr>
                    <w:t>60</w:t>
                  </w:r>
                </w:p>
              </w:tc>
              <w:tc>
                <w:tcPr>
                  <w:tcW w:w="1122" w:type="dxa"/>
                  <w:shd w:val="clear" w:color="auto" w:fill="auto"/>
                  <w:vAlign w:val="center"/>
                </w:tcPr>
                <w:p>
                  <w:pPr>
                    <w:pStyle w:val="36"/>
                    <w:rPr>
                      <w:rFonts w:hint="eastAsia"/>
                      <w:szCs w:val="21"/>
                    </w:rPr>
                  </w:pPr>
                  <w:r>
                    <w:rPr>
                      <w:szCs w:val="21"/>
                    </w:rPr>
                    <w:t>54</w:t>
                  </w:r>
                </w:p>
              </w:tc>
              <w:tc>
                <w:tcPr>
                  <w:tcW w:w="1122" w:type="dxa"/>
                  <w:shd w:val="clear" w:color="auto" w:fill="auto"/>
                  <w:vAlign w:val="center"/>
                </w:tcPr>
                <w:p>
                  <w:pPr>
                    <w:pStyle w:val="36"/>
                    <w:rPr>
                      <w:rFonts w:hint="eastAsia"/>
                      <w:szCs w:val="21"/>
                    </w:rPr>
                  </w:pPr>
                  <w:r>
                    <w:rPr>
                      <w:szCs w:val="21"/>
                    </w:rPr>
                    <w:t>51</w:t>
                  </w:r>
                </w:p>
              </w:tc>
              <w:tc>
                <w:tcPr>
                  <w:tcW w:w="1122" w:type="dxa"/>
                  <w:shd w:val="clear" w:color="auto" w:fill="auto"/>
                  <w:vAlign w:val="center"/>
                </w:tcPr>
                <w:p>
                  <w:pPr>
                    <w:pStyle w:val="36"/>
                    <w:rPr>
                      <w:rFonts w:hint="eastAsia"/>
                      <w:szCs w:val="21"/>
                    </w:rPr>
                  </w:pPr>
                  <w:r>
                    <w:rPr>
                      <w:szCs w:val="21"/>
                    </w:rPr>
                    <w:t>48</w:t>
                  </w:r>
                </w:p>
              </w:tc>
              <w:tc>
                <w:tcPr>
                  <w:tcW w:w="1122" w:type="dxa"/>
                  <w:shd w:val="clear" w:color="auto" w:fill="auto"/>
                  <w:vAlign w:val="center"/>
                </w:tcPr>
                <w:p>
                  <w:pPr>
                    <w:pStyle w:val="36"/>
                    <w:rPr>
                      <w:rFonts w:hint="eastAsia"/>
                      <w:szCs w:val="21"/>
                    </w:rPr>
                  </w:pPr>
                  <w:r>
                    <w:rPr>
                      <w:szCs w:val="21"/>
                    </w:rPr>
                    <w:t>45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414" w:type="dxa"/>
                  <w:shd w:val="clear" w:color="auto" w:fill="auto"/>
                  <w:noWrap/>
                  <w:vAlign w:val="center"/>
                </w:tcPr>
                <w:p>
                  <w:pPr>
                    <w:pStyle w:val="36"/>
                    <w:rPr>
                      <w:rFonts w:hint="eastAsia"/>
                    </w:rPr>
                  </w:pPr>
                  <w:r>
                    <w:rPr>
                      <w:rFonts w:hint="eastAsia"/>
                    </w:rPr>
                    <w:t>压路机</w:t>
                  </w:r>
                </w:p>
              </w:tc>
              <w:tc>
                <w:tcPr>
                  <w:tcW w:w="1123" w:type="dxa"/>
                  <w:shd w:val="clear" w:color="auto" w:fill="auto"/>
                  <w:vAlign w:val="center"/>
                </w:tcPr>
                <w:p>
                  <w:pPr>
                    <w:pStyle w:val="36"/>
                    <w:rPr>
                      <w:rFonts w:hint="eastAsia"/>
                      <w:szCs w:val="21"/>
                    </w:rPr>
                  </w:pPr>
                  <w:r>
                    <w:rPr>
                      <w:szCs w:val="21"/>
                    </w:rPr>
                    <w:t>85</w:t>
                  </w:r>
                </w:p>
              </w:tc>
              <w:tc>
                <w:tcPr>
                  <w:tcW w:w="1122" w:type="dxa"/>
                  <w:shd w:val="clear" w:color="auto" w:fill="auto"/>
                  <w:vAlign w:val="center"/>
                </w:tcPr>
                <w:p>
                  <w:pPr>
                    <w:pStyle w:val="36"/>
                    <w:rPr>
                      <w:rFonts w:hint="eastAsia"/>
                      <w:szCs w:val="21"/>
                    </w:rPr>
                  </w:pPr>
                  <w:r>
                    <w:rPr>
                      <w:szCs w:val="21"/>
                    </w:rPr>
                    <w:t>65</w:t>
                  </w:r>
                </w:p>
              </w:tc>
              <w:tc>
                <w:tcPr>
                  <w:tcW w:w="1122" w:type="dxa"/>
                  <w:shd w:val="clear" w:color="auto" w:fill="auto"/>
                  <w:vAlign w:val="center"/>
                </w:tcPr>
                <w:p>
                  <w:pPr>
                    <w:pStyle w:val="36"/>
                    <w:rPr>
                      <w:rFonts w:hint="eastAsia"/>
                      <w:szCs w:val="21"/>
                    </w:rPr>
                  </w:pPr>
                  <w:r>
                    <w:rPr>
                      <w:szCs w:val="21"/>
                    </w:rPr>
                    <w:t>59</w:t>
                  </w:r>
                </w:p>
              </w:tc>
              <w:tc>
                <w:tcPr>
                  <w:tcW w:w="1122" w:type="dxa"/>
                  <w:shd w:val="clear" w:color="auto" w:fill="auto"/>
                  <w:vAlign w:val="center"/>
                </w:tcPr>
                <w:p>
                  <w:pPr>
                    <w:pStyle w:val="36"/>
                    <w:rPr>
                      <w:rFonts w:hint="eastAsia"/>
                      <w:szCs w:val="21"/>
                    </w:rPr>
                  </w:pPr>
                  <w:r>
                    <w:rPr>
                      <w:szCs w:val="21"/>
                    </w:rPr>
                    <w:t>56</w:t>
                  </w:r>
                </w:p>
              </w:tc>
              <w:tc>
                <w:tcPr>
                  <w:tcW w:w="1122" w:type="dxa"/>
                  <w:shd w:val="clear" w:color="auto" w:fill="auto"/>
                  <w:vAlign w:val="center"/>
                </w:tcPr>
                <w:p>
                  <w:pPr>
                    <w:pStyle w:val="36"/>
                    <w:rPr>
                      <w:rFonts w:hint="eastAsia"/>
                      <w:szCs w:val="21"/>
                    </w:rPr>
                  </w:pPr>
                  <w:r>
                    <w:rPr>
                      <w:szCs w:val="21"/>
                    </w:rPr>
                    <w:t>53</w:t>
                  </w:r>
                </w:p>
              </w:tc>
              <w:tc>
                <w:tcPr>
                  <w:tcW w:w="1122" w:type="dxa"/>
                  <w:shd w:val="clear" w:color="auto" w:fill="auto"/>
                  <w:vAlign w:val="center"/>
                </w:tcPr>
                <w:p>
                  <w:pPr>
                    <w:pStyle w:val="36"/>
                    <w:rPr>
                      <w:rFonts w:hint="eastAsia"/>
                      <w:szCs w:val="21"/>
                    </w:rPr>
                  </w:pPr>
                  <w:r>
                    <w:rPr>
                      <w:szCs w:val="21"/>
                    </w:rPr>
                    <w:t>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414" w:type="dxa"/>
                  <w:shd w:val="clear" w:color="auto" w:fill="auto"/>
                  <w:noWrap/>
                  <w:vAlign w:val="center"/>
                </w:tcPr>
                <w:p>
                  <w:pPr>
                    <w:pStyle w:val="36"/>
                    <w:rPr>
                      <w:rFonts w:hint="eastAsia"/>
                    </w:rPr>
                  </w:pPr>
                  <w:r>
                    <w:rPr>
                      <w:rFonts w:hint="eastAsia"/>
                    </w:rPr>
                    <w:t>50mm</w:t>
                  </w:r>
                  <w:r>
                    <w:rPr>
                      <w:rFonts w:hint="eastAsia"/>
                      <w:szCs w:val="21"/>
                    </w:rPr>
                    <w:t>振捣器</w:t>
                  </w:r>
                </w:p>
              </w:tc>
              <w:tc>
                <w:tcPr>
                  <w:tcW w:w="1123" w:type="dxa"/>
                  <w:shd w:val="clear" w:color="auto" w:fill="auto"/>
                  <w:vAlign w:val="center"/>
                </w:tcPr>
                <w:p>
                  <w:pPr>
                    <w:pStyle w:val="36"/>
                    <w:rPr>
                      <w:rFonts w:hint="eastAsia"/>
                      <w:szCs w:val="21"/>
                    </w:rPr>
                  </w:pPr>
                  <w:r>
                    <w:rPr>
                      <w:szCs w:val="21"/>
                    </w:rPr>
                    <w:t>75</w:t>
                  </w:r>
                </w:p>
              </w:tc>
              <w:tc>
                <w:tcPr>
                  <w:tcW w:w="1122" w:type="dxa"/>
                  <w:shd w:val="clear" w:color="auto" w:fill="auto"/>
                  <w:vAlign w:val="center"/>
                </w:tcPr>
                <w:p>
                  <w:pPr>
                    <w:pStyle w:val="36"/>
                    <w:rPr>
                      <w:rFonts w:hint="eastAsia"/>
                      <w:szCs w:val="21"/>
                    </w:rPr>
                  </w:pPr>
                  <w:r>
                    <w:rPr>
                      <w:szCs w:val="21"/>
                    </w:rPr>
                    <w:t>45</w:t>
                  </w:r>
                </w:p>
              </w:tc>
              <w:tc>
                <w:tcPr>
                  <w:tcW w:w="1122" w:type="dxa"/>
                  <w:shd w:val="clear" w:color="auto" w:fill="auto"/>
                  <w:vAlign w:val="center"/>
                </w:tcPr>
                <w:p>
                  <w:pPr>
                    <w:pStyle w:val="36"/>
                    <w:rPr>
                      <w:rFonts w:hint="eastAsia"/>
                      <w:szCs w:val="21"/>
                    </w:rPr>
                  </w:pPr>
                  <w:r>
                    <w:rPr>
                      <w:szCs w:val="21"/>
                    </w:rPr>
                    <w:t>39</w:t>
                  </w:r>
                </w:p>
              </w:tc>
              <w:tc>
                <w:tcPr>
                  <w:tcW w:w="1122" w:type="dxa"/>
                  <w:shd w:val="clear" w:color="auto" w:fill="auto"/>
                  <w:vAlign w:val="center"/>
                </w:tcPr>
                <w:p>
                  <w:pPr>
                    <w:pStyle w:val="36"/>
                    <w:rPr>
                      <w:rFonts w:hint="eastAsia"/>
                      <w:szCs w:val="21"/>
                    </w:rPr>
                  </w:pPr>
                  <w:r>
                    <w:rPr>
                      <w:szCs w:val="21"/>
                    </w:rPr>
                    <w:t>36</w:t>
                  </w:r>
                </w:p>
              </w:tc>
              <w:tc>
                <w:tcPr>
                  <w:tcW w:w="1122" w:type="dxa"/>
                  <w:shd w:val="clear" w:color="auto" w:fill="auto"/>
                  <w:vAlign w:val="center"/>
                </w:tcPr>
                <w:p>
                  <w:pPr>
                    <w:pStyle w:val="36"/>
                    <w:rPr>
                      <w:rFonts w:hint="eastAsia"/>
                      <w:szCs w:val="21"/>
                    </w:rPr>
                  </w:pPr>
                  <w:r>
                    <w:rPr>
                      <w:szCs w:val="21"/>
                    </w:rPr>
                    <w:t>33</w:t>
                  </w:r>
                </w:p>
              </w:tc>
              <w:tc>
                <w:tcPr>
                  <w:tcW w:w="1122" w:type="dxa"/>
                  <w:shd w:val="clear" w:color="auto" w:fill="auto"/>
                  <w:vAlign w:val="center"/>
                </w:tcPr>
                <w:p>
                  <w:pPr>
                    <w:pStyle w:val="36"/>
                    <w:rPr>
                      <w:rFonts w:hint="eastAsia"/>
                      <w:szCs w:val="21"/>
                    </w:rPr>
                  </w:pPr>
                  <w:r>
                    <w:rPr>
                      <w:szCs w:val="21"/>
                    </w:rPr>
                    <w:t>30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414" w:type="dxa"/>
                  <w:shd w:val="clear" w:color="auto" w:fill="auto"/>
                  <w:noWrap/>
                  <w:vAlign w:val="center"/>
                </w:tcPr>
                <w:p>
                  <w:pPr>
                    <w:pStyle w:val="36"/>
                    <w:rPr>
                      <w:rFonts w:hint="eastAsia"/>
                    </w:rPr>
                  </w:pPr>
                  <w:r>
                    <w:rPr>
                      <w:rFonts w:hint="eastAsia"/>
                    </w:rPr>
                    <w:t>手推胶轮车</w:t>
                  </w:r>
                </w:p>
              </w:tc>
              <w:tc>
                <w:tcPr>
                  <w:tcW w:w="1123" w:type="dxa"/>
                  <w:shd w:val="clear" w:color="auto" w:fill="auto"/>
                  <w:vAlign w:val="center"/>
                </w:tcPr>
                <w:p>
                  <w:pPr>
                    <w:pStyle w:val="36"/>
                    <w:rPr>
                      <w:rFonts w:hint="eastAsia"/>
                      <w:szCs w:val="21"/>
                    </w:rPr>
                  </w:pPr>
                  <w:r>
                    <w:rPr>
                      <w:szCs w:val="21"/>
                    </w:rPr>
                    <w:t>65</w:t>
                  </w:r>
                </w:p>
              </w:tc>
              <w:tc>
                <w:tcPr>
                  <w:tcW w:w="1122" w:type="dxa"/>
                  <w:shd w:val="clear" w:color="auto" w:fill="auto"/>
                  <w:vAlign w:val="center"/>
                </w:tcPr>
                <w:p>
                  <w:pPr>
                    <w:pStyle w:val="36"/>
                    <w:rPr>
                      <w:rFonts w:hint="eastAsia"/>
                      <w:szCs w:val="21"/>
                    </w:rPr>
                  </w:pPr>
                  <w:r>
                    <w:rPr>
                      <w:szCs w:val="21"/>
                    </w:rPr>
                    <w:t>45</w:t>
                  </w:r>
                </w:p>
              </w:tc>
              <w:tc>
                <w:tcPr>
                  <w:tcW w:w="1122" w:type="dxa"/>
                  <w:shd w:val="clear" w:color="auto" w:fill="auto"/>
                  <w:vAlign w:val="center"/>
                </w:tcPr>
                <w:p>
                  <w:pPr>
                    <w:pStyle w:val="36"/>
                    <w:rPr>
                      <w:rFonts w:hint="eastAsia"/>
                      <w:szCs w:val="21"/>
                    </w:rPr>
                  </w:pPr>
                  <w:r>
                    <w:rPr>
                      <w:szCs w:val="21"/>
                    </w:rPr>
                    <w:t>39</w:t>
                  </w:r>
                </w:p>
              </w:tc>
              <w:tc>
                <w:tcPr>
                  <w:tcW w:w="1122" w:type="dxa"/>
                  <w:shd w:val="clear" w:color="auto" w:fill="auto"/>
                  <w:vAlign w:val="center"/>
                </w:tcPr>
                <w:p>
                  <w:pPr>
                    <w:pStyle w:val="36"/>
                    <w:rPr>
                      <w:rFonts w:hint="eastAsia"/>
                      <w:szCs w:val="21"/>
                    </w:rPr>
                  </w:pPr>
                  <w:r>
                    <w:rPr>
                      <w:szCs w:val="21"/>
                    </w:rPr>
                    <w:t>36</w:t>
                  </w:r>
                </w:p>
              </w:tc>
              <w:tc>
                <w:tcPr>
                  <w:tcW w:w="1122" w:type="dxa"/>
                  <w:shd w:val="clear" w:color="auto" w:fill="auto"/>
                  <w:vAlign w:val="center"/>
                </w:tcPr>
                <w:p>
                  <w:pPr>
                    <w:pStyle w:val="36"/>
                    <w:rPr>
                      <w:rFonts w:hint="eastAsia"/>
                      <w:szCs w:val="21"/>
                    </w:rPr>
                  </w:pPr>
                  <w:r>
                    <w:rPr>
                      <w:szCs w:val="21"/>
                    </w:rPr>
                    <w:t>33</w:t>
                  </w:r>
                </w:p>
              </w:tc>
              <w:tc>
                <w:tcPr>
                  <w:tcW w:w="1122" w:type="dxa"/>
                  <w:shd w:val="clear" w:color="auto" w:fill="auto"/>
                  <w:vAlign w:val="center"/>
                </w:tcPr>
                <w:p>
                  <w:pPr>
                    <w:pStyle w:val="36"/>
                    <w:rPr>
                      <w:rFonts w:hint="eastAsia"/>
                      <w:szCs w:val="21"/>
                    </w:rPr>
                  </w:pPr>
                  <w:r>
                    <w:rPr>
                      <w:szCs w:val="21"/>
                    </w:rPr>
                    <w:t>30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414" w:type="dxa"/>
                  <w:shd w:val="clear" w:color="auto" w:fill="auto"/>
                  <w:noWrap/>
                  <w:vAlign w:val="center"/>
                </w:tcPr>
                <w:p>
                  <w:pPr>
                    <w:pStyle w:val="36"/>
                    <w:rPr>
                      <w:rFonts w:hint="eastAsia"/>
                    </w:rPr>
                  </w:pPr>
                  <w:r>
                    <w:rPr>
                      <w:rFonts w:hint="eastAsia"/>
                    </w:rPr>
                    <w:t>钢筋切断</w:t>
                  </w:r>
                </w:p>
              </w:tc>
              <w:tc>
                <w:tcPr>
                  <w:tcW w:w="1123" w:type="dxa"/>
                  <w:shd w:val="clear" w:color="auto" w:fill="auto"/>
                  <w:vAlign w:val="center"/>
                </w:tcPr>
                <w:p>
                  <w:pPr>
                    <w:pStyle w:val="36"/>
                    <w:rPr>
                      <w:rFonts w:hint="eastAsia"/>
                      <w:szCs w:val="21"/>
                    </w:rPr>
                  </w:pPr>
                  <w:r>
                    <w:rPr>
                      <w:szCs w:val="21"/>
                    </w:rPr>
                    <w:t>67</w:t>
                  </w:r>
                </w:p>
              </w:tc>
              <w:tc>
                <w:tcPr>
                  <w:tcW w:w="1122" w:type="dxa"/>
                  <w:shd w:val="clear" w:color="auto" w:fill="auto"/>
                  <w:vAlign w:val="center"/>
                </w:tcPr>
                <w:p>
                  <w:pPr>
                    <w:pStyle w:val="36"/>
                    <w:rPr>
                      <w:rFonts w:hint="eastAsia"/>
                      <w:szCs w:val="21"/>
                    </w:rPr>
                  </w:pPr>
                  <w:r>
                    <w:rPr>
                      <w:szCs w:val="21"/>
                    </w:rPr>
                    <w:t>47</w:t>
                  </w:r>
                </w:p>
              </w:tc>
              <w:tc>
                <w:tcPr>
                  <w:tcW w:w="1122" w:type="dxa"/>
                  <w:shd w:val="clear" w:color="auto" w:fill="auto"/>
                  <w:vAlign w:val="center"/>
                </w:tcPr>
                <w:p>
                  <w:pPr>
                    <w:pStyle w:val="36"/>
                    <w:rPr>
                      <w:rFonts w:hint="eastAsia"/>
                      <w:szCs w:val="21"/>
                    </w:rPr>
                  </w:pPr>
                  <w:r>
                    <w:rPr>
                      <w:szCs w:val="21"/>
                    </w:rPr>
                    <w:t>41</w:t>
                  </w:r>
                </w:p>
              </w:tc>
              <w:tc>
                <w:tcPr>
                  <w:tcW w:w="1122" w:type="dxa"/>
                  <w:shd w:val="clear" w:color="auto" w:fill="auto"/>
                  <w:vAlign w:val="center"/>
                </w:tcPr>
                <w:p>
                  <w:pPr>
                    <w:pStyle w:val="36"/>
                    <w:rPr>
                      <w:rFonts w:hint="eastAsia"/>
                      <w:szCs w:val="21"/>
                    </w:rPr>
                  </w:pPr>
                  <w:r>
                    <w:rPr>
                      <w:szCs w:val="21"/>
                    </w:rPr>
                    <w:t>38</w:t>
                  </w:r>
                </w:p>
              </w:tc>
              <w:tc>
                <w:tcPr>
                  <w:tcW w:w="1122" w:type="dxa"/>
                  <w:shd w:val="clear" w:color="auto" w:fill="auto"/>
                  <w:vAlign w:val="center"/>
                </w:tcPr>
                <w:p>
                  <w:pPr>
                    <w:pStyle w:val="36"/>
                    <w:rPr>
                      <w:rFonts w:hint="eastAsia"/>
                      <w:szCs w:val="21"/>
                    </w:rPr>
                  </w:pPr>
                  <w:r>
                    <w:rPr>
                      <w:szCs w:val="21"/>
                    </w:rPr>
                    <w:t>35</w:t>
                  </w:r>
                </w:p>
              </w:tc>
              <w:tc>
                <w:tcPr>
                  <w:tcW w:w="1122" w:type="dxa"/>
                  <w:shd w:val="clear" w:color="auto" w:fill="auto"/>
                  <w:vAlign w:val="center"/>
                </w:tcPr>
                <w:p>
                  <w:pPr>
                    <w:pStyle w:val="36"/>
                    <w:rPr>
                      <w:rFonts w:hint="eastAsia"/>
                      <w:szCs w:val="21"/>
                    </w:rPr>
                  </w:pPr>
                  <w:r>
                    <w:rPr>
                      <w:szCs w:val="21"/>
                    </w:rPr>
                    <w:t>32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414" w:type="dxa"/>
                  <w:shd w:val="clear" w:color="auto" w:fill="auto"/>
                  <w:noWrap/>
                  <w:vAlign w:val="center"/>
                </w:tcPr>
                <w:p>
                  <w:pPr>
                    <w:pStyle w:val="36"/>
                    <w:rPr>
                      <w:rFonts w:hint="eastAsia"/>
                    </w:rPr>
                  </w:pPr>
                  <w:r>
                    <w:rPr>
                      <w:rFonts w:hint="eastAsia"/>
                    </w:rPr>
                    <w:t>电焊机</w:t>
                  </w:r>
                </w:p>
              </w:tc>
              <w:tc>
                <w:tcPr>
                  <w:tcW w:w="1123" w:type="dxa"/>
                  <w:shd w:val="clear" w:color="auto" w:fill="auto"/>
                  <w:vAlign w:val="center"/>
                </w:tcPr>
                <w:p>
                  <w:pPr>
                    <w:pStyle w:val="36"/>
                    <w:rPr>
                      <w:rFonts w:hint="eastAsia"/>
                      <w:szCs w:val="21"/>
                    </w:rPr>
                  </w:pPr>
                  <w:r>
                    <w:rPr>
                      <w:szCs w:val="21"/>
                    </w:rPr>
                    <w:t>80</w:t>
                  </w:r>
                </w:p>
              </w:tc>
              <w:tc>
                <w:tcPr>
                  <w:tcW w:w="1122" w:type="dxa"/>
                  <w:shd w:val="clear" w:color="auto" w:fill="auto"/>
                  <w:vAlign w:val="center"/>
                </w:tcPr>
                <w:p>
                  <w:pPr>
                    <w:pStyle w:val="36"/>
                    <w:rPr>
                      <w:rFonts w:hint="eastAsia"/>
                      <w:szCs w:val="21"/>
                    </w:rPr>
                  </w:pPr>
                  <w:r>
                    <w:rPr>
                      <w:szCs w:val="21"/>
                    </w:rPr>
                    <w:t>44</w:t>
                  </w:r>
                </w:p>
              </w:tc>
              <w:tc>
                <w:tcPr>
                  <w:tcW w:w="1122" w:type="dxa"/>
                  <w:shd w:val="clear" w:color="auto" w:fill="auto"/>
                  <w:vAlign w:val="center"/>
                </w:tcPr>
                <w:p>
                  <w:pPr>
                    <w:pStyle w:val="36"/>
                    <w:rPr>
                      <w:rFonts w:hint="eastAsia"/>
                      <w:szCs w:val="21"/>
                    </w:rPr>
                  </w:pPr>
                  <w:r>
                    <w:rPr>
                      <w:szCs w:val="21"/>
                    </w:rPr>
                    <w:t>38</w:t>
                  </w:r>
                </w:p>
              </w:tc>
              <w:tc>
                <w:tcPr>
                  <w:tcW w:w="1122" w:type="dxa"/>
                  <w:shd w:val="clear" w:color="auto" w:fill="auto"/>
                  <w:vAlign w:val="center"/>
                </w:tcPr>
                <w:p>
                  <w:pPr>
                    <w:pStyle w:val="36"/>
                    <w:rPr>
                      <w:rFonts w:hint="eastAsia"/>
                      <w:szCs w:val="21"/>
                    </w:rPr>
                  </w:pPr>
                  <w:r>
                    <w:rPr>
                      <w:szCs w:val="21"/>
                    </w:rPr>
                    <w:t>35</w:t>
                  </w:r>
                </w:p>
              </w:tc>
              <w:tc>
                <w:tcPr>
                  <w:tcW w:w="1122" w:type="dxa"/>
                  <w:shd w:val="clear" w:color="auto" w:fill="auto"/>
                  <w:vAlign w:val="center"/>
                </w:tcPr>
                <w:p>
                  <w:pPr>
                    <w:pStyle w:val="36"/>
                    <w:rPr>
                      <w:rFonts w:hint="eastAsia"/>
                      <w:szCs w:val="21"/>
                    </w:rPr>
                  </w:pPr>
                  <w:r>
                    <w:rPr>
                      <w:szCs w:val="21"/>
                    </w:rPr>
                    <w:t>32</w:t>
                  </w:r>
                </w:p>
              </w:tc>
              <w:tc>
                <w:tcPr>
                  <w:tcW w:w="1122" w:type="dxa"/>
                  <w:shd w:val="clear" w:color="auto" w:fill="auto"/>
                  <w:vAlign w:val="center"/>
                </w:tcPr>
                <w:p>
                  <w:pPr>
                    <w:pStyle w:val="36"/>
                    <w:rPr>
                      <w:rFonts w:hint="eastAsia"/>
                      <w:szCs w:val="21"/>
                    </w:rPr>
                  </w:pPr>
                  <w:r>
                    <w:rPr>
                      <w:szCs w:val="21"/>
                    </w:rPr>
                    <w:t>29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414" w:type="dxa"/>
                  <w:shd w:val="clear" w:color="auto" w:fill="auto"/>
                  <w:noWrap/>
                  <w:vAlign w:val="center"/>
                </w:tcPr>
                <w:p>
                  <w:pPr>
                    <w:pStyle w:val="36"/>
                    <w:rPr>
                      <w:rFonts w:hint="eastAsia"/>
                    </w:rPr>
                  </w:pPr>
                  <w:r>
                    <w:rPr>
                      <w:rFonts w:hint="eastAsia"/>
                    </w:rPr>
                    <w:t>钢筋弯掘机</w:t>
                  </w:r>
                </w:p>
              </w:tc>
              <w:tc>
                <w:tcPr>
                  <w:tcW w:w="1123" w:type="dxa"/>
                  <w:shd w:val="clear" w:color="auto" w:fill="auto"/>
                  <w:vAlign w:val="center"/>
                </w:tcPr>
                <w:p>
                  <w:pPr>
                    <w:pStyle w:val="36"/>
                    <w:rPr>
                      <w:rFonts w:hint="eastAsia"/>
                      <w:szCs w:val="21"/>
                    </w:rPr>
                  </w:pPr>
                  <w:r>
                    <w:rPr>
                      <w:szCs w:val="21"/>
                    </w:rPr>
                    <w:t>70</w:t>
                  </w:r>
                </w:p>
              </w:tc>
              <w:tc>
                <w:tcPr>
                  <w:tcW w:w="1122" w:type="dxa"/>
                  <w:shd w:val="clear" w:color="auto" w:fill="auto"/>
                  <w:vAlign w:val="center"/>
                </w:tcPr>
                <w:p>
                  <w:pPr>
                    <w:pStyle w:val="36"/>
                    <w:rPr>
                      <w:rFonts w:hint="eastAsia"/>
                      <w:szCs w:val="21"/>
                    </w:rPr>
                  </w:pPr>
                  <w:r>
                    <w:rPr>
                      <w:szCs w:val="21"/>
                    </w:rPr>
                    <w:t>50</w:t>
                  </w:r>
                </w:p>
              </w:tc>
              <w:tc>
                <w:tcPr>
                  <w:tcW w:w="1122" w:type="dxa"/>
                  <w:shd w:val="clear" w:color="auto" w:fill="auto"/>
                  <w:vAlign w:val="center"/>
                </w:tcPr>
                <w:p>
                  <w:pPr>
                    <w:pStyle w:val="36"/>
                    <w:rPr>
                      <w:rFonts w:hint="eastAsia"/>
                      <w:szCs w:val="21"/>
                    </w:rPr>
                  </w:pPr>
                  <w:r>
                    <w:rPr>
                      <w:szCs w:val="21"/>
                    </w:rPr>
                    <w:t>46</w:t>
                  </w:r>
                </w:p>
              </w:tc>
              <w:tc>
                <w:tcPr>
                  <w:tcW w:w="1122" w:type="dxa"/>
                  <w:shd w:val="clear" w:color="auto" w:fill="auto"/>
                  <w:vAlign w:val="center"/>
                </w:tcPr>
                <w:p>
                  <w:pPr>
                    <w:pStyle w:val="36"/>
                    <w:rPr>
                      <w:rFonts w:hint="eastAsia"/>
                      <w:szCs w:val="21"/>
                    </w:rPr>
                  </w:pPr>
                  <w:r>
                    <w:rPr>
                      <w:szCs w:val="21"/>
                    </w:rPr>
                    <w:t>43</w:t>
                  </w:r>
                </w:p>
              </w:tc>
              <w:tc>
                <w:tcPr>
                  <w:tcW w:w="1122" w:type="dxa"/>
                  <w:shd w:val="clear" w:color="auto" w:fill="auto"/>
                  <w:vAlign w:val="center"/>
                </w:tcPr>
                <w:p>
                  <w:pPr>
                    <w:pStyle w:val="36"/>
                    <w:rPr>
                      <w:rFonts w:hint="eastAsia"/>
                      <w:szCs w:val="21"/>
                    </w:rPr>
                  </w:pPr>
                  <w:r>
                    <w:rPr>
                      <w:szCs w:val="21"/>
                    </w:rPr>
                    <w:t>40</w:t>
                  </w:r>
                </w:p>
              </w:tc>
              <w:tc>
                <w:tcPr>
                  <w:tcW w:w="1122" w:type="dxa"/>
                  <w:shd w:val="clear" w:color="auto" w:fill="auto"/>
                  <w:vAlign w:val="center"/>
                </w:tcPr>
                <w:p>
                  <w:pPr>
                    <w:pStyle w:val="36"/>
                    <w:rPr>
                      <w:rFonts w:hint="eastAsia"/>
                      <w:szCs w:val="21"/>
                    </w:rPr>
                  </w:pPr>
                  <w:r>
                    <w:rPr>
                      <w:szCs w:val="21"/>
                    </w:rPr>
                    <w:t>37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414" w:type="dxa"/>
                  <w:shd w:val="clear" w:color="auto" w:fill="auto"/>
                  <w:noWrap/>
                  <w:vAlign w:val="center"/>
                </w:tcPr>
                <w:p>
                  <w:pPr>
                    <w:pStyle w:val="36"/>
                    <w:rPr>
                      <w:rFonts w:hint="eastAsia"/>
                    </w:rPr>
                  </w:pPr>
                  <w:r>
                    <w:rPr>
                      <w:rFonts w:hint="eastAsia"/>
                    </w:rPr>
                    <w:t>振捣器平板式</w:t>
                  </w:r>
                </w:p>
              </w:tc>
              <w:tc>
                <w:tcPr>
                  <w:tcW w:w="1123" w:type="dxa"/>
                  <w:shd w:val="clear" w:color="auto" w:fill="auto"/>
                  <w:vAlign w:val="center"/>
                </w:tcPr>
                <w:p>
                  <w:pPr>
                    <w:pStyle w:val="36"/>
                    <w:rPr>
                      <w:rFonts w:hint="eastAsia"/>
                      <w:szCs w:val="21"/>
                    </w:rPr>
                  </w:pPr>
                  <w:r>
                    <w:rPr>
                      <w:szCs w:val="21"/>
                    </w:rPr>
                    <w:t>75</w:t>
                  </w:r>
                </w:p>
              </w:tc>
              <w:tc>
                <w:tcPr>
                  <w:tcW w:w="1122" w:type="dxa"/>
                  <w:shd w:val="clear" w:color="auto" w:fill="auto"/>
                  <w:vAlign w:val="center"/>
                </w:tcPr>
                <w:p>
                  <w:pPr>
                    <w:pStyle w:val="36"/>
                    <w:rPr>
                      <w:rFonts w:hint="eastAsia"/>
                      <w:szCs w:val="21"/>
                    </w:rPr>
                  </w:pPr>
                  <w:r>
                    <w:rPr>
                      <w:szCs w:val="21"/>
                    </w:rPr>
                    <w:t>45</w:t>
                  </w:r>
                </w:p>
              </w:tc>
              <w:tc>
                <w:tcPr>
                  <w:tcW w:w="1122" w:type="dxa"/>
                  <w:shd w:val="clear" w:color="auto" w:fill="auto"/>
                  <w:vAlign w:val="center"/>
                </w:tcPr>
                <w:p>
                  <w:pPr>
                    <w:pStyle w:val="36"/>
                    <w:rPr>
                      <w:rFonts w:hint="eastAsia"/>
                      <w:szCs w:val="21"/>
                    </w:rPr>
                  </w:pPr>
                  <w:r>
                    <w:rPr>
                      <w:szCs w:val="21"/>
                    </w:rPr>
                    <w:t>39</w:t>
                  </w:r>
                </w:p>
              </w:tc>
              <w:tc>
                <w:tcPr>
                  <w:tcW w:w="1122" w:type="dxa"/>
                  <w:shd w:val="clear" w:color="auto" w:fill="auto"/>
                  <w:vAlign w:val="center"/>
                </w:tcPr>
                <w:p>
                  <w:pPr>
                    <w:pStyle w:val="36"/>
                    <w:rPr>
                      <w:rFonts w:hint="eastAsia"/>
                      <w:szCs w:val="21"/>
                    </w:rPr>
                  </w:pPr>
                  <w:r>
                    <w:rPr>
                      <w:szCs w:val="21"/>
                    </w:rPr>
                    <w:t>36</w:t>
                  </w:r>
                </w:p>
              </w:tc>
              <w:tc>
                <w:tcPr>
                  <w:tcW w:w="1122" w:type="dxa"/>
                  <w:shd w:val="clear" w:color="auto" w:fill="auto"/>
                  <w:vAlign w:val="center"/>
                </w:tcPr>
                <w:p>
                  <w:pPr>
                    <w:pStyle w:val="36"/>
                    <w:rPr>
                      <w:rFonts w:hint="eastAsia"/>
                      <w:szCs w:val="21"/>
                    </w:rPr>
                  </w:pPr>
                  <w:r>
                    <w:rPr>
                      <w:szCs w:val="21"/>
                    </w:rPr>
                    <w:t>33</w:t>
                  </w:r>
                </w:p>
              </w:tc>
              <w:tc>
                <w:tcPr>
                  <w:tcW w:w="1122" w:type="dxa"/>
                  <w:shd w:val="clear" w:color="auto" w:fill="auto"/>
                  <w:vAlign w:val="center"/>
                </w:tcPr>
                <w:p>
                  <w:pPr>
                    <w:pStyle w:val="36"/>
                    <w:rPr>
                      <w:rFonts w:hint="eastAsia"/>
                      <w:szCs w:val="21"/>
                    </w:rPr>
                  </w:pPr>
                  <w:r>
                    <w:rPr>
                      <w:szCs w:val="21"/>
                    </w:rPr>
                    <w:t>30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414" w:type="dxa"/>
                  <w:shd w:val="clear" w:color="auto" w:fill="auto"/>
                  <w:noWrap/>
                  <w:vAlign w:val="center"/>
                </w:tcPr>
                <w:p>
                  <w:pPr>
                    <w:pStyle w:val="36"/>
                    <w:rPr>
                      <w:rFonts w:hint="eastAsia"/>
                    </w:rPr>
                  </w:pPr>
                  <w:r>
                    <w:rPr>
                      <w:rFonts w:hint="eastAsia"/>
                    </w:rPr>
                    <w:t>振捣梁</w:t>
                  </w:r>
                </w:p>
              </w:tc>
              <w:tc>
                <w:tcPr>
                  <w:tcW w:w="1123" w:type="dxa"/>
                  <w:shd w:val="clear" w:color="auto" w:fill="auto"/>
                  <w:vAlign w:val="center"/>
                </w:tcPr>
                <w:p>
                  <w:pPr>
                    <w:pStyle w:val="36"/>
                    <w:rPr>
                      <w:rFonts w:hint="eastAsia"/>
                      <w:szCs w:val="21"/>
                    </w:rPr>
                  </w:pPr>
                  <w:r>
                    <w:rPr>
                      <w:szCs w:val="21"/>
                    </w:rPr>
                    <w:t>66</w:t>
                  </w:r>
                </w:p>
              </w:tc>
              <w:tc>
                <w:tcPr>
                  <w:tcW w:w="1122" w:type="dxa"/>
                  <w:shd w:val="clear" w:color="auto" w:fill="auto"/>
                  <w:vAlign w:val="center"/>
                </w:tcPr>
                <w:p>
                  <w:pPr>
                    <w:pStyle w:val="36"/>
                    <w:rPr>
                      <w:rFonts w:hint="eastAsia"/>
                      <w:szCs w:val="21"/>
                    </w:rPr>
                  </w:pPr>
                  <w:r>
                    <w:rPr>
                      <w:szCs w:val="21"/>
                    </w:rPr>
                    <w:t>46</w:t>
                  </w:r>
                </w:p>
              </w:tc>
              <w:tc>
                <w:tcPr>
                  <w:tcW w:w="1122" w:type="dxa"/>
                  <w:shd w:val="clear" w:color="auto" w:fill="auto"/>
                  <w:vAlign w:val="center"/>
                </w:tcPr>
                <w:p>
                  <w:pPr>
                    <w:pStyle w:val="36"/>
                    <w:rPr>
                      <w:rFonts w:hint="eastAsia"/>
                      <w:szCs w:val="21"/>
                    </w:rPr>
                  </w:pPr>
                  <w:r>
                    <w:rPr>
                      <w:szCs w:val="21"/>
                    </w:rPr>
                    <w:t>40</w:t>
                  </w:r>
                </w:p>
              </w:tc>
              <w:tc>
                <w:tcPr>
                  <w:tcW w:w="1122" w:type="dxa"/>
                  <w:shd w:val="clear" w:color="auto" w:fill="auto"/>
                  <w:vAlign w:val="center"/>
                </w:tcPr>
                <w:p>
                  <w:pPr>
                    <w:pStyle w:val="36"/>
                    <w:rPr>
                      <w:rFonts w:hint="eastAsia"/>
                      <w:szCs w:val="21"/>
                    </w:rPr>
                  </w:pPr>
                  <w:r>
                    <w:rPr>
                      <w:szCs w:val="21"/>
                    </w:rPr>
                    <w:t>37</w:t>
                  </w:r>
                </w:p>
              </w:tc>
              <w:tc>
                <w:tcPr>
                  <w:tcW w:w="1122" w:type="dxa"/>
                  <w:shd w:val="clear" w:color="auto" w:fill="auto"/>
                  <w:vAlign w:val="center"/>
                </w:tcPr>
                <w:p>
                  <w:pPr>
                    <w:pStyle w:val="36"/>
                    <w:rPr>
                      <w:rFonts w:hint="eastAsia"/>
                      <w:szCs w:val="21"/>
                    </w:rPr>
                  </w:pPr>
                  <w:r>
                    <w:rPr>
                      <w:szCs w:val="21"/>
                    </w:rPr>
                    <w:t>34</w:t>
                  </w:r>
                </w:p>
              </w:tc>
              <w:tc>
                <w:tcPr>
                  <w:tcW w:w="1122" w:type="dxa"/>
                  <w:shd w:val="clear" w:color="auto" w:fill="auto"/>
                  <w:vAlign w:val="center"/>
                </w:tcPr>
                <w:p>
                  <w:pPr>
                    <w:pStyle w:val="36"/>
                    <w:rPr>
                      <w:rFonts w:hint="eastAsia"/>
                      <w:szCs w:val="21"/>
                    </w:rPr>
                  </w:pPr>
                  <w:r>
                    <w:rPr>
                      <w:szCs w:val="21"/>
                    </w:rPr>
                    <w:t>31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414" w:type="dxa"/>
                  <w:shd w:val="clear" w:color="auto" w:fill="auto"/>
                  <w:noWrap/>
                  <w:vAlign w:val="center"/>
                </w:tcPr>
                <w:p>
                  <w:pPr>
                    <w:pStyle w:val="36"/>
                    <w:rPr>
                      <w:rFonts w:hint="eastAsia"/>
                    </w:rPr>
                  </w:pPr>
                  <w:r>
                    <w:rPr>
                      <w:rFonts w:hint="eastAsia"/>
                    </w:rPr>
                    <w:t>空压计</w:t>
                  </w:r>
                </w:p>
              </w:tc>
              <w:tc>
                <w:tcPr>
                  <w:tcW w:w="1123" w:type="dxa"/>
                  <w:shd w:val="clear" w:color="auto" w:fill="auto"/>
                  <w:vAlign w:val="center"/>
                </w:tcPr>
                <w:p>
                  <w:pPr>
                    <w:pStyle w:val="36"/>
                    <w:rPr>
                      <w:rFonts w:hint="eastAsia"/>
                      <w:szCs w:val="21"/>
                    </w:rPr>
                  </w:pPr>
                  <w:r>
                    <w:rPr>
                      <w:szCs w:val="21"/>
                    </w:rPr>
                    <w:t>70</w:t>
                  </w:r>
                </w:p>
              </w:tc>
              <w:tc>
                <w:tcPr>
                  <w:tcW w:w="1122" w:type="dxa"/>
                  <w:shd w:val="clear" w:color="auto" w:fill="auto"/>
                  <w:vAlign w:val="center"/>
                </w:tcPr>
                <w:p>
                  <w:pPr>
                    <w:pStyle w:val="36"/>
                    <w:rPr>
                      <w:rFonts w:hint="eastAsia"/>
                      <w:szCs w:val="21"/>
                    </w:rPr>
                  </w:pPr>
                  <w:r>
                    <w:rPr>
                      <w:szCs w:val="21"/>
                    </w:rPr>
                    <w:t>66</w:t>
                  </w:r>
                </w:p>
              </w:tc>
              <w:tc>
                <w:tcPr>
                  <w:tcW w:w="1122" w:type="dxa"/>
                  <w:shd w:val="clear" w:color="auto" w:fill="auto"/>
                  <w:vAlign w:val="center"/>
                </w:tcPr>
                <w:p>
                  <w:pPr>
                    <w:pStyle w:val="36"/>
                    <w:rPr>
                      <w:rFonts w:hint="eastAsia"/>
                      <w:szCs w:val="21"/>
                    </w:rPr>
                  </w:pPr>
                  <w:r>
                    <w:rPr>
                      <w:szCs w:val="21"/>
                    </w:rPr>
                    <w:t>60</w:t>
                  </w:r>
                </w:p>
              </w:tc>
              <w:tc>
                <w:tcPr>
                  <w:tcW w:w="1122" w:type="dxa"/>
                  <w:shd w:val="clear" w:color="auto" w:fill="auto"/>
                  <w:vAlign w:val="center"/>
                </w:tcPr>
                <w:p>
                  <w:pPr>
                    <w:pStyle w:val="36"/>
                    <w:rPr>
                      <w:rFonts w:hint="eastAsia"/>
                      <w:szCs w:val="21"/>
                    </w:rPr>
                  </w:pPr>
                  <w:r>
                    <w:rPr>
                      <w:szCs w:val="21"/>
                    </w:rPr>
                    <w:t>57</w:t>
                  </w:r>
                </w:p>
              </w:tc>
              <w:tc>
                <w:tcPr>
                  <w:tcW w:w="1122" w:type="dxa"/>
                  <w:shd w:val="clear" w:color="auto" w:fill="auto"/>
                  <w:vAlign w:val="center"/>
                </w:tcPr>
                <w:p>
                  <w:pPr>
                    <w:pStyle w:val="36"/>
                    <w:rPr>
                      <w:rFonts w:hint="eastAsia"/>
                      <w:szCs w:val="21"/>
                    </w:rPr>
                  </w:pPr>
                  <w:r>
                    <w:rPr>
                      <w:szCs w:val="21"/>
                    </w:rPr>
                    <w:t>53</w:t>
                  </w:r>
                </w:p>
              </w:tc>
              <w:tc>
                <w:tcPr>
                  <w:tcW w:w="1122" w:type="dxa"/>
                  <w:shd w:val="clear" w:color="auto" w:fill="auto"/>
                  <w:vAlign w:val="center"/>
                </w:tcPr>
                <w:p>
                  <w:pPr>
                    <w:pStyle w:val="36"/>
                    <w:rPr>
                      <w:rFonts w:hint="eastAsia"/>
                      <w:szCs w:val="21"/>
                    </w:rPr>
                  </w:pPr>
                  <w:r>
                    <w:rPr>
                      <w:szCs w:val="21"/>
                    </w:rPr>
                    <w:t>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414" w:type="dxa"/>
                  <w:shd w:val="clear" w:color="auto" w:fill="auto"/>
                  <w:noWrap/>
                  <w:vAlign w:val="center"/>
                </w:tcPr>
                <w:p>
                  <w:pPr>
                    <w:pStyle w:val="36"/>
                    <w:rPr>
                      <w:rFonts w:hint="eastAsia"/>
                    </w:rPr>
                  </w:pPr>
                  <w:r>
                    <w:rPr>
                      <w:rFonts w:hint="eastAsia"/>
                    </w:rPr>
                    <w:t>注浆机</w:t>
                  </w:r>
                </w:p>
              </w:tc>
              <w:tc>
                <w:tcPr>
                  <w:tcW w:w="1123" w:type="dxa"/>
                  <w:shd w:val="clear" w:color="auto" w:fill="auto"/>
                  <w:vAlign w:val="center"/>
                </w:tcPr>
                <w:p>
                  <w:pPr>
                    <w:pStyle w:val="36"/>
                    <w:rPr>
                      <w:rFonts w:hint="eastAsia"/>
                      <w:szCs w:val="21"/>
                    </w:rPr>
                  </w:pPr>
                  <w:r>
                    <w:rPr>
                      <w:szCs w:val="21"/>
                    </w:rPr>
                    <w:t>65</w:t>
                  </w:r>
                </w:p>
              </w:tc>
              <w:tc>
                <w:tcPr>
                  <w:tcW w:w="1122" w:type="dxa"/>
                  <w:shd w:val="clear" w:color="auto" w:fill="auto"/>
                  <w:vAlign w:val="center"/>
                </w:tcPr>
                <w:p>
                  <w:pPr>
                    <w:pStyle w:val="36"/>
                    <w:rPr>
                      <w:rFonts w:hint="eastAsia"/>
                      <w:szCs w:val="21"/>
                    </w:rPr>
                  </w:pPr>
                  <w:r>
                    <w:rPr>
                      <w:szCs w:val="21"/>
                    </w:rPr>
                    <w:t>60</w:t>
                  </w:r>
                </w:p>
              </w:tc>
              <w:tc>
                <w:tcPr>
                  <w:tcW w:w="1122" w:type="dxa"/>
                  <w:shd w:val="clear" w:color="auto" w:fill="auto"/>
                  <w:vAlign w:val="center"/>
                </w:tcPr>
                <w:p>
                  <w:pPr>
                    <w:pStyle w:val="36"/>
                    <w:rPr>
                      <w:rFonts w:hint="eastAsia"/>
                      <w:szCs w:val="21"/>
                    </w:rPr>
                  </w:pPr>
                  <w:r>
                    <w:rPr>
                      <w:szCs w:val="21"/>
                    </w:rPr>
                    <w:t>54</w:t>
                  </w:r>
                </w:p>
              </w:tc>
              <w:tc>
                <w:tcPr>
                  <w:tcW w:w="1122" w:type="dxa"/>
                  <w:shd w:val="clear" w:color="auto" w:fill="auto"/>
                  <w:vAlign w:val="center"/>
                </w:tcPr>
                <w:p>
                  <w:pPr>
                    <w:pStyle w:val="36"/>
                    <w:rPr>
                      <w:rFonts w:hint="eastAsia"/>
                      <w:szCs w:val="21"/>
                    </w:rPr>
                  </w:pPr>
                  <w:r>
                    <w:rPr>
                      <w:szCs w:val="21"/>
                    </w:rPr>
                    <w:t>51</w:t>
                  </w:r>
                </w:p>
              </w:tc>
              <w:tc>
                <w:tcPr>
                  <w:tcW w:w="1122" w:type="dxa"/>
                  <w:shd w:val="clear" w:color="auto" w:fill="auto"/>
                  <w:vAlign w:val="center"/>
                </w:tcPr>
                <w:p>
                  <w:pPr>
                    <w:pStyle w:val="36"/>
                    <w:rPr>
                      <w:rFonts w:hint="eastAsia"/>
                      <w:szCs w:val="21"/>
                    </w:rPr>
                  </w:pPr>
                  <w:r>
                    <w:rPr>
                      <w:szCs w:val="21"/>
                    </w:rPr>
                    <w:t>48</w:t>
                  </w:r>
                </w:p>
              </w:tc>
              <w:tc>
                <w:tcPr>
                  <w:tcW w:w="1122" w:type="dxa"/>
                  <w:shd w:val="clear" w:color="auto" w:fill="auto"/>
                  <w:vAlign w:val="center"/>
                </w:tcPr>
                <w:p>
                  <w:pPr>
                    <w:pStyle w:val="36"/>
                    <w:rPr>
                      <w:rFonts w:hint="eastAsia"/>
                      <w:szCs w:val="21"/>
                    </w:rPr>
                  </w:pPr>
                  <w:r>
                    <w:rPr>
                      <w:szCs w:val="21"/>
                    </w:rPr>
                    <w:t>45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414" w:type="dxa"/>
                  <w:shd w:val="clear" w:color="auto" w:fill="auto"/>
                  <w:noWrap/>
                  <w:vAlign w:val="center"/>
                </w:tcPr>
                <w:p>
                  <w:pPr>
                    <w:pStyle w:val="36"/>
                    <w:rPr>
                      <w:rFonts w:hint="eastAsia"/>
                    </w:rPr>
                  </w:pPr>
                  <w:r>
                    <w:rPr>
                      <w:rFonts w:hint="eastAsia"/>
                    </w:rPr>
                    <w:t>砂浆搅拌机</w:t>
                  </w:r>
                </w:p>
              </w:tc>
              <w:tc>
                <w:tcPr>
                  <w:tcW w:w="1123" w:type="dxa"/>
                  <w:shd w:val="clear" w:color="auto" w:fill="auto"/>
                  <w:vAlign w:val="center"/>
                </w:tcPr>
                <w:p>
                  <w:pPr>
                    <w:pStyle w:val="36"/>
                    <w:rPr>
                      <w:rFonts w:hint="eastAsia"/>
                      <w:szCs w:val="21"/>
                    </w:rPr>
                  </w:pPr>
                  <w:r>
                    <w:rPr>
                      <w:szCs w:val="21"/>
                    </w:rPr>
                    <w:t>80</w:t>
                  </w:r>
                </w:p>
              </w:tc>
              <w:tc>
                <w:tcPr>
                  <w:tcW w:w="1122" w:type="dxa"/>
                  <w:shd w:val="clear" w:color="auto" w:fill="auto"/>
                  <w:vAlign w:val="center"/>
                </w:tcPr>
                <w:p>
                  <w:pPr>
                    <w:pStyle w:val="36"/>
                    <w:rPr>
                      <w:rFonts w:hint="eastAsia"/>
                      <w:szCs w:val="21"/>
                    </w:rPr>
                  </w:pPr>
                  <w:r>
                    <w:rPr>
                      <w:szCs w:val="21"/>
                    </w:rPr>
                    <w:t>60</w:t>
                  </w:r>
                </w:p>
              </w:tc>
              <w:tc>
                <w:tcPr>
                  <w:tcW w:w="1122" w:type="dxa"/>
                  <w:shd w:val="clear" w:color="auto" w:fill="auto"/>
                  <w:vAlign w:val="center"/>
                </w:tcPr>
                <w:p>
                  <w:pPr>
                    <w:pStyle w:val="36"/>
                    <w:rPr>
                      <w:rFonts w:hint="eastAsia"/>
                      <w:szCs w:val="21"/>
                    </w:rPr>
                  </w:pPr>
                  <w:r>
                    <w:rPr>
                      <w:szCs w:val="21"/>
                    </w:rPr>
                    <w:t>54</w:t>
                  </w:r>
                </w:p>
              </w:tc>
              <w:tc>
                <w:tcPr>
                  <w:tcW w:w="1122" w:type="dxa"/>
                  <w:shd w:val="clear" w:color="auto" w:fill="auto"/>
                  <w:vAlign w:val="center"/>
                </w:tcPr>
                <w:p>
                  <w:pPr>
                    <w:pStyle w:val="36"/>
                    <w:rPr>
                      <w:rFonts w:hint="eastAsia"/>
                      <w:szCs w:val="21"/>
                    </w:rPr>
                  </w:pPr>
                  <w:r>
                    <w:rPr>
                      <w:szCs w:val="21"/>
                    </w:rPr>
                    <w:t>51</w:t>
                  </w:r>
                </w:p>
              </w:tc>
              <w:tc>
                <w:tcPr>
                  <w:tcW w:w="1122" w:type="dxa"/>
                  <w:shd w:val="clear" w:color="auto" w:fill="auto"/>
                  <w:vAlign w:val="center"/>
                </w:tcPr>
                <w:p>
                  <w:pPr>
                    <w:pStyle w:val="36"/>
                    <w:rPr>
                      <w:rFonts w:hint="eastAsia"/>
                      <w:szCs w:val="21"/>
                    </w:rPr>
                  </w:pPr>
                  <w:r>
                    <w:rPr>
                      <w:szCs w:val="21"/>
                    </w:rPr>
                    <w:t>48</w:t>
                  </w:r>
                </w:p>
              </w:tc>
              <w:tc>
                <w:tcPr>
                  <w:tcW w:w="1122" w:type="dxa"/>
                  <w:shd w:val="clear" w:color="auto" w:fill="auto"/>
                  <w:vAlign w:val="center"/>
                </w:tcPr>
                <w:p>
                  <w:pPr>
                    <w:pStyle w:val="36"/>
                    <w:rPr>
                      <w:rFonts w:hint="eastAsia"/>
                      <w:szCs w:val="21"/>
                    </w:rPr>
                  </w:pPr>
                  <w:r>
                    <w:rPr>
                      <w:szCs w:val="21"/>
                    </w:rPr>
                    <w:t>45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414" w:type="dxa"/>
                  <w:shd w:val="clear" w:color="auto" w:fill="auto"/>
                  <w:noWrap/>
                  <w:vAlign w:val="center"/>
                </w:tcPr>
                <w:p>
                  <w:pPr>
                    <w:pStyle w:val="36"/>
                    <w:rPr>
                      <w:rFonts w:hint="eastAsia"/>
                    </w:rPr>
                  </w:pPr>
                  <w:r>
                    <w:rPr>
                      <w:rFonts w:hint="eastAsia"/>
                    </w:rPr>
                    <w:t>锚杆钻机</w:t>
                  </w:r>
                </w:p>
              </w:tc>
              <w:tc>
                <w:tcPr>
                  <w:tcW w:w="1123" w:type="dxa"/>
                  <w:shd w:val="clear" w:color="auto" w:fill="auto"/>
                  <w:vAlign w:val="center"/>
                </w:tcPr>
                <w:p>
                  <w:pPr>
                    <w:pStyle w:val="36"/>
                    <w:rPr>
                      <w:rFonts w:hint="eastAsia"/>
                      <w:szCs w:val="21"/>
                    </w:rPr>
                  </w:pPr>
                  <w:r>
                    <w:rPr>
                      <w:szCs w:val="21"/>
                    </w:rPr>
                    <w:t>85</w:t>
                  </w:r>
                </w:p>
              </w:tc>
              <w:tc>
                <w:tcPr>
                  <w:tcW w:w="1122" w:type="dxa"/>
                  <w:shd w:val="clear" w:color="auto" w:fill="auto"/>
                  <w:vAlign w:val="center"/>
                </w:tcPr>
                <w:p>
                  <w:pPr>
                    <w:pStyle w:val="36"/>
                    <w:rPr>
                      <w:rFonts w:hint="eastAsia"/>
                      <w:szCs w:val="21"/>
                    </w:rPr>
                  </w:pPr>
                  <w:r>
                    <w:rPr>
                      <w:szCs w:val="21"/>
                    </w:rPr>
                    <w:t>65</w:t>
                  </w:r>
                </w:p>
              </w:tc>
              <w:tc>
                <w:tcPr>
                  <w:tcW w:w="1122" w:type="dxa"/>
                  <w:shd w:val="clear" w:color="auto" w:fill="auto"/>
                  <w:vAlign w:val="center"/>
                </w:tcPr>
                <w:p>
                  <w:pPr>
                    <w:pStyle w:val="36"/>
                    <w:rPr>
                      <w:rFonts w:hint="eastAsia"/>
                      <w:szCs w:val="21"/>
                    </w:rPr>
                  </w:pPr>
                  <w:r>
                    <w:rPr>
                      <w:szCs w:val="21"/>
                    </w:rPr>
                    <w:t>59</w:t>
                  </w:r>
                </w:p>
              </w:tc>
              <w:tc>
                <w:tcPr>
                  <w:tcW w:w="1122" w:type="dxa"/>
                  <w:shd w:val="clear" w:color="auto" w:fill="auto"/>
                  <w:vAlign w:val="center"/>
                </w:tcPr>
                <w:p>
                  <w:pPr>
                    <w:pStyle w:val="36"/>
                    <w:rPr>
                      <w:rFonts w:hint="eastAsia"/>
                      <w:szCs w:val="21"/>
                    </w:rPr>
                  </w:pPr>
                  <w:r>
                    <w:rPr>
                      <w:szCs w:val="21"/>
                    </w:rPr>
                    <w:t>56</w:t>
                  </w:r>
                </w:p>
              </w:tc>
              <w:tc>
                <w:tcPr>
                  <w:tcW w:w="1122" w:type="dxa"/>
                  <w:shd w:val="clear" w:color="auto" w:fill="auto"/>
                  <w:vAlign w:val="center"/>
                </w:tcPr>
                <w:p>
                  <w:pPr>
                    <w:pStyle w:val="36"/>
                    <w:rPr>
                      <w:rFonts w:hint="eastAsia"/>
                      <w:szCs w:val="21"/>
                    </w:rPr>
                  </w:pPr>
                  <w:r>
                    <w:rPr>
                      <w:szCs w:val="21"/>
                    </w:rPr>
                    <w:t>53</w:t>
                  </w:r>
                </w:p>
              </w:tc>
              <w:tc>
                <w:tcPr>
                  <w:tcW w:w="1122" w:type="dxa"/>
                  <w:shd w:val="clear" w:color="auto" w:fill="auto"/>
                  <w:vAlign w:val="center"/>
                </w:tcPr>
                <w:p>
                  <w:pPr>
                    <w:pStyle w:val="36"/>
                    <w:rPr>
                      <w:rFonts w:hint="eastAsia"/>
                      <w:szCs w:val="21"/>
                    </w:rPr>
                  </w:pPr>
                  <w:r>
                    <w:rPr>
                      <w:szCs w:val="21"/>
                    </w:rPr>
                    <w:t>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414" w:type="dxa"/>
                  <w:shd w:val="clear" w:color="auto" w:fill="auto"/>
                  <w:noWrap/>
                  <w:vAlign w:val="center"/>
                </w:tcPr>
                <w:p>
                  <w:pPr>
                    <w:pStyle w:val="36"/>
                    <w:rPr>
                      <w:rFonts w:hint="eastAsia"/>
                    </w:rPr>
                  </w:pPr>
                  <w:r>
                    <w:rPr>
                      <w:rFonts w:hint="eastAsia"/>
                    </w:rPr>
                    <w:t>卷扬机</w:t>
                  </w:r>
                </w:p>
              </w:tc>
              <w:tc>
                <w:tcPr>
                  <w:tcW w:w="1123" w:type="dxa"/>
                  <w:shd w:val="clear" w:color="auto" w:fill="auto"/>
                  <w:vAlign w:val="center"/>
                </w:tcPr>
                <w:p>
                  <w:pPr>
                    <w:pStyle w:val="36"/>
                    <w:rPr>
                      <w:rFonts w:hint="eastAsia"/>
                      <w:szCs w:val="21"/>
                    </w:rPr>
                  </w:pPr>
                  <w:r>
                    <w:rPr>
                      <w:szCs w:val="21"/>
                    </w:rPr>
                    <w:t>75</w:t>
                  </w:r>
                </w:p>
              </w:tc>
              <w:tc>
                <w:tcPr>
                  <w:tcW w:w="1122" w:type="dxa"/>
                  <w:shd w:val="clear" w:color="auto" w:fill="auto"/>
                  <w:vAlign w:val="center"/>
                </w:tcPr>
                <w:p>
                  <w:pPr>
                    <w:pStyle w:val="36"/>
                    <w:rPr>
                      <w:rFonts w:hint="eastAsia"/>
                      <w:szCs w:val="21"/>
                    </w:rPr>
                  </w:pPr>
                  <w:r>
                    <w:rPr>
                      <w:szCs w:val="21"/>
                    </w:rPr>
                    <w:t>45</w:t>
                  </w:r>
                </w:p>
              </w:tc>
              <w:tc>
                <w:tcPr>
                  <w:tcW w:w="1122" w:type="dxa"/>
                  <w:shd w:val="clear" w:color="auto" w:fill="auto"/>
                  <w:vAlign w:val="center"/>
                </w:tcPr>
                <w:p>
                  <w:pPr>
                    <w:pStyle w:val="36"/>
                    <w:rPr>
                      <w:rFonts w:hint="eastAsia"/>
                      <w:szCs w:val="21"/>
                    </w:rPr>
                  </w:pPr>
                  <w:r>
                    <w:rPr>
                      <w:szCs w:val="21"/>
                    </w:rPr>
                    <w:t>39</w:t>
                  </w:r>
                </w:p>
              </w:tc>
              <w:tc>
                <w:tcPr>
                  <w:tcW w:w="1122" w:type="dxa"/>
                  <w:shd w:val="clear" w:color="auto" w:fill="auto"/>
                  <w:vAlign w:val="center"/>
                </w:tcPr>
                <w:p>
                  <w:pPr>
                    <w:pStyle w:val="36"/>
                    <w:rPr>
                      <w:rFonts w:hint="eastAsia"/>
                      <w:szCs w:val="21"/>
                    </w:rPr>
                  </w:pPr>
                  <w:r>
                    <w:rPr>
                      <w:szCs w:val="21"/>
                    </w:rPr>
                    <w:t>36</w:t>
                  </w:r>
                </w:p>
              </w:tc>
              <w:tc>
                <w:tcPr>
                  <w:tcW w:w="1122" w:type="dxa"/>
                  <w:shd w:val="clear" w:color="auto" w:fill="auto"/>
                  <w:vAlign w:val="center"/>
                </w:tcPr>
                <w:p>
                  <w:pPr>
                    <w:pStyle w:val="36"/>
                    <w:rPr>
                      <w:rFonts w:hint="eastAsia"/>
                      <w:szCs w:val="21"/>
                    </w:rPr>
                  </w:pPr>
                  <w:r>
                    <w:rPr>
                      <w:szCs w:val="21"/>
                    </w:rPr>
                    <w:t>33</w:t>
                  </w:r>
                </w:p>
              </w:tc>
              <w:tc>
                <w:tcPr>
                  <w:tcW w:w="1122" w:type="dxa"/>
                  <w:shd w:val="clear" w:color="auto" w:fill="auto"/>
                  <w:vAlign w:val="center"/>
                </w:tcPr>
                <w:p>
                  <w:pPr>
                    <w:pStyle w:val="36"/>
                    <w:rPr>
                      <w:rFonts w:hint="eastAsia"/>
                      <w:szCs w:val="21"/>
                    </w:rPr>
                  </w:pPr>
                  <w:r>
                    <w:rPr>
                      <w:szCs w:val="21"/>
                    </w:rPr>
                    <w:t>30</w:t>
                  </w:r>
                </w:p>
              </w:tc>
            </w:tr>
          </w:tbl>
          <w:p>
            <w:pPr>
              <w:numPr>
                <w:ilvl w:val="1"/>
                <w:numId w:val="0"/>
              </w:numPr>
              <w:tabs>
                <w:tab w:val="left" w:pos="0"/>
              </w:tabs>
              <w:rPr>
                <w:rFonts w:hint="eastAsia" w:eastAsia="等线"/>
                <w:bCs/>
              </w:rPr>
            </w:pPr>
            <w:r>
              <w:rPr>
                <w:bCs/>
                <w:snapToGrid w:val="0"/>
                <w:lang w:bidi="ar"/>
              </w:rPr>
              <w:t>注：</w:t>
            </w:r>
            <w:r>
              <w:rPr>
                <w:rFonts w:eastAsia="Times New Roman"/>
                <w:bCs/>
                <w:snapToGrid w:val="0"/>
                <w:lang w:bidi="ar"/>
              </w:rPr>
              <w:t>5m</w:t>
            </w:r>
            <w:r>
              <w:rPr>
                <w:bCs/>
                <w:snapToGrid w:val="0"/>
                <w:lang w:bidi="ar"/>
              </w:rPr>
              <w:t>处的噪声级为实测值。</w:t>
            </w:r>
          </w:p>
          <w:p>
            <w:pPr>
              <w:spacing w:line="360" w:lineRule="auto"/>
              <w:ind w:firstLine="480" w:firstLineChars="200"/>
              <w:rPr>
                <w:rFonts w:eastAsia="Times New Roman"/>
              </w:rPr>
            </w:pPr>
            <w:r>
              <w:t>根据</w:t>
            </w:r>
            <w:r>
              <w:rPr>
                <w:rFonts w:hint="eastAsia"/>
              </w:rPr>
              <w:t>上</w:t>
            </w:r>
            <w:r>
              <w:t>表的预测噪声结果表明：如果不采取任何噪声控制措施，昼间由于施工机械噪声的影响，在距施工场地</w:t>
            </w:r>
            <w:r>
              <w:rPr>
                <w:rFonts w:hint="eastAsia"/>
              </w:rPr>
              <w:t>10</w:t>
            </w:r>
            <w:r>
              <w:rPr>
                <w:rFonts w:eastAsia="Times New Roman"/>
              </w:rPr>
              <w:t>m</w:t>
            </w:r>
            <w:r>
              <w:t>以外可达到标准限值，夜间不施工。</w:t>
            </w:r>
          </w:p>
          <w:p>
            <w:pPr>
              <w:spacing w:line="360" w:lineRule="auto"/>
              <w:ind w:firstLine="480" w:firstLineChars="200"/>
              <w:rPr>
                <w:rFonts w:eastAsia="Times New Roman"/>
              </w:rPr>
            </w:pPr>
            <w:r>
              <w:t>（4）项目施工期声环境影响</w:t>
            </w:r>
          </w:p>
          <w:p>
            <w:pPr>
              <w:spacing w:line="360" w:lineRule="auto"/>
              <w:ind w:firstLine="480" w:firstLineChars="200"/>
              <w:rPr>
                <w:rFonts w:eastAsia="Times New Roman"/>
              </w:rPr>
            </w:pPr>
            <w:r>
              <w:t>1）施工噪声对敏感点影响</w:t>
            </w:r>
          </w:p>
          <w:p>
            <w:pPr>
              <w:spacing w:line="360" w:lineRule="auto"/>
              <w:ind w:firstLine="480" w:firstLineChars="200"/>
              <w:rPr>
                <w:rFonts w:eastAsia="Times New Roman"/>
              </w:rPr>
            </w:pPr>
            <w:r>
              <w:t>本项目的声敏感点主要</w:t>
            </w:r>
            <w:r>
              <w:rPr>
                <w:rFonts w:hint="eastAsia"/>
              </w:rPr>
              <w:t>是附近居民，</w:t>
            </w:r>
            <w:r>
              <w:t>分布在工程附近50~100m，施工会对沿线居民产生一定的影响；</w:t>
            </w:r>
            <w:r>
              <w:rPr>
                <w:rFonts w:hint="eastAsia"/>
              </w:rPr>
              <w:t>但施工期噪声属于非连续型噪声，且敏感点距项目施工地点较远，噪声经过距离衰减后对敏感的影响较小。</w:t>
            </w:r>
          </w:p>
          <w:p>
            <w:pPr>
              <w:snapToGrid w:val="0"/>
              <w:spacing w:line="360" w:lineRule="auto"/>
              <w:ind w:firstLine="480" w:firstLineChars="200"/>
              <w:rPr>
                <w:rFonts w:hint="eastAsia"/>
              </w:rPr>
            </w:pPr>
            <w:r>
              <w:t>根据噪声源强、噪声预测情况、噪声防治措施等综合分析，施工阶段中基坑支护和基坑开挖（土石方工程）、基坑主体工程阶段高噪声设备较多、时间长，</w:t>
            </w:r>
            <w:r>
              <w:rPr>
                <w:rFonts w:hint="eastAsia"/>
              </w:rPr>
              <w:t>路面拆除作业风镐的使用噪声较大，</w:t>
            </w:r>
            <w:r>
              <w:t>对施工区域周边声环境影响较大。但通过采取减小施工范围、设置隔声围挡、合理安排施工时间等措施后，可最大限度减小噪声影响。</w:t>
            </w:r>
          </w:p>
          <w:p>
            <w:pPr>
              <w:snapToGrid w:val="0"/>
              <w:spacing w:line="360" w:lineRule="auto"/>
              <w:ind w:firstLine="480" w:firstLineChars="200"/>
              <w:rPr>
                <w:rFonts w:hint="eastAsia"/>
              </w:rPr>
            </w:pPr>
            <w:r>
              <w:t>评价认为施工期噪声会对周边环境产生不利影响，但施工噪声影响是暂时的，将随着施工期的结束而消失。环评要求建设单位严格执行施工期噪声防治措施，最大限度减小施工噪声的不利影响。</w:t>
            </w:r>
          </w:p>
          <w:p>
            <w:pPr>
              <w:pStyle w:val="40"/>
              <w:ind w:firstLine="482"/>
              <w:rPr>
                <w:rFonts w:hint="eastAsia"/>
                <w:lang w:val="zh-CN" w:bidi="zh-CN"/>
              </w:rPr>
            </w:pPr>
            <w:r>
              <w:rPr>
                <w:rFonts w:hint="eastAsia"/>
                <w:lang w:bidi="zh-CN"/>
              </w:rPr>
              <w:t>1.5</w:t>
            </w:r>
            <w:r>
              <w:rPr>
                <w:lang w:val="zh-CN" w:bidi="zh-CN"/>
              </w:rPr>
              <w:t>施工期固体废物影响分析</w:t>
            </w:r>
          </w:p>
          <w:p>
            <w:pPr>
              <w:spacing w:line="360" w:lineRule="auto"/>
              <w:ind w:firstLine="480" w:firstLineChars="200"/>
              <w:rPr>
                <w:rFonts w:hint="eastAsia"/>
              </w:rPr>
            </w:pPr>
            <w:r>
              <w:t>本项目施工期间机械设备维修全部委托项目周边维修单位进行检修，因此，本项目不存在废机油、废润滑油、废手套等危废。本项目施工期的固体废物主要为工程开挖土石方，施工过程建筑垃圾及施工人员生活垃圾。</w:t>
            </w:r>
          </w:p>
          <w:p>
            <w:pPr>
              <w:spacing w:line="360" w:lineRule="auto"/>
              <w:ind w:firstLine="480" w:firstLineChars="200"/>
              <w:rPr>
                <w:rFonts w:hint="eastAsia"/>
              </w:rPr>
            </w:pPr>
            <w:r>
              <w:t>废弃建筑垃圾：建筑垃圾能够回收利用的尽量回收利用，不能回收利用的运送指定的建筑垃圾堆场处置，需满足《城市建筑垃圾管理规定》。</w:t>
            </w:r>
          </w:p>
          <w:p>
            <w:pPr>
              <w:spacing w:line="360" w:lineRule="auto"/>
              <w:ind w:firstLine="480" w:firstLineChars="200"/>
              <w:rPr>
                <w:rFonts w:hint="eastAsia"/>
              </w:rPr>
            </w:pPr>
            <w:r>
              <w:t>生活垃圾：施工期间，生活垃圾不得随意丢弃，应定点收集，并实行袋装化，定期交由环卫部门统一处理，“日产日清”。</w:t>
            </w:r>
          </w:p>
          <w:p>
            <w:pPr>
              <w:pStyle w:val="42"/>
              <w:ind w:firstLine="480"/>
            </w:pPr>
            <w:r>
              <w:t>本工程范围及土方开挖量较大，将直接用于基坑回填。若存在多余，剩余弃土采用车辆运往弃渣区域。</w:t>
            </w:r>
          </w:p>
          <w:p>
            <w:pPr>
              <w:spacing w:line="360" w:lineRule="auto"/>
              <w:ind w:firstLine="480" w:firstLineChars="200"/>
              <w:rPr>
                <w:rFonts w:hint="eastAsia"/>
              </w:rPr>
            </w:pPr>
            <w:r>
              <w:rPr>
                <w:rFonts w:hint="eastAsia"/>
              </w:rPr>
              <w:t>施工过程中产生的固体废物要及时清运，严禁将施工过程中产生的固废倾倒进入河道中。施工期固体废弃物排放是暂时的，随着施工的结束而不再增加。通过积极有效的施工管理措施，施工期产生的固体废弃物均可以得到合理处置，不会对环境造成不利影响。</w:t>
            </w:r>
          </w:p>
          <w:p>
            <w:pPr>
              <w:pStyle w:val="40"/>
              <w:ind w:firstLine="482"/>
              <w:rPr>
                <w:rFonts w:hint="eastAsia"/>
              </w:rPr>
            </w:pPr>
            <w:r>
              <w:rPr>
                <w:rFonts w:hint="eastAsia"/>
              </w:rPr>
              <w:t>1.6</w:t>
            </w:r>
            <w:r>
              <w:t>施工期地下水环境影响分析</w:t>
            </w:r>
          </w:p>
          <w:p>
            <w:pPr>
              <w:pStyle w:val="42"/>
              <w:ind w:firstLine="480"/>
              <w:rPr>
                <w:rFonts w:hint="eastAsia"/>
                <w:lang w:val="zh-CN" w:bidi="zh-CN"/>
              </w:rPr>
            </w:pPr>
            <w:r>
              <w:rPr>
                <w:lang w:val="zh-CN" w:bidi="zh-CN"/>
              </w:rPr>
              <w:t>本项目为</w:t>
            </w:r>
            <w:r>
              <w:rPr>
                <w:rFonts w:hint="eastAsia"/>
                <w:lang w:val="zh-CN" w:bidi="zh-CN"/>
              </w:rPr>
              <w:t>排水防涝</w:t>
            </w:r>
            <w:r>
              <w:rPr>
                <w:lang w:val="zh-CN" w:bidi="zh-CN"/>
              </w:rPr>
              <w:t>工程项目，本次地下水环境影响只做简单分析。分析如下：</w:t>
            </w:r>
          </w:p>
          <w:p>
            <w:pPr>
              <w:spacing w:line="360" w:lineRule="auto"/>
              <w:ind w:firstLine="480" w:firstLineChars="200"/>
              <w:rPr>
                <w:rFonts w:hint="eastAsia"/>
              </w:rPr>
            </w:pPr>
            <w:r>
              <w:rPr>
                <w:szCs w:val="22"/>
              </w:rPr>
              <w:t>（1）工程施工对地下水的影响</w:t>
            </w:r>
          </w:p>
          <w:p>
            <w:pPr>
              <w:spacing w:line="360" w:lineRule="auto"/>
              <w:ind w:firstLine="480" w:firstLineChars="200"/>
              <w:rPr>
                <w:rFonts w:hint="eastAsia"/>
              </w:rPr>
            </w:pPr>
            <w:r>
              <w:t>本项目对地下水水位的影响主要来自基坑</w:t>
            </w:r>
            <w:r>
              <w:rPr>
                <w:rFonts w:hint="eastAsia"/>
              </w:rPr>
              <w:t>和道路</w:t>
            </w:r>
            <w:r>
              <w:t>开挖造成的局部地下水损失。本项目设计开挖标高较高，故本项目基本不涉及高填深挖区域。项目建设场地地下水含水层水位埋深较深，基坑</w:t>
            </w:r>
            <w:r>
              <w:rPr>
                <w:rFonts w:hint="eastAsia"/>
              </w:rPr>
              <w:t>和道路</w:t>
            </w:r>
            <w:r>
              <w:t>开挖不会对区域地下水产生影响。另据对区域资料收集分析可知，本项目所在区域不涉及地下水水源保护区，故本项目的施工建设区域对地下水影响较小。</w:t>
            </w:r>
          </w:p>
          <w:p>
            <w:pPr>
              <w:spacing w:line="360" w:lineRule="auto"/>
              <w:ind w:firstLine="480" w:firstLineChars="200"/>
              <w:rPr>
                <w:rFonts w:hint="eastAsia"/>
              </w:rPr>
            </w:pPr>
            <w:r>
              <w:t>（2）施工废弃物对地下水的影响</w:t>
            </w:r>
          </w:p>
          <w:p>
            <w:pPr>
              <w:spacing w:line="360" w:lineRule="auto"/>
              <w:ind w:firstLine="480" w:firstLineChars="200"/>
              <w:rPr>
                <w:rFonts w:hint="eastAsia"/>
              </w:rPr>
            </w:pPr>
            <w:r>
              <w:t>在本项目施工期地下水环境影响源主要为施工机械跑、冒、滴、漏的污油及露天机械被雨水等冲刷后产生油污染，以及施工过程中的各种废物、泥浆等，通过地面渗透影响区域地下水环境水质。</w:t>
            </w:r>
          </w:p>
          <w:p>
            <w:pPr>
              <w:spacing w:line="360" w:lineRule="auto"/>
              <w:ind w:firstLine="480" w:firstLineChars="200"/>
              <w:rPr>
                <w:rFonts w:hint="eastAsia"/>
              </w:rPr>
            </w:pPr>
            <w:r>
              <w:t>堆积的废弃物主要为建筑材料，油污含量一般很低，且易浮于泥浆之上而被带出，因此，在防治得当的情况下，项目施工过程中的油污和各种废料对区域地下水水质的影响较小。</w:t>
            </w:r>
          </w:p>
          <w:p>
            <w:pPr>
              <w:spacing w:line="360" w:lineRule="auto"/>
              <w:ind w:firstLine="480" w:firstLineChars="200"/>
              <w:rPr>
                <w:rFonts w:hint="eastAsia"/>
              </w:rPr>
            </w:pPr>
            <w:r>
              <w:t>本环评建议施工机械设备停放点应进行地面硬化，场地周围应设置简易排水沟，在下雨天对施工机械设备进行油布覆盖，通过采取以上措施后可以有效</w:t>
            </w:r>
            <w:r>
              <w:rPr>
                <w:rFonts w:hint="eastAsia"/>
                <w:lang w:val="en-US" w:eastAsia="zh-CN"/>
              </w:rPr>
              <w:t>地</w:t>
            </w:r>
            <w:r>
              <w:t>防止雨水对设备的冲刷。再加上由于项目施工期有限，本项目建设场地地下水含水层水位埋深较深，故本项目的施工建设不会对地下潜水含水层的水质产生影响。</w:t>
            </w:r>
          </w:p>
          <w:p>
            <w:pPr>
              <w:spacing w:line="360" w:lineRule="auto"/>
              <w:ind w:firstLine="480" w:firstLineChars="200"/>
              <w:rPr>
                <w:rFonts w:hint="eastAsia"/>
                <w:szCs w:val="22"/>
              </w:rPr>
            </w:pPr>
            <w:r>
              <w:t>综上，本项目的建设对区域地下水环境影响较小。</w:t>
            </w:r>
          </w:p>
          <w:p>
            <w:pPr>
              <w:pStyle w:val="40"/>
              <w:ind w:firstLine="482"/>
              <w:rPr>
                <w:rFonts w:hint="eastAsia"/>
              </w:rPr>
            </w:pPr>
            <w:r>
              <w:rPr>
                <w:rFonts w:hint="eastAsia"/>
              </w:rPr>
              <w:t>1.7</w:t>
            </w:r>
            <w:r>
              <w:t>水土流失影响分析</w:t>
            </w:r>
          </w:p>
          <w:p>
            <w:pPr>
              <w:snapToGrid w:val="0"/>
              <w:spacing w:line="360" w:lineRule="auto"/>
              <w:ind w:firstLine="480" w:firstLineChars="200"/>
              <w:rPr>
                <w:rFonts w:hint="eastAsia"/>
              </w:rPr>
            </w:pPr>
            <w:r>
              <w:t>本工程水土流失期主要发生在施工期。在工程的建设过程中，土方开挖、回填等，使裸露面表层结构疏松，植被覆盖度降低，区域内土壤抗侵蚀能力降低，水土流失加剧。</w:t>
            </w:r>
            <w:r>
              <w:rPr>
                <w:rFonts w:hint="eastAsia"/>
              </w:rPr>
              <w:t>回填料</w:t>
            </w:r>
            <w:r>
              <w:t>在临时堆料场的堆放，毁坏地表植被，使原土壤抗冲性、抗蚀性降低，形成加速侵蚀，进一步加剧了侵蚀区水土流失。同时，项目基础工程的开挖会造成临空面积加大，临时侵蚀基准后退，坡度加大，为崩塌、滑坡等重力侵蚀的发生创造了条件。施工开挖的大量弃土、弃石，为水土流失的形成提供了丰富的松散物质源，极易被暴雨洪水搬运进入河流。因而工程建设期是水土流失最严重的时期，也是水土流失防治的重点时期。</w:t>
            </w:r>
          </w:p>
          <w:p>
            <w:pPr>
              <w:snapToGrid w:val="0"/>
              <w:spacing w:line="360" w:lineRule="auto"/>
              <w:ind w:firstLine="480" w:firstLineChars="200"/>
              <w:rPr>
                <w:rFonts w:hint="eastAsia"/>
              </w:rPr>
            </w:pPr>
            <w:r>
              <w:t>工程施工结束后，因施工引起水土流失的各项因素在逐渐消失，地表扰动停止，随着时间的推移，施工区域水土流失达到新的平衡，但植被恢复是一个缓慢的过程，自然恢复期仍有一定量的水土流失。因此，根据施工中不同阶段的自然环境特点和工程特点，对工程建设施工期以及植被恢复期可能产生的水土流失总量和危害性进行预测和分析，采取工程与植物措施结合的手段控制整个工程过程中的水土流失。</w:t>
            </w:r>
          </w:p>
          <w:p>
            <w:pPr>
              <w:pStyle w:val="40"/>
              <w:ind w:firstLine="482"/>
            </w:pPr>
            <w:r>
              <w:rPr>
                <w:rFonts w:hint="eastAsia"/>
              </w:rPr>
              <w:t>1.8工程对水文、泥沙情势的影响分析</w:t>
            </w:r>
          </w:p>
          <w:p>
            <w:pPr>
              <w:pStyle w:val="42"/>
              <w:ind w:firstLine="480"/>
            </w:pPr>
            <w:r>
              <w:rPr>
                <w:rFonts w:hint="eastAsia"/>
              </w:rPr>
              <w:t>结合项目建设工期安排，本项目主体工程在枯水期施工。结合现场地形情况，由于现状涵洞与拟建泄洪涵洞平面线型差距较大，从导流时段、导流流量大小综合分析，采用现有涵洞泄洪，不会造成下游河道脱减水。施工期用水量占来水量的比例极小，不会影响施工区域内的水文情势。因此，施工期过程中，对下游河道水文情势的影响甚微。</w:t>
            </w:r>
          </w:p>
          <w:p>
            <w:pPr>
              <w:pStyle w:val="42"/>
              <w:ind w:firstLine="480"/>
            </w:pPr>
            <w:r>
              <w:rPr>
                <w:rFonts w:hint="eastAsia"/>
              </w:rPr>
              <w:t>在施工过程中，通过加强工程施工管理，减少对施工段两岸堆积物的扰动，加强对料场的管理，杜绝料、渣入河，可以避免施工对下游河道行洪或冲淤的影响。</w:t>
            </w:r>
          </w:p>
          <w:p>
            <w:pPr>
              <w:pStyle w:val="40"/>
              <w:ind w:firstLine="482"/>
            </w:pPr>
            <w:r>
              <w:rPr>
                <w:rFonts w:hint="eastAsia"/>
              </w:rPr>
              <w:t>1.9对蓬溪现场水源的影响分析</w:t>
            </w:r>
          </w:p>
          <w:p>
            <w:pPr>
              <w:pStyle w:val="42"/>
              <w:ind w:firstLine="480"/>
            </w:pPr>
            <w:r>
              <w:rPr>
                <w:rFonts w:hint="eastAsia"/>
              </w:rPr>
              <w:t>本项目水文部分主要是新建泄洪涵洞，收集上游给水及道路沿线雨水，而蓬溪县城用水水源主要来自芝溪河、白鹤林集中供水站等，故本项目不会对蓬溪现场饮用水源的水量、水质产生影响。</w:t>
            </w:r>
          </w:p>
          <w:p>
            <w:pPr>
              <w:pStyle w:val="40"/>
              <w:ind w:firstLine="482"/>
            </w:pPr>
            <w:r>
              <w:rPr>
                <w:rFonts w:hint="eastAsia"/>
                <w:bCs/>
                <w:szCs w:val="21"/>
              </w:rPr>
              <w:t>1.10</w:t>
            </w:r>
            <w:r>
              <w:t>环境风险分析</w:t>
            </w:r>
          </w:p>
          <w:p>
            <w:pPr>
              <w:pStyle w:val="42"/>
              <w:ind w:firstLine="480"/>
            </w:pPr>
            <w:r>
              <w:rPr>
                <w:rFonts w:hint="eastAsia"/>
              </w:rPr>
              <w:t>（1）</w:t>
            </w:r>
            <w:r>
              <w:t>环境风险分析</w:t>
            </w:r>
          </w:p>
          <w:p>
            <w:pPr>
              <w:pStyle w:val="42"/>
              <w:ind w:firstLine="480"/>
            </w:pPr>
            <w:r>
              <w:rPr>
                <w:rFonts w:hint="eastAsia"/>
              </w:rPr>
              <w:t>施工期施工机械使用过程中可能发生油品泄漏，遇到明火可能导致火灾。另外，管理疏忽操作违反规程或失误等原因引起跑、冒、滴、漏等事故的可能性较大,将会对施工区域造成污染。本项目不储存环境风险物质，汽油柴油随用随买，因此Q&lt;1，可开展简单分析。</w:t>
            </w:r>
          </w:p>
          <w:p>
            <w:pPr>
              <w:pStyle w:val="42"/>
              <w:ind w:firstLine="480"/>
            </w:pPr>
            <w:r>
              <w:rPr>
                <w:rFonts w:hint="eastAsia"/>
              </w:rPr>
              <w:t>①泄漏</w:t>
            </w:r>
          </w:p>
          <w:p>
            <w:pPr>
              <w:pStyle w:val="42"/>
              <w:ind w:firstLine="480"/>
            </w:pPr>
            <w:r>
              <w:rPr>
                <w:rFonts w:hint="eastAsia"/>
              </w:rPr>
              <w:t>项目中使用的汽油、柴油，在运输途中可能因翻车、撞车造成柴油泄漏，以及造成对周围设施的污染事故的发生。</w:t>
            </w:r>
          </w:p>
          <w:p>
            <w:pPr>
              <w:pStyle w:val="42"/>
              <w:ind w:firstLine="480"/>
            </w:pPr>
            <w:r>
              <w:rPr>
                <w:rFonts w:hint="eastAsia"/>
              </w:rPr>
              <w:t>（2</w:t>
            </w:r>
            <w:r>
              <w:t>）</w:t>
            </w:r>
            <w:r>
              <w:rPr>
                <w:rFonts w:hint="eastAsia"/>
              </w:rPr>
              <w:t>环境风险防范措施针对本项目可能发生的环境风险，本环评建议还应采取以下环境风险防范措施:</w:t>
            </w:r>
          </w:p>
          <w:p>
            <w:pPr>
              <w:pStyle w:val="42"/>
              <w:ind w:firstLine="480"/>
            </w:pPr>
            <w:r>
              <w:rPr>
                <w:rFonts w:hint="eastAsia"/>
              </w:rPr>
              <w:t>①工程施工过程中，应监督施工单位，使用专用的施工机械，禁止使用改造机械，按规章制度和施工程序进行施工，严禁超载、超速。</w:t>
            </w:r>
          </w:p>
          <w:p>
            <w:pPr>
              <w:pStyle w:val="42"/>
              <w:ind w:firstLine="480"/>
            </w:pPr>
            <w:r>
              <w:rPr>
                <w:rFonts w:hint="eastAsia"/>
              </w:rPr>
              <w:t>②施工工区应设置事故漏油等情况应急设备及相关设施，如吸油毡等吸油材料，事故发生施工人员迅速反应及时进行回收漏油作业，控制泄漏区域。</w:t>
            </w:r>
          </w:p>
          <w:p>
            <w:pPr>
              <w:pStyle w:val="42"/>
              <w:ind w:firstLine="480"/>
            </w:pPr>
            <w:r>
              <w:rPr>
                <w:rFonts w:hint="eastAsia"/>
              </w:rPr>
              <w:t>③施工工区仓库及物料应有专门人员负责管理，及时发现可能引起事故的异常运行苗头，立即采取预防措施消除事故隐患。</w:t>
            </w:r>
          </w:p>
          <w:p>
            <w:pPr>
              <w:pStyle w:val="42"/>
              <w:ind w:firstLine="480"/>
            </w:pPr>
            <w:r>
              <w:rPr>
                <w:rFonts w:hint="eastAsia"/>
              </w:rPr>
              <w:t>④政府有关部门及工程管理机构应加大对工程区的执法力度，加强监督管理，禁止施工生产废水、施工人员生活污水等的随意乱排。</w:t>
            </w:r>
          </w:p>
          <w:p>
            <w:pPr>
              <w:pStyle w:val="42"/>
              <w:ind w:firstLine="480"/>
            </w:pPr>
            <w:r>
              <w:rPr>
                <w:rFonts w:hint="eastAsia"/>
              </w:rPr>
              <w:t>⑤为避免运行期运输事故对项目产生影响,在沿线公路与交叉等地段设置警示标志，提示车辆减速行驶，严禁超车、超速。</w:t>
            </w:r>
          </w:p>
          <w:p>
            <w:pPr>
              <w:pStyle w:val="42"/>
              <w:ind w:firstLine="480"/>
            </w:pPr>
            <w:r>
              <w:rPr>
                <w:rFonts w:hint="eastAsia"/>
              </w:rPr>
              <w:t>⑥加强工程建设期生态保护措施，工程施工设计中应尽量减少影响面积，把破坏程度降至最低。同时在施工完成后，利用本地易于存活的物种对施工区的植被进行恢复。另外，加强对施工人员的环境保护和动物保护意识的宣传教育等。</w:t>
            </w:r>
          </w:p>
          <w:p>
            <w:pPr>
              <w:pStyle w:val="42"/>
              <w:ind w:firstLine="480"/>
            </w:pPr>
            <w:r>
              <w:rPr>
                <w:rFonts w:hint="eastAsia"/>
              </w:rPr>
              <w:t>⑦加强工程周边沿线交通运输管理，避免由于路况影响造成交通隐患。</w:t>
            </w:r>
          </w:p>
          <w:p>
            <w:pPr>
              <w:pStyle w:val="42"/>
              <w:ind w:firstLine="480"/>
            </w:pPr>
            <w:r>
              <w:rPr>
                <w:rFonts w:hint="eastAsia"/>
              </w:rPr>
              <w:t>（3）应急措施</w:t>
            </w:r>
          </w:p>
          <w:p>
            <w:pPr>
              <w:pStyle w:val="42"/>
              <w:ind w:firstLine="480"/>
            </w:pPr>
            <w:r>
              <w:rPr>
                <w:rFonts w:hint="eastAsia"/>
              </w:rPr>
              <w:t>事故应急指挥系统是紧急事故发生后进行事故救援处理的体系,该系统对事故发生后做出迅速反应，及时处理事故，减少事故损失。事故应急指挥系统包括组织机构、通讯联络、人员救护和事故处理、安全管理等方面内容。</w:t>
            </w:r>
          </w:p>
          <w:p>
            <w:pPr>
              <w:pStyle w:val="42"/>
              <w:ind w:firstLine="480"/>
            </w:pPr>
            <w:r>
              <w:rPr>
                <w:rFonts w:hint="eastAsia"/>
              </w:rPr>
              <w:t>①组织体系</w:t>
            </w:r>
          </w:p>
          <w:p>
            <w:pPr>
              <w:pStyle w:val="42"/>
              <w:ind w:firstLine="480"/>
            </w:pPr>
            <w:r>
              <w:rPr>
                <w:rFonts w:hint="eastAsia"/>
              </w:rPr>
              <w:t>工程在施工和运行过程中应成立应急指挥部，明确职责，在遇到如火灾、爆炸、特大洪水灾害和突发性污染事故等情况下做出及时反应。</w:t>
            </w:r>
          </w:p>
          <w:p>
            <w:pPr>
              <w:pStyle w:val="42"/>
              <w:ind w:firstLine="480"/>
            </w:pPr>
            <w:r>
              <w:rPr>
                <w:rFonts w:hint="eastAsia"/>
              </w:rPr>
              <w:t>②通讯联络</w:t>
            </w:r>
          </w:p>
          <w:p>
            <w:pPr>
              <w:pStyle w:val="42"/>
              <w:ind w:firstLine="480"/>
            </w:pPr>
            <w:r>
              <w:rPr>
                <w:rFonts w:hint="eastAsia"/>
              </w:rPr>
              <w:t>在工程施工过程中，建立施工区、社会各救援机构和地方政府之间的通信网络，保证信息畅通，以提高事故发生时的快速反应能力。</w:t>
            </w:r>
          </w:p>
          <w:p>
            <w:pPr>
              <w:pStyle w:val="42"/>
              <w:ind w:firstLine="480"/>
            </w:pPr>
            <w:r>
              <w:rPr>
                <w:rFonts w:hint="eastAsia"/>
              </w:rPr>
              <w:t>③人员救护和事故处理</w:t>
            </w:r>
          </w:p>
          <w:p>
            <w:pPr>
              <w:pStyle w:val="42"/>
              <w:ind w:firstLine="480"/>
            </w:pPr>
            <w:r>
              <w:rPr>
                <w:rFonts w:hint="eastAsia"/>
              </w:rPr>
              <w:t>在遭遇突发事件时，如特大洪水、火灾和爆炸等事件时，应急指挥部与当地政府有关部门密切合作，及时组织力量进行抢救、救护和安全转移。同时做好事故后处理工作，及时转移或保护影响范围内财产。</w:t>
            </w:r>
          </w:p>
          <w:p>
            <w:pPr>
              <w:pStyle w:val="42"/>
              <w:ind w:firstLine="480"/>
            </w:pPr>
            <w:r>
              <w:rPr>
                <w:rFonts w:hint="eastAsia"/>
              </w:rPr>
              <w:t>④安全管理</w:t>
            </w:r>
          </w:p>
          <w:p>
            <w:pPr>
              <w:pStyle w:val="42"/>
              <w:ind w:firstLine="480"/>
            </w:pPr>
            <w:r>
              <w:rPr>
                <w:rFonts w:hint="eastAsia"/>
              </w:rPr>
              <w:t>项目保卫部门负责做好消防安全工作，做好对火源的控制，负责消防安全教育，组织培训消防人员。</w:t>
            </w:r>
          </w:p>
          <w:p>
            <w:pPr>
              <w:pStyle w:val="42"/>
              <w:ind w:firstLine="480"/>
            </w:pPr>
            <w:r>
              <w:rPr>
                <w:rFonts w:hint="eastAsia"/>
              </w:rPr>
              <w:t>综上所述，本项目环境风险影响不大，属于可控范围。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098" w:hRule="atLeast"/>
          <w:jc w:val="center"/>
        </w:trPr>
        <w:tc>
          <w:tcPr>
            <w:tcW w:w="879" w:type="dxa"/>
            <w:tcMar>
              <w:left w:w="28" w:type="dxa"/>
              <w:right w:w="28" w:type="dxa"/>
            </w:tcMar>
            <w:vAlign w:val="center"/>
          </w:tcPr>
          <w:p>
            <w:pPr>
              <w:pStyle w:val="13"/>
              <w:adjustRightInd w:val="0"/>
              <w:snapToGrid w:val="0"/>
              <w:spacing w:before="0" w:beforeAutospacing="0" w:after="0" w:afterAutospacing="0"/>
              <w:jc w:val="center"/>
              <w:rPr>
                <w:rFonts w:hint="eastAsia"/>
                <w:bCs/>
                <w:kern w:val="2"/>
              </w:rPr>
            </w:pPr>
            <w:r>
              <w:rPr>
                <w:rFonts w:hint="eastAsia"/>
                <w:bCs/>
                <w:spacing w:val="10"/>
                <w:kern w:val="2"/>
              </w:rPr>
              <w:t>运营期生态环境影响分析</w:t>
            </w:r>
          </w:p>
        </w:tc>
        <w:tc>
          <w:tcPr>
            <w:tcW w:w="8363" w:type="dxa"/>
          </w:tcPr>
          <w:p>
            <w:pPr>
              <w:pStyle w:val="42"/>
              <w:ind w:firstLine="480"/>
            </w:pPr>
            <w:r>
              <w:rPr>
                <w:rFonts w:hint="eastAsia"/>
              </w:rPr>
              <w:t>本项目建设河湖治理设施工程，属于非污染型项目，营运期间不产污。本项目</w:t>
            </w:r>
            <w:r>
              <w:t>不仅可以改善区域内环境质量，为后期城市建设的打造提供基础保障，更重要的是增加城市吸引力，带动旅游，促进招商引资，对蓬溪</w:t>
            </w:r>
            <w:r>
              <w:rPr>
                <w:rFonts w:hint="eastAsia"/>
                <w:lang w:val="en-US" w:eastAsia="zh-CN"/>
              </w:rPr>
              <w:t>县</w:t>
            </w:r>
            <w:r>
              <w:t>经济发展有着重要意义。</w:t>
            </w:r>
          </w:p>
          <w:p>
            <w:pPr>
              <w:pStyle w:val="42"/>
              <w:ind w:firstLine="480"/>
            </w:pPr>
            <w:r>
              <w:t>本项目实施后，可解决规划区块排洪问题，提升规划区块经济效益和生态效益。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31" w:hRule="atLeast"/>
          <w:jc w:val="center"/>
        </w:trPr>
        <w:tc>
          <w:tcPr>
            <w:tcW w:w="879" w:type="dxa"/>
            <w:vAlign w:val="center"/>
          </w:tcPr>
          <w:p>
            <w:pPr>
              <w:pStyle w:val="13"/>
              <w:adjustRightInd w:val="0"/>
              <w:snapToGrid w:val="0"/>
              <w:spacing w:before="0" w:beforeAutospacing="0" w:after="0" w:afterAutospacing="0"/>
              <w:jc w:val="center"/>
              <w:rPr>
                <w:rFonts w:hint="eastAsia"/>
                <w:bCs/>
                <w:kern w:val="2"/>
              </w:rPr>
            </w:pPr>
            <w:r>
              <w:rPr>
                <w:rFonts w:hint="eastAsia"/>
                <w:bCs/>
                <w:kern w:val="2"/>
              </w:rPr>
              <w:t>选址选线环境合理性分析</w:t>
            </w:r>
          </w:p>
        </w:tc>
        <w:tc>
          <w:tcPr>
            <w:tcW w:w="8363" w:type="dxa"/>
          </w:tcPr>
          <w:p>
            <w:pPr>
              <w:pStyle w:val="40"/>
              <w:ind w:firstLine="474"/>
              <w:rPr>
                <w:rFonts w:hint="eastAsia"/>
              </w:rPr>
            </w:pPr>
            <w:r>
              <w:rPr>
                <w:rFonts w:eastAsia="Times New Roman"/>
                <w:spacing w:val="-2"/>
              </w:rPr>
              <w:t>1</w:t>
            </w:r>
            <w:r>
              <w:t>、环境制约因素</w:t>
            </w:r>
          </w:p>
          <w:p>
            <w:pPr>
              <w:pStyle w:val="42"/>
              <w:ind w:firstLine="480"/>
              <w:rPr>
                <w:rFonts w:hint="eastAsia"/>
              </w:rPr>
            </w:pPr>
            <w:r>
              <w:t>本项目为</w:t>
            </w:r>
            <w:r>
              <w:rPr>
                <w:rFonts w:hint="eastAsia"/>
              </w:rPr>
              <w:t>河湖整治与防洪除涝</w:t>
            </w:r>
            <w:r>
              <w:t xml:space="preserve">项目，不涉及新建，工程 </w:t>
            </w:r>
            <w:r>
              <w:rPr>
                <w:rFonts w:eastAsia="Times New Roman"/>
              </w:rPr>
              <w:t xml:space="preserve">50m </w:t>
            </w:r>
            <w:r>
              <w:t>范围内</w:t>
            </w:r>
            <w:r>
              <w:rPr>
                <w:rFonts w:hint="eastAsia"/>
              </w:rPr>
              <w:t>不</w:t>
            </w:r>
            <w:r>
              <w:t>存在居民区，通</w:t>
            </w:r>
            <w:r>
              <w:rPr>
                <w:spacing w:val="-2"/>
              </w:rPr>
              <w:t>过加强施工期环境管理，有效降低对环境敏感区的影响。</w:t>
            </w:r>
          </w:p>
          <w:p>
            <w:pPr>
              <w:pStyle w:val="40"/>
              <w:ind w:firstLine="474"/>
              <w:rPr>
                <w:rFonts w:hint="eastAsia"/>
              </w:rPr>
            </w:pPr>
            <w:r>
              <w:rPr>
                <w:rFonts w:eastAsia="Times New Roman"/>
                <w:spacing w:val="-2"/>
              </w:rPr>
              <w:t>2</w:t>
            </w:r>
            <w:r>
              <w:t>、环境影响程度</w:t>
            </w:r>
          </w:p>
          <w:p>
            <w:pPr>
              <w:pStyle w:val="42"/>
              <w:ind w:firstLine="480"/>
              <w:rPr>
                <w:rFonts w:hint="eastAsia"/>
              </w:rPr>
            </w:pPr>
            <w:r>
              <w:t>根据前述环境影响分析，采取相应措施后，项目对大气、地表水、噪声、生态环境影响较小，项目选址合理。</w:t>
            </w:r>
          </w:p>
          <w:p>
            <w:pPr>
              <w:pStyle w:val="40"/>
              <w:ind w:firstLine="482"/>
            </w:pPr>
            <w:r>
              <w:t>3、工程选址及选线</w:t>
            </w:r>
          </w:p>
          <w:p>
            <w:pPr>
              <w:pStyle w:val="42"/>
              <w:ind w:firstLine="480"/>
            </w:pPr>
            <w:r>
              <w:t>项目选址属于规划固定位置，根据河道流向布置，项目河段不涉及饮用</w:t>
            </w:r>
            <w:r>
              <w:rPr>
                <w:spacing w:val="-9"/>
              </w:rPr>
              <w:t>水水源保护区、鱼类等水生生物的洄游通道及</w:t>
            </w:r>
            <w:r>
              <w:rPr>
                <w:rFonts w:eastAsia="Times New Roman"/>
              </w:rPr>
              <w:t>“</w:t>
            </w:r>
            <w:r>
              <w:t>三场</w:t>
            </w:r>
            <w:r>
              <w:rPr>
                <w:rFonts w:eastAsia="Times New Roman"/>
              </w:rPr>
              <w:t>”</w:t>
            </w:r>
            <w:r>
              <w:t>，项目用地范围不涉及生态保护红线，不涉及整合前的自然保护地。工程不涉及新增占地，不占用基本农田</w:t>
            </w:r>
            <w:r>
              <w:rPr>
                <w:rFonts w:hint="eastAsia"/>
              </w:rPr>
              <w:t>。</w:t>
            </w:r>
          </w:p>
          <w:p>
            <w:pPr>
              <w:pStyle w:val="42"/>
              <w:ind w:firstLine="480"/>
            </w:pPr>
            <w:r>
              <w:rPr>
                <w:rFonts w:hint="eastAsia"/>
              </w:rPr>
              <w:t>本次现状管网修复工程分布在60m大街、迎宾大道片区、蜀北下路、客运站片区、蜀北中路、普宁街、上游片区、普安大道周边道路等区域，均为城区多年积水严重区域，通过本项目的实施，不仅可以缓解城区排水不畅，还提高了排水防涝能力，改善区域水域及陆域生态环境。</w:t>
            </w:r>
          </w:p>
          <w:p>
            <w:pPr>
              <w:pStyle w:val="42"/>
              <w:ind w:firstLine="480"/>
            </w:pPr>
            <w:r>
              <w:t>本项目临时工程选址均位于工程段用地红线内，均设置在尽量远离环境敏感点的位置。施工期结束后临时工程地块恢复为原占地类型。</w:t>
            </w:r>
          </w:p>
          <w:p>
            <w:pPr>
              <w:pStyle w:val="42"/>
              <w:ind w:firstLine="472"/>
              <w:rPr>
                <w:rFonts w:hint="eastAsia" w:ascii="宋体" w:hAnsi="宋体"/>
                <w:szCs w:val="22"/>
              </w:rPr>
            </w:pPr>
            <w:r>
              <w:rPr>
                <w:rFonts w:ascii="宋体" w:hAnsi="宋体"/>
                <w:spacing w:val="-2"/>
                <w:szCs w:val="22"/>
              </w:rPr>
              <w:t>综上所述，本项目为</w:t>
            </w:r>
            <w:r>
              <w:rPr>
                <w:rFonts w:hint="eastAsia" w:ascii="宋体" w:hAnsi="宋体"/>
                <w:spacing w:val="-2"/>
                <w:szCs w:val="22"/>
              </w:rPr>
              <w:t>河湖整治与防洪除涝</w:t>
            </w:r>
            <w:r>
              <w:rPr>
                <w:rFonts w:ascii="宋体" w:hAnsi="宋体"/>
                <w:spacing w:val="-2"/>
                <w:szCs w:val="22"/>
              </w:rPr>
              <w:t>项目，符合国家产业政策。施工临时占地均在本项目红线范围内，临时工程不涉及占用生态保护红线。项目所在区域交通便捷，施工场区合理布局，落实各项污染防治和生态保护措施后，项目污染物</w:t>
            </w:r>
            <w:r>
              <w:rPr>
                <w:rFonts w:ascii="宋体" w:hAnsi="宋体"/>
                <w:spacing w:val="-3"/>
                <w:szCs w:val="22"/>
              </w:rPr>
              <w:t>能实现达标排放，对周边环境及敏感目标影响较小。因此，评价认为拟建项目</w:t>
            </w:r>
            <w:r>
              <w:rPr>
                <w:rFonts w:ascii="宋体" w:hAnsi="宋体"/>
                <w:spacing w:val="-2"/>
                <w:szCs w:val="22"/>
              </w:rPr>
              <w:t>选址可行。</w:t>
            </w:r>
          </w:p>
        </w:tc>
      </w:tr>
    </w:tbl>
    <w:p>
      <w:pPr>
        <w:pStyle w:val="13"/>
        <w:ind w:firstLine="720"/>
        <w:jc w:val="center"/>
        <w:rPr>
          <w:rFonts w:hint="eastAsia" w:ascii="黑体" w:hAnsi="黑体" w:eastAsia="黑体"/>
          <w:snapToGrid w:val="0"/>
          <w:sz w:val="36"/>
          <w:szCs w:val="36"/>
        </w:rPr>
        <w:sectPr>
          <w:pgSz w:w="11906" w:h="16838"/>
          <w:pgMar w:top="1440" w:right="1800" w:bottom="1440" w:left="1800" w:header="851" w:footer="1077" w:gutter="0"/>
          <w:cols w:space="720" w:num="1"/>
          <w:docGrid w:linePitch="312" w:charSpace="0"/>
        </w:sectPr>
      </w:pPr>
    </w:p>
    <w:p>
      <w:pPr>
        <w:pStyle w:val="13"/>
        <w:ind w:firstLine="600"/>
        <w:jc w:val="center"/>
        <w:outlineLvl w:val="0"/>
        <w:rPr>
          <w:rFonts w:hint="eastAsia" w:ascii="黑体" w:hAnsi="黑体" w:eastAsia="黑体"/>
          <w:snapToGrid w:val="0"/>
          <w:sz w:val="30"/>
          <w:szCs w:val="30"/>
        </w:rPr>
      </w:pPr>
      <w:r>
        <w:rPr>
          <w:rFonts w:hint="eastAsia" w:ascii="黑体" w:hAnsi="黑体" w:eastAsia="黑体"/>
          <w:snapToGrid w:val="0"/>
          <w:sz w:val="30"/>
          <w:szCs w:val="30"/>
        </w:rPr>
        <w:t>五、主要生态环境保护措施</w:t>
      </w:r>
    </w:p>
    <w:tbl>
      <w:tblPr>
        <w:tblStyle w:val="15"/>
        <w:tblW w:w="921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53"/>
        <w:gridCol w:w="84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782" w:hRule="atLeast"/>
          <w:jc w:val="center"/>
        </w:trPr>
        <w:tc>
          <w:tcPr>
            <w:tcW w:w="753" w:type="dxa"/>
            <w:tcMar>
              <w:left w:w="28" w:type="dxa"/>
              <w:right w:w="28" w:type="dxa"/>
            </w:tcMar>
            <w:vAlign w:val="center"/>
          </w:tcPr>
          <w:p>
            <w:pPr>
              <w:adjustRightInd w:val="0"/>
              <w:snapToGrid w:val="0"/>
              <w:jc w:val="center"/>
              <w:rPr>
                <w:rFonts w:hint="eastAsia"/>
                <w:bCs/>
              </w:rPr>
            </w:pPr>
            <w:r>
              <w:rPr>
                <w:rFonts w:hint="eastAsia"/>
                <w:bCs/>
                <w:spacing w:val="10"/>
              </w:rPr>
              <w:t>施工期生态环境保护措施</w:t>
            </w:r>
          </w:p>
        </w:tc>
        <w:tc>
          <w:tcPr>
            <w:tcW w:w="8457" w:type="dxa"/>
          </w:tcPr>
          <w:p>
            <w:pPr>
              <w:pStyle w:val="40"/>
              <w:ind w:firstLine="482"/>
            </w:pPr>
            <w:r>
              <w:rPr>
                <w:rFonts w:hint="eastAsia"/>
              </w:rPr>
              <w:t>1、生态环境保护措施</w:t>
            </w:r>
          </w:p>
          <w:p>
            <w:pPr>
              <w:pStyle w:val="40"/>
              <w:ind w:firstLine="482"/>
            </w:pPr>
            <w:r>
              <w:rPr>
                <w:rFonts w:hint="eastAsia"/>
              </w:rPr>
              <w:t>1.1 陆生生态保护措施</w:t>
            </w:r>
          </w:p>
          <w:p>
            <w:pPr>
              <w:pStyle w:val="40"/>
              <w:ind w:firstLine="482"/>
            </w:pPr>
            <w:r>
              <w:rPr>
                <w:rFonts w:hint="eastAsia"/>
              </w:rPr>
              <w:t>1.1.1陆生植物保护措施</w:t>
            </w:r>
          </w:p>
          <w:p>
            <w:pPr>
              <w:pStyle w:val="42"/>
              <w:ind w:firstLine="480"/>
            </w:pPr>
            <w:r>
              <w:rPr>
                <w:rFonts w:hint="eastAsia"/>
              </w:rPr>
              <w:t>根据现场踏勘及相关资料查阅，本项目临时占地范围内植被均为常见的普通植物，无珍稀保护植物，且植被覆盖率较低，多为草类。项目施工期进行土石方开挖时必然会破坏地表植被。为降低施工开挖对植物造成的影响，加强工程区的植被恢复与绿地建设，本项措施与工程水土保持方案工程措施和植物工程措施相结合，对主要建筑物周边、施工临时占地进行植被恢复，采用当地乡土植被植物，不引入外来物种，恢复植物密度、种植比例要达到工程建设前的程度。不能恢复的工程占用部分就近选择适宜的绿化措施，按照总量平衡的原则使建设区绿化覆盖率不因工程的建设而降低，并在原有基础上略有增加，提高其原有生态功能。</w:t>
            </w:r>
          </w:p>
          <w:p>
            <w:pPr>
              <w:pStyle w:val="40"/>
              <w:ind w:firstLine="482"/>
            </w:pPr>
            <w:r>
              <w:rPr>
                <w:rFonts w:hint="eastAsia"/>
              </w:rPr>
              <w:t>1.1.2 陆生动物保护措施</w:t>
            </w:r>
          </w:p>
          <w:p>
            <w:pPr>
              <w:pStyle w:val="42"/>
              <w:ind w:firstLine="480"/>
            </w:pPr>
            <w:r>
              <w:rPr>
                <w:rFonts w:hint="eastAsia"/>
              </w:rPr>
              <w:t>本项目所在区域人类活动较为频繁，基本不存在大型的动物及珍稀野生动物。施工临时占地会对地表及地下浅层的小型动物受到影响。施工期间施工作业产生的噪声和粉尘、生产生活产生的废弃物和污水以及人为活动干扰引起生态环境的变化，影响小动物的正常栖息，改变其正常生物节律，会造成评价区动物生境的影响，甚至影响其正常繁衍，从而对项目占地区附近的小动物的生存产生一定影响，迫使动物迁往附近区域活动。施工期对项目评价区动物种类、数量和分布产生一定影响。</w:t>
            </w:r>
          </w:p>
          <w:p>
            <w:pPr>
              <w:pStyle w:val="40"/>
              <w:ind w:firstLine="482"/>
            </w:pPr>
            <w:r>
              <w:rPr>
                <w:rFonts w:hint="eastAsia"/>
              </w:rPr>
              <w:t>治理措施:</w:t>
            </w:r>
          </w:p>
          <w:p>
            <w:pPr>
              <w:pStyle w:val="40"/>
              <w:ind w:firstLine="482"/>
            </w:pPr>
            <w:r>
              <w:rPr>
                <w:rFonts w:hint="eastAsia"/>
              </w:rPr>
              <w:t>动物:加强对现有植被的保护，避免造成新的水土流失区。对工程废物进行快速处理，防止对环境造成污染，造成对小动物本身环境的破坏和污染，加大对施工人员的监管力度，禁止他们对野生动物的捕杀。</w:t>
            </w:r>
          </w:p>
          <w:p>
            <w:pPr>
              <w:pStyle w:val="40"/>
              <w:ind w:firstLine="482"/>
            </w:pPr>
            <w:r>
              <w:rPr>
                <w:rFonts w:hint="eastAsia"/>
              </w:rPr>
              <w:t>鸟类:由于鸟类有较强扩散能力，项目的施工将使它们迁移到别处，工程完工后周边鸟类会随着生态环境的改善而迁回。为保护当地鸟类生物多样性，本项目采取的保护对策如下:</w:t>
            </w:r>
          </w:p>
          <w:p>
            <w:pPr>
              <w:pStyle w:val="40"/>
              <w:ind w:firstLine="482"/>
            </w:pPr>
            <w:r>
              <w:rPr>
                <w:rFonts w:hint="eastAsia"/>
              </w:rPr>
              <w:t>（1）尽量减少施工对植被的破坏，保证施工后植被的恢复。</w:t>
            </w:r>
          </w:p>
          <w:p>
            <w:pPr>
              <w:pStyle w:val="40"/>
              <w:ind w:firstLine="482"/>
            </w:pPr>
            <w:r>
              <w:rPr>
                <w:rFonts w:hint="eastAsia"/>
              </w:rPr>
              <w:t>（2）保护区域鸟类资源，禁止捕杀鸟类。</w:t>
            </w:r>
          </w:p>
          <w:p>
            <w:pPr>
              <w:pStyle w:val="40"/>
              <w:ind w:firstLine="482"/>
            </w:pPr>
            <w:r>
              <w:rPr>
                <w:rFonts w:hint="eastAsia"/>
              </w:rPr>
              <w:t>（3）应加强植被恢复，保持水土，促进河道周边和其他植物群落的发展。使鸟类的种群数量得到较大的增长，同时还应采取措施，保护、招引有益鸟类。</w:t>
            </w:r>
          </w:p>
          <w:p>
            <w:pPr>
              <w:pStyle w:val="40"/>
              <w:ind w:firstLine="482"/>
            </w:pPr>
            <w:r>
              <w:rPr>
                <w:rFonts w:hint="eastAsia"/>
              </w:rPr>
              <w:t>1.2 水生生态保护措施</w:t>
            </w:r>
          </w:p>
          <w:p>
            <w:pPr>
              <w:pStyle w:val="42"/>
              <w:ind w:firstLine="480"/>
            </w:pPr>
            <w:r>
              <w:rPr>
                <w:rFonts w:hint="eastAsia"/>
              </w:rPr>
              <w:t>本项目不涉及重要水生生物的自然产卵场、索饵场、越冬场和洄游通道，项目建设区域及下游无国家级及省级重点保护珍稀鱼类等水生生物。</w:t>
            </w:r>
          </w:p>
          <w:p>
            <w:pPr>
              <w:pStyle w:val="42"/>
              <w:ind w:firstLine="480"/>
            </w:pPr>
            <w:r>
              <w:rPr>
                <w:rFonts w:hint="eastAsia"/>
              </w:rPr>
              <w:t>项目施工选择在枯水期，流量小，采用围堰导流后，对河道的扰动范围较小，施工扰动扩散程度和扰动范围相对较小，不会对河道整体造成影响，仅对局部施工段水质影响明显，悬浮物会随着河水运动的同时沉降在河底，影响范围有限，会随着工程施工结束而消失。本项目水生生态保护措施如下：</w:t>
            </w:r>
          </w:p>
          <w:p>
            <w:pPr>
              <w:pStyle w:val="42"/>
              <w:ind w:firstLine="480"/>
            </w:pPr>
            <w:r>
              <w:rPr>
                <w:rFonts w:hint="eastAsia"/>
              </w:rPr>
              <w:t>①施工期生活垃圾不得随意排入水体，生活污水禁排。生活垃圾集中分类收集，交环卫部门处理。</w:t>
            </w:r>
          </w:p>
          <w:p>
            <w:pPr>
              <w:pStyle w:val="42"/>
              <w:ind w:firstLine="480"/>
            </w:pPr>
            <w:r>
              <w:rPr>
                <w:rFonts w:hint="eastAsia"/>
              </w:rPr>
              <w:t>②严格控制施工行为，准确定位水下作业地点与范围，尽量减少对水生生境的干扰。在水下施工时，禁止将污水、垃圾等污染物抛入水体，应收集后和工地上的污染物一并处理。</w:t>
            </w:r>
          </w:p>
          <w:p>
            <w:pPr>
              <w:pStyle w:val="42"/>
              <w:ind w:firstLine="480"/>
            </w:pPr>
            <w:r>
              <w:rPr>
                <w:rFonts w:hint="eastAsia"/>
              </w:rPr>
              <w:t>③堤坝和闸坝工程的工程应尽量安排在旱季，且时间尽可能较短，以减少施工过程可能对水体造成的不利影响:</w:t>
            </w:r>
          </w:p>
          <w:p>
            <w:pPr>
              <w:pStyle w:val="40"/>
              <w:ind w:firstLine="482"/>
            </w:pPr>
            <w:r>
              <w:rPr>
                <w:rFonts w:hint="eastAsia"/>
              </w:rPr>
              <w:t>1.3 景观影响减缓措施</w:t>
            </w:r>
          </w:p>
          <w:p>
            <w:pPr>
              <w:pStyle w:val="42"/>
              <w:ind w:firstLine="480"/>
            </w:pPr>
            <w:r>
              <w:rPr>
                <w:rFonts w:hint="eastAsia"/>
              </w:rPr>
              <w:t>（1）通过认真学习各类法律法规，提高管理人员和施工人员的环保意识，禁止违法破坏砍伐河道沿线的草地及灌丛。临时性堆土要严格在规定的区域内堆放，禁止乱堆乱弃，破坏景观，临时施工场地使用结束后，应及时清理，清除垃圾，平整地面，尽快恢复原有地貌和植被，以达到与周边自然景观的协调和谐，减小或消除对景观的视觉污染。</w:t>
            </w:r>
          </w:p>
          <w:p>
            <w:pPr>
              <w:pStyle w:val="42"/>
              <w:ind w:firstLine="480"/>
            </w:pPr>
            <w:r>
              <w:rPr>
                <w:rFonts w:hint="eastAsia"/>
              </w:rPr>
              <w:t>（2）做好项目施工生产生活废水收集工作，禁止生产生活废水乱排造成区域出现污水横流现象。</w:t>
            </w:r>
          </w:p>
          <w:p>
            <w:pPr>
              <w:pStyle w:val="40"/>
              <w:ind w:firstLine="482"/>
            </w:pPr>
            <w:r>
              <w:rPr>
                <w:rFonts w:hint="eastAsia"/>
              </w:rPr>
              <w:t>1.4 水土保持措施</w:t>
            </w:r>
          </w:p>
          <w:p>
            <w:pPr>
              <w:pStyle w:val="40"/>
              <w:ind w:firstLine="482"/>
            </w:pPr>
            <w:r>
              <w:rPr>
                <w:rFonts w:hint="eastAsia"/>
              </w:rPr>
              <w:t>（1）施工临时设施区水土保持措施</w:t>
            </w:r>
          </w:p>
          <w:p>
            <w:pPr>
              <w:pStyle w:val="42"/>
              <w:ind w:firstLine="480"/>
            </w:pPr>
            <w:r>
              <w:rPr>
                <w:rFonts w:hint="eastAsia"/>
              </w:rPr>
              <w:t>本工程施工区内的施工临时设施区主要有：施工作业区和施工场地。为减少占地范围内的水土流失，结合各施工点扰动地表的特点，主体工程采取管理措施与水土保持措施进行综合防治。</w:t>
            </w:r>
          </w:p>
          <w:p>
            <w:pPr>
              <w:pStyle w:val="42"/>
              <w:ind w:firstLine="480"/>
            </w:pPr>
            <w:r>
              <w:rPr>
                <w:rFonts w:hint="eastAsia"/>
              </w:rPr>
              <w:t>施工作业区包括沟渠整治区建设区。施工作业区水土流失主要是弃渣和施工占压表面。施工场地区以租用就近民房为主，不新增占地。施工场地包括拌和场、材料堆场、设备停放场。</w:t>
            </w:r>
          </w:p>
          <w:p>
            <w:pPr>
              <w:pStyle w:val="42"/>
              <w:ind w:firstLine="480"/>
            </w:pPr>
            <w:r>
              <w:rPr>
                <w:rFonts w:hint="eastAsia"/>
              </w:rPr>
              <w:t>为防止施工过程中及施工结束后水土流失对周边造成的不利影响，本方案主要提出施工作业区及施工场地区临时堆场的防护、处理和对施工完毕和对占压地表面的翻土、绿化等措施。</w:t>
            </w:r>
          </w:p>
          <w:p>
            <w:pPr>
              <w:pStyle w:val="42"/>
              <w:ind w:firstLine="480"/>
            </w:pP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rPr>
              <w:t>临时堆场及防护措施</w:t>
            </w:r>
          </w:p>
          <w:p>
            <w:pPr>
              <w:pStyle w:val="42"/>
              <w:ind w:firstLine="480"/>
            </w:pPr>
            <w:r>
              <w:rPr>
                <w:rFonts w:hint="eastAsia"/>
              </w:rPr>
              <w:t>为了减少土石方堆放对周围的影响，在施工过程中，对开挖的土石方临时堆放在单个的施工作业区内，临时堆场采用无纺布覆盖，编织土袋临时拦挡，施工结束后将工程剩余的弃方采取就地利用，作为工程开挖区回填土利用，表面进行迹地恢复。</w:t>
            </w:r>
          </w:p>
          <w:p>
            <w:pPr>
              <w:pStyle w:val="42"/>
              <w:ind w:firstLine="480"/>
            </w:pP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临时排水</w:t>
            </w:r>
          </w:p>
          <w:p>
            <w:pPr>
              <w:pStyle w:val="42"/>
              <w:ind w:firstLine="480"/>
            </w:pPr>
            <w:r>
              <w:rPr>
                <w:rFonts w:hint="eastAsia"/>
              </w:rPr>
              <w:t>为了防止坡面雨水对临时堆场产生影响，考虑在临时堆场上边坡设置临时排水沟拦截周边来水，将其排入附近沟道中，因为排水沟为临时措施，后期还需填埋，故采用排水沟采用土沟型式，梯形断面：上口宽0.6m、下底宽0.3m、高0.3m，坡比1：1。排水沟出口处设置沉砂池使汇水在池中流速减缓、沉淀泥沙，沉砂池不进行衬砌，尺寸如下：容积2m</w:t>
            </w:r>
            <w:r>
              <w:rPr>
                <w:rFonts w:hint="eastAsia"/>
                <w:vertAlign w:val="superscript"/>
              </w:rPr>
              <w:t>3</w:t>
            </w:r>
            <w:r>
              <w:rPr>
                <w:rFonts w:hint="eastAsia"/>
              </w:rPr>
              <w:t>，长×宽×高=2×1×1 m</w:t>
            </w:r>
            <w:r>
              <w:rPr>
                <w:rFonts w:hint="eastAsia"/>
                <w:vertAlign w:val="superscript"/>
              </w:rPr>
              <w:t>3</w:t>
            </w:r>
            <w:r>
              <w:rPr>
                <w:rFonts w:hint="eastAsia"/>
              </w:rPr>
              <w:t>。沉砂池两端分别连接排水沟，经沉砂池过滤后的排出水就近排入附近的自然冲沟或排灌系统，保证场内排水畅通。</w:t>
            </w:r>
          </w:p>
          <w:p>
            <w:pPr>
              <w:pStyle w:val="42"/>
              <w:ind w:firstLine="480"/>
            </w:pPr>
            <w:r>
              <w:fldChar w:fldCharType="begin"/>
            </w:r>
            <w:r>
              <w:instrText xml:space="preserve"> </w:instrText>
            </w:r>
            <w:r>
              <w:rPr>
                <w:rFonts w:hint="eastAsia"/>
              </w:rPr>
              <w:instrText xml:space="preserve">= 3 \* GB3</w:instrText>
            </w:r>
            <w:r>
              <w:instrText xml:space="preserve"> </w:instrText>
            </w:r>
            <w:r>
              <w:fldChar w:fldCharType="separate"/>
            </w:r>
            <w:r>
              <w:rPr>
                <w:rFonts w:hint="eastAsia"/>
              </w:rPr>
              <w:t>③</w:t>
            </w:r>
            <w:r>
              <w:fldChar w:fldCharType="end"/>
            </w:r>
            <w:r>
              <w:rPr>
                <w:rFonts w:hint="eastAsia"/>
              </w:rPr>
              <w:t>施工作业区的翻土、复耕（绿化）措施</w:t>
            </w:r>
          </w:p>
          <w:p>
            <w:pPr>
              <w:pStyle w:val="42"/>
              <w:ind w:firstLine="480"/>
            </w:pPr>
            <w:r>
              <w:rPr>
                <w:rFonts w:hint="eastAsia"/>
              </w:rPr>
              <w:t>施工完毕后，需将施工作业区占用的地面进行翻土，对于河道工程区占地类型为旱地的在施工结束后进行恢复，为有林地等的进行植被恢复。</w:t>
            </w:r>
          </w:p>
          <w:p>
            <w:pPr>
              <w:pStyle w:val="40"/>
              <w:ind w:firstLine="482"/>
            </w:pPr>
            <w:r>
              <w:rPr>
                <w:rFonts w:hint="eastAsia"/>
              </w:rPr>
              <w:t>（2）施工便道防治区</w:t>
            </w:r>
          </w:p>
          <w:p>
            <w:pPr>
              <w:pStyle w:val="42"/>
              <w:ind w:firstLine="480"/>
            </w:pPr>
            <w:r>
              <w:rPr>
                <w:rFonts w:hint="eastAsia"/>
              </w:rPr>
              <w:t>新建施工便道在施工前首先清除地表的树根等杂物，并根据工程需要对场地用压路机进行压实。在施工结束后，对临时施工道路进行翻土、绿化。</w:t>
            </w:r>
          </w:p>
          <w:p>
            <w:pPr>
              <w:pStyle w:val="42"/>
              <w:ind w:firstLine="480"/>
            </w:pPr>
            <w:r>
              <w:rPr>
                <w:rFonts w:hint="eastAsia"/>
              </w:rPr>
              <w:t>① 施工便道临时排水</w:t>
            </w:r>
          </w:p>
          <w:p>
            <w:pPr>
              <w:pStyle w:val="42"/>
              <w:ind w:firstLine="480"/>
            </w:pPr>
            <w:r>
              <w:rPr>
                <w:rFonts w:hint="eastAsia"/>
              </w:rPr>
              <w:t>在施工便道拓宽施工的同时，在道路上边坡一侧修建临时土质排水沟，排水沟末端接自然冲沟或排灌渠系，排水沟梯形断面：上口宽0.6m、下底宽0.3m、高0.3m，坡比1：0.5。</w:t>
            </w:r>
          </w:p>
          <w:p>
            <w:pPr>
              <w:pStyle w:val="42"/>
              <w:ind w:firstLine="480"/>
            </w:pPr>
            <w:r>
              <w:rPr>
                <w:rFonts w:hint="eastAsia"/>
              </w:rPr>
              <w:t>排水沟出口处设置沉砂池使汇水在池中流速减缓、沉淀泥沙，由于全线施工工场占地面积不大，同时考虑到施工后还需进行恢复，沉砂池不进行衬砌，尺寸如下：容积2m</w:t>
            </w:r>
            <w:r>
              <w:rPr>
                <w:rFonts w:hint="eastAsia"/>
                <w:vertAlign w:val="superscript"/>
              </w:rPr>
              <w:t>3</w:t>
            </w:r>
            <w:r>
              <w:rPr>
                <w:rFonts w:hint="eastAsia"/>
              </w:rPr>
              <w:t>，长×宽×高=2×1×1m</w:t>
            </w:r>
            <w:r>
              <w:rPr>
                <w:rFonts w:hint="eastAsia"/>
                <w:vertAlign w:val="superscript"/>
              </w:rPr>
              <w:t>3</w:t>
            </w:r>
            <w:r>
              <w:rPr>
                <w:rFonts w:hint="eastAsia"/>
              </w:rPr>
              <w:t>。沉砂池两端分别连接排水沟，经沉砂池过滤后的排出水就近排入附近的自然冲沟或排灌系统，保证场内排水畅通。</w:t>
            </w:r>
          </w:p>
          <w:p>
            <w:pPr>
              <w:pStyle w:val="42"/>
              <w:ind w:firstLine="480"/>
            </w:pPr>
            <w:r>
              <w:rPr>
                <w:rFonts w:hint="eastAsia"/>
              </w:rPr>
              <w:t>② 施工便道植物措施</w:t>
            </w:r>
          </w:p>
          <w:p>
            <w:pPr>
              <w:pStyle w:val="42"/>
              <w:ind w:firstLine="480"/>
            </w:pPr>
            <w:r>
              <w:rPr>
                <w:rFonts w:hint="eastAsia"/>
              </w:rPr>
              <w:t>为了减少可能造成的水土流失，施工结束后，临时便道路面进行翻土平整，在施工便道上植草绿化。考虑到新建施工便道处于暖温带湿润季风区，雨热同期，因此灌木选择采用紫穗槐、黄荆、木兰等，草种选择狗牙根、高羊茅、紫花苜蓿等，以保证绿化恢复效果。</w:t>
            </w:r>
          </w:p>
          <w:p>
            <w:pPr>
              <w:pStyle w:val="40"/>
              <w:ind w:firstLine="482"/>
            </w:pPr>
            <w:r>
              <w:rPr>
                <w:rFonts w:hint="eastAsia"/>
              </w:rPr>
              <w:t>2、地表水环境保护措施</w:t>
            </w:r>
          </w:p>
          <w:p>
            <w:pPr>
              <w:pStyle w:val="40"/>
              <w:ind w:firstLine="482"/>
            </w:pPr>
            <w:r>
              <w:rPr>
                <w:rFonts w:hint="eastAsia"/>
              </w:rPr>
              <w:t>(1)管理措施</w:t>
            </w:r>
          </w:p>
          <w:p>
            <w:pPr>
              <w:pStyle w:val="42"/>
              <w:ind w:firstLine="480"/>
            </w:pPr>
            <w:r>
              <w:rPr>
                <w:rFonts w:hint="eastAsia"/>
              </w:rPr>
              <w:t>开展水环境保护教育，加强施工人员的水环境保护意识，合理安排施工时序，严格操作规范;加强施工管理和工程监理工作，防止发生交通安全事故;严格检查施工机械，防止油料泄漏污染水体。合理布置施工区域，且必须设置施工围挡，防止建筑材料和垃圾进入水体，造成污染。</w:t>
            </w:r>
          </w:p>
          <w:p>
            <w:pPr>
              <w:pStyle w:val="40"/>
              <w:ind w:firstLine="482"/>
            </w:pPr>
            <w:r>
              <w:rPr>
                <w:rFonts w:hint="eastAsia"/>
              </w:rPr>
              <w:t>(2)工程措施</w:t>
            </w:r>
          </w:p>
          <w:p>
            <w:pPr>
              <w:pStyle w:val="42"/>
              <w:ind w:firstLine="480"/>
            </w:pPr>
            <w:r>
              <w:rPr>
                <w:rFonts w:hint="eastAsia"/>
              </w:rPr>
              <w:t>①施工机械设备及车辆冲洗废水:冲洗废水采用隔油沉淀池处理后进入回用水池。废水中石油类经隔油池去除、SS经沉淀池去除，排入回用水池，回用于机械车辆冲洗或施工场地酒水降尘，不外排。</w:t>
            </w:r>
          </w:p>
          <w:p>
            <w:pPr>
              <w:pStyle w:val="42"/>
              <w:ind w:firstLine="480"/>
            </w:pPr>
            <w:r>
              <w:rPr>
                <w:rFonts w:hint="eastAsia"/>
              </w:rPr>
              <w:t>②生活污水:依托工程段附近现有化粪池收集后排入场镇污水管网，经台商工业园污水处理厂处理后达标排入米家河。</w:t>
            </w:r>
          </w:p>
          <w:p>
            <w:pPr>
              <w:pStyle w:val="40"/>
              <w:ind w:firstLine="482"/>
            </w:pPr>
            <w:r>
              <w:rPr>
                <w:rFonts w:hint="eastAsia"/>
              </w:rPr>
              <w:t>(3)施工生产生活区布设要求</w:t>
            </w:r>
          </w:p>
          <w:p>
            <w:pPr>
              <w:pStyle w:val="42"/>
              <w:ind w:firstLine="480"/>
            </w:pPr>
            <w:r>
              <w:rPr>
                <w:rFonts w:hint="eastAsia"/>
              </w:rPr>
              <w:t>根据项目施工生产生活区的布设情况可知，施工生产区紧邻河道工程段布设。为防止施工期间施工生产区产生的生产废水对芝溪河产生影响，临河布设的施工生产生活区更加需要合理布置施工生产生活区内的各功能区，设置完善的生产废水收集处理系统设施。施工生产区场地四周必须设置截排水沟，并与沉淀池相通，用于收集场地和车辆冲洗废水。各生产废水经收集处理后回用不外排，防止对芝溪河水体造成污染。</w:t>
            </w:r>
          </w:p>
          <w:p>
            <w:pPr>
              <w:pStyle w:val="42"/>
              <w:ind w:firstLine="480"/>
            </w:pPr>
            <w:r>
              <w:rPr>
                <w:rFonts w:hint="eastAsia"/>
              </w:rPr>
              <w:t>为减小施工对水环境造成危害的风险,在工程建设过程中,应进一步采取以下环境保护措施：</w:t>
            </w:r>
          </w:p>
          <w:p>
            <w:pPr>
              <w:pStyle w:val="42"/>
              <w:ind w:firstLine="480"/>
            </w:pPr>
            <w:r>
              <w:rPr>
                <w:rFonts w:hint="eastAsia"/>
              </w:rPr>
              <w:t>①合理安排施工期和优化施工方案。堤防工程和闸坝工程其施工期主要安排在枯水期，以减少水体扰动，减轻工程对水生生物的影响。严禁汛期施工。</w:t>
            </w:r>
          </w:p>
          <w:p>
            <w:pPr>
              <w:pStyle w:val="42"/>
              <w:ind w:firstLine="480"/>
            </w:pPr>
            <w:r>
              <w:rPr>
                <w:rFonts w:hint="eastAsia"/>
              </w:rPr>
              <w:t>②加强环境管理。施工材料、土石方不能堆放在沿岸附近，并采用防雨水冲刷和淋溶措施，以免突发性雨水冲刷，将施工材料、土石方冲入水体中，污染水环境。</w:t>
            </w:r>
          </w:p>
          <w:p>
            <w:pPr>
              <w:pStyle w:val="42"/>
              <w:ind w:firstLine="480"/>
            </w:pPr>
            <w:r>
              <w:rPr>
                <w:rFonts w:hint="eastAsia"/>
              </w:rPr>
              <w:t>③施工工场生活垃圾不得随意排入附近水体，生活污水全线禁排。生活垃圾集中堆放，由施工车辆送指定处置场。在施工过程中产生的废渣运至政府指定的弃渣场堆放地点堆放，严禁向江河中倾倒。</w:t>
            </w:r>
          </w:p>
          <w:p>
            <w:pPr>
              <w:pStyle w:val="42"/>
              <w:ind w:firstLine="480"/>
            </w:pPr>
            <w:r>
              <w:rPr>
                <w:rFonts w:hint="eastAsia"/>
              </w:rPr>
              <w:t>④合理组织施工程序和施工机械，严格按照道路施工规范进行排水设计和施工，对施工人员做必要的生态环境保护宣传教育、河道内禁止洗车。施工期间，各类施工作业严格控制在施工作业范围内进行施工，严禁施工机械油料泄漏、滴落至水体，污染水质。</w:t>
            </w:r>
          </w:p>
          <w:p>
            <w:pPr>
              <w:pStyle w:val="42"/>
              <w:ind w:firstLine="480"/>
            </w:pPr>
            <w:r>
              <w:rPr>
                <w:rFonts w:hint="eastAsia"/>
              </w:rPr>
              <w:t>⑤严格作业区范围。按照施工边界控制施工范围，严禁超出施工范围施工。</w:t>
            </w:r>
          </w:p>
          <w:p>
            <w:pPr>
              <w:pStyle w:val="42"/>
              <w:ind w:firstLine="480"/>
            </w:pPr>
            <w:r>
              <w:rPr>
                <w:rFonts w:hint="eastAsia"/>
              </w:rPr>
              <w:t>⑥施工期间，要加强水面巡视，如发现有异常，应及时报告相关管理部门处理:施工单位设置“安全质量</w:t>
            </w:r>
            <w:r>
              <w:rPr>
                <w:rFonts w:hint="eastAsia"/>
                <w:lang w:val="en-US" w:eastAsia="zh-CN"/>
              </w:rPr>
              <w:t>环境部门</w:t>
            </w:r>
            <w:r>
              <w:rPr>
                <w:rFonts w:hint="eastAsia"/>
              </w:rPr>
              <w:t>”，配置专职环保员，专职检查、管理环境保护措施的实际处理环保有关事宜。</w:t>
            </w:r>
            <w:bookmarkStart w:id="14" w:name="_GoBack"/>
            <w:bookmarkEnd w:id="14"/>
          </w:p>
          <w:p>
            <w:pPr>
              <w:pStyle w:val="40"/>
              <w:ind w:firstLine="482"/>
            </w:pPr>
            <w:r>
              <w:rPr>
                <w:rFonts w:hint="eastAsia"/>
              </w:rPr>
              <w:t>3、环境空气保护措施</w:t>
            </w:r>
          </w:p>
          <w:p>
            <w:pPr>
              <w:pStyle w:val="42"/>
              <w:ind w:firstLine="480"/>
            </w:pPr>
            <w:r>
              <w:rPr>
                <w:rFonts w:hint="eastAsia"/>
              </w:rPr>
              <w:t>施工期产生的废气主要为交通运输扬尘、清淤恶臭、机械设备尾气和少量沥青烟。采取如下措施进行污染防治:</w:t>
            </w:r>
          </w:p>
          <w:p>
            <w:pPr>
              <w:pStyle w:val="40"/>
              <w:ind w:firstLine="482"/>
            </w:pPr>
            <w:r>
              <w:rPr>
                <w:rFonts w:hint="eastAsia"/>
              </w:rPr>
              <w:t>(1)扬尘</w:t>
            </w:r>
          </w:p>
          <w:p>
            <w:pPr>
              <w:pStyle w:val="42"/>
              <w:ind w:firstLine="480"/>
            </w:pPr>
            <w:r>
              <w:rPr>
                <w:rFonts w:hint="eastAsia"/>
              </w:rPr>
              <w:t>严格按照《四川省建筑工程扬尘污染防治技术导则(试行)》和《南充市建设工程施工现场大气污染防治管理办法(暂行)》要求，确保施工现场“六必须、六不准”和“六个百分之百”管控措施落实到位。</w:t>
            </w:r>
          </w:p>
          <w:p>
            <w:pPr>
              <w:pStyle w:val="42"/>
              <w:ind w:firstLine="480"/>
            </w:pPr>
            <w:r>
              <w:rPr>
                <w:rFonts w:hint="eastAsia"/>
              </w:rPr>
              <w:t>①现场封闭管理百分之百</w:t>
            </w:r>
          </w:p>
          <w:p>
            <w:pPr>
              <w:pStyle w:val="42"/>
              <w:ind w:firstLine="480"/>
            </w:pPr>
            <w:r>
              <w:rPr>
                <w:rFonts w:hint="eastAsia"/>
              </w:rPr>
              <w:t>施工现场硬质围挡应连续设置，城区主要路段工地围挡高度不低于2.5m，</w:t>
            </w:r>
            <w:r>
              <w:rPr>
                <w:rFonts w:hint="eastAsia"/>
                <w:lang w:val="en-US" w:eastAsia="zh-CN"/>
              </w:rPr>
              <w:t>一</w:t>
            </w:r>
            <w:r>
              <w:rPr>
                <w:rFonts w:hint="eastAsia"/>
              </w:rPr>
              <w:t>般路段的工地不低于 1.8m，做到坚固、平稳、整洁、美观。在建工程外立面应用安全网实现全封闭围护。</w:t>
            </w:r>
          </w:p>
          <w:p>
            <w:pPr>
              <w:pStyle w:val="42"/>
              <w:ind w:firstLine="480"/>
            </w:pPr>
            <w:r>
              <w:rPr>
                <w:rFonts w:hint="eastAsia"/>
              </w:rPr>
              <w:t>②场区道路硬化百分之百</w:t>
            </w:r>
          </w:p>
          <w:p>
            <w:pPr>
              <w:pStyle w:val="42"/>
              <w:ind w:firstLine="480"/>
            </w:pPr>
            <w:r>
              <w:rPr>
                <w:rFonts w:hint="eastAsia"/>
              </w:rPr>
              <w:t>主要通道、进出道路、材料加工区及办公生活区地面进行硬化处理。</w:t>
            </w:r>
          </w:p>
          <w:p>
            <w:pPr>
              <w:pStyle w:val="42"/>
              <w:ind w:firstLine="480"/>
            </w:pPr>
            <w:r>
              <w:rPr>
                <w:rFonts w:hint="eastAsia"/>
              </w:rPr>
              <w:t>③酒水清扫保洁百分之百</w:t>
            </w:r>
          </w:p>
          <w:p>
            <w:pPr>
              <w:pStyle w:val="42"/>
              <w:ind w:firstLine="480"/>
            </w:pPr>
            <w:r>
              <w:rPr>
                <w:rFonts w:hint="eastAsia"/>
              </w:rPr>
              <w:t>施工现场设专人负责卫生保洁，每天上午、下午各进行二次酒水降尘，</w:t>
            </w:r>
            <w:r>
              <w:rPr>
                <w:rFonts w:hint="eastAsia"/>
                <w:lang w:val="en-US" w:eastAsia="zh-CN"/>
              </w:rPr>
              <w:t>遇</w:t>
            </w:r>
            <w:r>
              <w:rPr>
                <w:rFonts w:hint="eastAsia"/>
              </w:rPr>
              <w:t>到</w:t>
            </w:r>
            <w:r>
              <w:rPr>
                <w:rFonts w:hint="eastAsia"/>
                <w:lang w:val="en-US" w:eastAsia="zh-CN"/>
              </w:rPr>
              <w:t>干旱</w:t>
            </w:r>
            <w:r>
              <w:rPr>
                <w:rFonts w:hint="eastAsia"/>
              </w:rPr>
              <w:t>和大风天气时，应增加酒水降尘次数，确保无浮土扬尘。开挖、回填等土方作业时，要辅以酒水压尘等措施。工程竣工后，施工现场的临设、围挡垃圾等必须及时清理完毕，清理时必须采取有效的降尘措施。</w:t>
            </w:r>
          </w:p>
          <w:p>
            <w:pPr>
              <w:pStyle w:val="42"/>
              <w:ind w:firstLine="480"/>
            </w:pPr>
            <w:r>
              <w:rPr>
                <w:rFonts w:hint="eastAsia"/>
              </w:rPr>
              <w:t>④物料密闭运输百分之百</w:t>
            </w:r>
          </w:p>
          <w:p>
            <w:pPr>
              <w:pStyle w:val="42"/>
              <w:ind w:firstLine="480"/>
            </w:pPr>
            <w:r>
              <w:rPr>
                <w:rFonts w:hint="eastAsia"/>
              </w:rPr>
              <w:t>易产生扬尘的建筑材料、渣土应采取密闭搬运、存储或采用防尘布盖等防尘措施。</w:t>
            </w:r>
          </w:p>
          <w:p>
            <w:pPr>
              <w:pStyle w:val="42"/>
              <w:ind w:firstLine="480"/>
            </w:pPr>
            <w:r>
              <w:rPr>
                <w:rFonts w:hint="eastAsia"/>
              </w:rPr>
              <w:t>⑤出入车辆清洗百分之百</w:t>
            </w:r>
          </w:p>
          <w:p>
            <w:pPr>
              <w:pStyle w:val="42"/>
              <w:ind w:firstLine="480"/>
            </w:pPr>
            <w:r>
              <w:rPr>
                <w:rFonts w:hint="eastAsia"/>
              </w:rPr>
              <w:t>施工现场出入口处设置自动车辆冲洗装置和沉淀池，运输车辆底盘和车轮冲洗干净后方可驶离施工现场。</w:t>
            </w:r>
          </w:p>
          <w:p>
            <w:pPr>
              <w:pStyle w:val="42"/>
              <w:ind w:firstLine="480"/>
            </w:pPr>
            <w:r>
              <w:fldChar w:fldCharType="begin"/>
            </w:r>
            <w:r>
              <w:instrText xml:space="preserve"> </w:instrText>
            </w:r>
            <w:r>
              <w:rPr>
                <w:rFonts w:hint="eastAsia"/>
              </w:rPr>
              <w:instrText xml:space="preserve">= 6 \* GB3</w:instrText>
            </w:r>
            <w:r>
              <w:instrText xml:space="preserve"> </w:instrText>
            </w:r>
            <w:r>
              <w:fldChar w:fldCharType="separate"/>
            </w:r>
            <w:r>
              <w:rPr>
                <w:rFonts w:hint="eastAsia"/>
              </w:rPr>
              <w:t>⑥</w:t>
            </w:r>
            <w:r>
              <w:fldChar w:fldCharType="end"/>
            </w:r>
            <w:r>
              <w:rPr>
                <w:rFonts w:hint="eastAsia"/>
              </w:rPr>
              <w:t>同时施工现场不得设置现场搅拌混凝土。施工现场建筑材料实行集中，分类堆放。建筑垃圾采取封闭方式清运，严禁高处抛洒。</w:t>
            </w:r>
          </w:p>
          <w:p>
            <w:pPr>
              <w:pStyle w:val="42"/>
              <w:ind w:firstLine="480"/>
            </w:pPr>
            <w:r>
              <w:rPr>
                <w:rFonts w:hint="eastAsia"/>
              </w:rPr>
              <w:t>⑦运输材料的车辆装载高度应低于车厢上沿，不得超高超载。实行遮盖运输，以免车辆颠簸撒漏。坚持文明装卸，运输车辆装卸完货后应清洁车。</w:t>
            </w:r>
          </w:p>
          <w:p>
            <w:pPr>
              <w:pStyle w:val="42"/>
              <w:ind w:firstLine="480"/>
            </w:pPr>
            <w:r>
              <w:rPr>
                <w:rFonts w:hint="eastAsia"/>
              </w:rPr>
              <w:t>⑧施工现场禁止焚烧沥青、油毡、橡胶、垃圾等易产生有</w:t>
            </w:r>
            <w:r>
              <w:rPr>
                <w:rFonts w:hint="eastAsia"/>
                <w:lang w:val="en-US" w:eastAsia="zh-CN"/>
              </w:rPr>
              <w:t>毒</w:t>
            </w:r>
            <w:r>
              <w:rPr>
                <w:rFonts w:hint="eastAsia"/>
              </w:rPr>
              <w:t>有害烟尘和恶臭气体的物质。</w:t>
            </w:r>
          </w:p>
          <w:p>
            <w:pPr>
              <w:pStyle w:val="42"/>
              <w:ind w:firstLine="480"/>
            </w:pPr>
            <w:r>
              <w:rPr>
                <w:rFonts w:hint="eastAsia"/>
              </w:rPr>
              <w:t>⑨建议选择有经验、有资质的施工单位，做到文明施工，土方的挖、堆放要规范、有序，将施工扬尘对环境空气的影响降至最低。施工中要尽早修建临时道路，保持车辆过往的道路平坦并经常酒水。</w:t>
            </w:r>
          </w:p>
          <w:p>
            <w:pPr>
              <w:pStyle w:val="40"/>
              <w:ind w:firstLine="482"/>
            </w:pPr>
            <w:r>
              <w:rPr>
                <w:rFonts w:hint="eastAsia"/>
              </w:rPr>
              <w:t>(2)机械设备尾气</w:t>
            </w:r>
          </w:p>
          <w:p>
            <w:pPr>
              <w:pStyle w:val="42"/>
              <w:ind w:firstLine="480"/>
            </w:pPr>
            <w:r>
              <w:rPr>
                <w:rFonts w:hint="eastAsia"/>
              </w:rPr>
              <w:t>①施工中选择满足</w:t>
            </w:r>
            <w:r>
              <w:rPr>
                <w:rFonts w:hint="eastAsia"/>
                <w:lang w:val="en-US" w:eastAsia="zh-CN"/>
              </w:rPr>
              <w:t>国家</w:t>
            </w:r>
            <w:r>
              <w:rPr>
                <w:rFonts w:hint="eastAsia"/>
              </w:rPr>
              <w:t>规定排放标准的施工机械，使之处于良好运行状态。加强对施工机械的科学管理，合理安排运行时间，发挥其最大效率。</w:t>
            </w:r>
          </w:p>
          <w:p>
            <w:pPr>
              <w:pStyle w:val="42"/>
              <w:ind w:firstLine="480"/>
            </w:pP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加强施工机械和车辆的维护和保养，经常检查汽车的密封元件及进、排气系统是否工作正常，以减少汽、柴油的泄露，保证进、排气系统畅通，并使用优质燃料，减少废气排放。</w:t>
            </w:r>
          </w:p>
          <w:p>
            <w:pPr>
              <w:pStyle w:val="40"/>
              <w:ind w:firstLine="482"/>
            </w:pPr>
            <w:r>
              <w:rPr>
                <w:rFonts w:hint="eastAsia"/>
              </w:rPr>
              <w:t>（3）</w:t>
            </w:r>
            <w:r>
              <w:rPr>
                <w:rFonts w:ascii="宋体" w:hAnsi="宋体"/>
                <w:color w:val="000000"/>
              </w:rPr>
              <w:t>沥青烟</w:t>
            </w:r>
          </w:p>
          <w:p>
            <w:pPr>
              <w:pStyle w:val="42"/>
              <w:ind w:firstLine="480"/>
            </w:pPr>
            <w:r>
              <w:t>该项目路面施工采用沥青混凝土路面，本项目全部采用商品沥青砼，不在现场设置沥青拌和站，仅在沥青摊铺时有极少量沥青烟。</w:t>
            </w:r>
          </w:p>
          <w:p>
            <w:pPr>
              <w:pStyle w:val="42"/>
              <w:ind w:firstLine="480"/>
            </w:pPr>
            <w:r>
              <w:t>环评要求施工方严格执行《公路沥青路的施工技术规范(JTGF40-2004)》：</w:t>
            </w:r>
          </w:p>
          <w:p>
            <w:pPr>
              <w:pStyle w:val="42"/>
              <w:ind w:firstLine="480"/>
            </w:pPr>
            <w:r>
              <w:rPr>
                <w:rFonts w:ascii="Cambria Math" w:hAnsi="Cambria Math" w:cs="Cambria Math"/>
              </w:rPr>
              <w:t>①</w:t>
            </w:r>
            <w:r>
              <w:t>沥青路面施工必须有施工组织设计，并保证合理的施工工期，抓紧施工，缩短施工期；</w:t>
            </w:r>
          </w:p>
          <w:p>
            <w:pPr>
              <w:pStyle w:val="42"/>
              <w:ind w:firstLine="480"/>
            </w:pPr>
            <w:r>
              <w:rPr>
                <w:rFonts w:ascii="Cambria Math" w:hAnsi="Cambria Math" w:cs="Cambria Math"/>
              </w:rPr>
              <w:t>②</w:t>
            </w:r>
            <w:r>
              <w:t xml:space="preserve">沥青路面不得在气温低于 </w:t>
            </w:r>
            <m:oMath>
              <m:sSup>
                <m:sSupPr>
                  <m:ctrlPr>
                    <w:rPr>
                      <w:rFonts w:ascii="Cambria Math" w:hAnsi="Cambria Math"/>
                    </w:rPr>
                  </m:ctrlPr>
                </m:sSupPr>
                <m:e>
                  <m:r>
                    <m:rPr>
                      <m:sty m:val="p"/>
                    </m:rPr>
                    <w:rPr>
                      <w:rFonts w:ascii="Cambria Math" w:hAnsi="Cambria Math"/>
                    </w:rPr>
                    <m:t>5</m:t>
                  </m:r>
                  <m:ctrlPr>
                    <w:rPr>
                      <w:rFonts w:ascii="Cambria Math" w:hAnsi="Cambria Math"/>
                    </w:rPr>
                  </m:ctrlPr>
                </m:e>
                <m:sup>
                  <m:r>
                    <m:rPr>
                      <m:sty m:val="p"/>
                    </m:rPr>
                    <w:rPr>
                      <w:rFonts w:ascii="Cambria Math" w:hAnsi="Cambria Math"/>
                    </w:rPr>
                    <m:t>∘</m:t>
                  </m:r>
                  <m:ctrlPr>
                    <w:rPr>
                      <w:rFonts w:ascii="Cambria Math" w:hAnsi="Cambria Math"/>
                    </w:rPr>
                  </m:ctrlPr>
                </m:sup>
              </m:sSup>
              <m:r>
                <w:rPr>
                  <w:rFonts w:ascii="Cambria Math" w:hAnsi="Cambria Math"/>
                </w:rPr>
                <m:t>C</m:t>
              </m:r>
            </m:oMath>
            <w:r>
              <w:t>以及雨天、路面潮湿的情况下施工；</w:t>
            </w:r>
          </w:p>
          <w:p>
            <w:pPr>
              <w:pStyle w:val="42"/>
              <w:ind w:firstLine="480"/>
            </w:pPr>
            <w:r>
              <w:rPr>
                <w:rFonts w:ascii="Cambria Math" w:hAnsi="Cambria Math" w:cs="Cambria Math"/>
              </w:rPr>
              <w:t>③</w:t>
            </w:r>
            <w:r>
              <w:t>沥青面层宜连续施工，避免与可能污染沥青层的其他工序交叉干扰，以杜绝施工和运输污染；</w:t>
            </w:r>
          </w:p>
          <w:p>
            <w:pPr>
              <w:pStyle w:val="42"/>
              <w:ind w:firstLine="480"/>
            </w:pPr>
            <w:r>
              <w:rPr>
                <w:rFonts w:ascii="Cambria Math" w:hAnsi="Cambria Math" w:cs="Cambria Math"/>
              </w:rPr>
              <w:t>④</w:t>
            </w:r>
            <w:r>
              <w:t>沥青路面建设应满足公路交通条件及工程所在地的气候条件的需要；</w:t>
            </w:r>
          </w:p>
          <w:p>
            <w:pPr>
              <w:pStyle w:val="42"/>
              <w:ind w:firstLine="480"/>
            </w:pPr>
            <w:r>
              <w:rPr>
                <w:rFonts w:ascii="Cambria Math" w:hAnsi="Cambria Math" w:cs="Cambria Math"/>
              </w:rPr>
              <w:t>⑤</w:t>
            </w:r>
            <w:r>
              <w:t>使用沥青时应采取措施防止工作人员吸入煤沥青或避免皮肤直接接触煤沥青造成身体伤害；</w:t>
            </w:r>
          </w:p>
          <w:p>
            <w:pPr>
              <w:pStyle w:val="42"/>
              <w:ind w:firstLine="480"/>
            </w:pPr>
            <w:r>
              <w:rPr>
                <w:rFonts w:ascii="Cambria Math" w:hAnsi="Cambria Math" w:cs="Cambria Math"/>
              </w:rPr>
              <w:t>⑥</w:t>
            </w:r>
            <w:r>
              <w:t>合理安排施工时间，根据空气质量预测情况和大气污染防治工作要求，避免在易出现长时间连续高温的时段(6月至8月)开展涉及 VOCs排放工序作业；</w:t>
            </w:r>
          </w:p>
          <w:p>
            <w:pPr>
              <w:pStyle w:val="42"/>
              <w:ind w:firstLine="480"/>
            </w:pPr>
            <w:r>
              <w:rPr>
                <w:rFonts w:ascii="Cambria Math" w:hAnsi="Cambria Math" w:cs="Cambria Math"/>
              </w:rPr>
              <w:t>⑦</w:t>
            </w:r>
            <w:r>
              <w:t>采用罐装沥青砼专用车辆装运， 以防止沿程撒落污染环境。</w:t>
            </w:r>
          </w:p>
          <w:p>
            <w:pPr>
              <w:pStyle w:val="40"/>
              <w:ind w:firstLine="482"/>
            </w:pPr>
            <w:r>
              <w:rPr>
                <w:rFonts w:hint="eastAsia"/>
              </w:rPr>
              <w:t>4、声环境保护措施</w:t>
            </w:r>
          </w:p>
          <w:p>
            <w:pPr>
              <w:pStyle w:val="42"/>
              <w:ind w:firstLine="480"/>
            </w:pPr>
            <w:r>
              <w:rPr>
                <w:rFonts w:hint="eastAsia"/>
              </w:rPr>
              <w:t>项目施工建设过程中，噪声的影响是不可避免的，但也是暂时的，施工后就可恢复正常。根据目前国内对建筑施工噪声防治及控制常用措施，并结合本项目特点，施工噪声防治主要措施有:</w:t>
            </w:r>
          </w:p>
          <w:p>
            <w:pPr>
              <w:pStyle w:val="42"/>
              <w:ind w:firstLine="480"/>
            </w:pPr>
            <w:r>
              <w:rPr>
                <w:rFonts w:hint="eastAsia"/>
              </w:rPr>
              <w:t>①提高施工人员的环保意识，请施工单位自觉遵守有关法律、法规，采取切可能措施，尽力将可能产生的噪声影响降低到最低限度</w:t>
            </w:r>
          </w:p>
          <w:p>
            <w:pPr>
              <w:pStyle w:val="42"/>
              <w:ind w:firstLine="480"/>
            </w:pPr>
            <w:r>
              <w:rPr>
                <w:rFonts w:hint="eastAsia"/>
              </w:rPr>
              <w:t>②)施工场地应远离环境保护目标，合理布设施工机械，根据周围环境条件，尽量增加噪声源与周围敏感点的距离。因此，施工期应加强管理，高声设备应尽量放置远离敏感点。</w:t>
            </w:r>
          </w:p>
          <w:p>
            <w:pPr>
              <w:pStyle w:val="42"/>
              <w:ind w:firstLine="480"/>
            </w:pPr>
            <w:r>
              <w:rPr>
                <w:rFonts w:hint="eastAsia"/>
              </w:rPr>
              <w:t>③合理安排高噪声施工作业的时间，评价要求施工期间夜间(22:00~6: 00)和午间(12:00-14:00)禁止安排施工;特殊情况需连续作业时，除采取有效措施外，施工单位必须事前报经主管政府部门，同时执行建筑施工</w:t>
            </w:r>
            <w:r>
              <w:rPr>
                <w:rFonts w:hint="eastAsia"/>
                <w:lang w:val="en-US" w:eastAsia="zh-CN"/>
              </w:rPr>
              <w:t>噪</w:t>
            </w:r>
            <w:r>
              <w:rPr>
                <w:rFonts w:hint="eastAsia"/>
              </w:rPr>
              <w:t>声申报登记制度，在工程开工 15 日前填写《建筑施工工场噪声管理审批表》，向当地环境保护主管部门申报。</w:t>
            </w:r>
          </w:p>
          <w:p>
            <w:pPr>
              <w:pStyle w:val="42"/>
              <w:ind w:firstLine="480"/>
            </w:pPr>
            <w:r>
              <w:rPr>
                <w:rFonts w:hint="eastAsia"/>
              </w:rPr>
              <w:t>④采用先进设备、成型管材，采用新技术及低噪声设备，使噪声在起始阶段得到控制。同时在施工过程中施工单位设专人对设备进行定期保养和维护并负责对现场工作人员进行培训，严格按操作规范使用各类机械。固定机械设备与挖掘、运土机械，如挖土机、推土机等，可通过排气管消声器和隔离发动机振动部件的方法降低噪声。对动力机械设备进行定期的维修、保养，维修不良的机械设备常因松动部件的震动或消声器的损坏而增加其工作噪声。闲置不用的设备及时关闭，运输车辆通过噪声敏感点或进入施工现场时减速，并尽量减少鸣笛，禁用高音喇叭鸣笛。</w:t>
            </w:r>
          </w:p>
          <w:p>
            <w:pPr>
              <w:pStyle w:val="42"/>
              <w:ind w:firstLine="480"/>
            </w:pPr>
            <w:r>
              <w:rPr>
                <w:rFonts w:hint="eastAsia"/>
              </w:rPr>
              <w:t>⑤文明施工，装卸、搬运材料等严禁抛掷;加强运输车辆的管理，按规定组织车辆运输，合理规定运输通道，减少由于道路不平而引起的车辆噪声</w:t>
            </w:r>
          </w:p>
          <w:p>
            <w:pPr>
              <w:pStyle w:val="42"/>
              <w:ind w:firstLine="480"/>
            </w:pPr>
            <w:r>
              <w:rPr>
                <w:rFonts w:hint="eastAsia"/>
              </w:rPr>
              <w:t>本项目施工期在采取上述治理及控制措施后，各类机械设备的施工噪声能从影响程度、影响时间及影响强度等方面得以一定程度的削减，施工期间，建设方可委托有资质的监测单位对施工场界噪声进行跟踪监测，确保施工声能满足《建筑施工场界环境噪声排放标准》(GB12523-2011)的要求，施工结束噪声污染也随之结束，周围声环境即可恢复至现状水平。</w:t>
            </w:r>
          </w:p>
          <w:p>
            <w:pPr>
              <w:pStyle w:val="40"/>
              <w:ind w:firstLine="482"/>
            </w:pPr>
            <w:r>
              <w:rPr>
                <w:rFonts w:hint="eastAsia"/>
              </w:rPr>
              <w:t>5、固废防治措施</w:t>
            </w:r>
          </w:p>
          <w:p>
            <w:pPr>
              <w:pStyle w:val="42"/>
              <w:ind w:firstLine="480"/>
            </w:pPr>
            <w:r>
              <w:rPr>
                <w:rFonts w:hint="eastAsia"/>
              </w:rPr>
              <w:t>工程施工产生的固体废物主要包括建筑垃圾、沉淀池沉渣及生活垃圾。</w:t>
            </w:r>
          </w:p>
          <w:p>
            <w:pPr>
              <w:pStyle w:val="42"/>
              <w:ind w:firstLine="480"/>
            </w:pPr>
            <w:r>
              <w:rPr>
                <w:rFonts w:hint="eastAsia"/>
              </w:rPr>
              <w:t>①建筑垃圾包括砂石、石块、碎砖瓦、废钢筋等，施工期间产生的可回收利用的废料(如钢筋、木材等)通过分类收集后交废物收购站处理;对不能回收的建筑垃圾(如混凝土废料、含石、砂的杂土等)应在综合利用基础上，在施工完成后及时清运至指定的弃渣场堆放。</w:t>
            </w:r>
          </w:p>
          <w:p>
            <w:pPr>
              <w:pStyle w:val="42"/>
              <w:ind w:firstLine="480"/>
            </w:pPr>
            <w:r>
              <w:rPr>
                <w:rFonts w:hint="eastAsia"/>
              </w:rPr>
              <w:t>②沉淀池沉渣中，少量含油污泥及沉淀池污泥委托有资质的单位进行收集处理。</w:t>
            </w:r>
          </w:p>
          <w:p>
            <w:pPr>
              <w:pStyle w:val="42"/>
              <w:ind w:firstLine="480"/>
            </w:pPr>
            <w:r>
              <w:rPr>
                <w:rFonts w:hint="eastAsia"/>
              </w:rPr>
              <w:t>③施工营地、施工场地分别设置垃圾收集桶，由环卫部门进行统一收集处理，避免随意丢弃。</w:t>
            </w:r>
          </w:p>
          <w:p>
            <w:pPr>
              <w:pStyle w:val="42"/>
              <w:ind w:firstLine="480"/>
            </w:pPr>
            <w:r>
              <w:rPr>
                <w:rFonts w:hint="eastAsia"/>
              </w:rPr>
              <w:t>施工过程中产生的固体废物要及时清运，严禁将施工过程中产生的固废倾倒进入河道中。施工期固体废弃物排放是暂时的，随着施工的结束而不再增加。通过积极有效的施工管理措施，施工期产生的固体废弃物均可以得到合理处置，不会对环境造成不利影响。</w:t>
            </w:r>
          </w:p>
          <w:p>
            <w:pPr>
              <w:pStyle w:val="40"/>
              <w:ind w:firstLine="482"/>
              <w:rPr>
                <w:lang w:bidi="zh-CN"/>
              </w:rPr>
            </w:pPr>
            <w:r>
              <w:rPr>
                <w:rFonts w:hint="eastAsia"/>
              </w:rPr>
              <w:t>6</w:t>
            </w:r>
            <w:r>
              <w:t>、</w:t>
            </w:r>
            <w:r>
              <w:rPr>
                <w:rFonts w:hint="eastAsia"/>
                <w:lang w:bidi="zh-CN"/>
              </w:rPr>
              <w:t>地下水保护措施</w:t>
            </w:r>
          </w:p>
          <w:p>
            <w:pPr>
              <w:pStyle w:val="42"/>
              <w:ind w:firstLine="480"/>
            </w:pPr>
            <w:r>
              <w:rPr>
                <w:rFonts w:hint="eastAsia"/>
              </w:rPr>
              <w:t>施工区生活污水主要污染物为 COD 、BOD和氨氮。本项目租用附近居民房作为生活区，工程区在县城内，附近民房内都有完善的排污设施，不会外排。施工生产废水通过沉淀池处理，不外排，同时沉淀池挖深不低于地下水位并做好防渗措施后，对地下水环境影响较小。地下水防治措施：</w:t>
            </w:r>
          </w:p>
          <w:p>
            <w:pPr>
              <w:pStyle w:val="42"/>
              <w:ind w:firstLine="480"/>
            </w:pPr>
            <w:r>
              <w:rPr>
                <w:rFonts w:hint="eastAsia"/>
              </w:rPr>
              <w:t>（1）在基础开挖施工中，应保持作业地段的清洁，避免污水和污物进入基坑，要防止降水结束、地下水回升后造成的地下水水质恶化；</w:t>
            </w:r>
          </w:p>
          <w:p>
            <w:pPr>
              <w:pStyle w:val="42"/>
              <w:ind w:firstLine="480"/>
            </w:pPr>
            <w:r>
              <w:rPr>
                <w:rFonts w:hint="eastAsia"/>
              </w:rPr>
              <w:t>（2）施工区内实施“雨污分流”；</w:t>
            </w:r>
          </w:p>
          <w:p>
            <w:pPr>
              <w:pStyle w:val="42"/>
              <w:ind w:firstLine="480"/>
            </w:pPr>
            <w:r>
              <w:rPr>
                <w:rFonts w:hint="eastAsia"/>
              </w:rPr>
              <w:t>（3）对施工方严加管理，将开挖的土方尽快归位，严禁雨季，特别是大雨天施工，以杜绝施工机械的石油类和悬浮物进入地下水体污染地下水。</w:t>
            </w:r>
          </w:p>
          <w:p>
            <w:pPr>
              <w:pStyle w:val="42"/>
              <w:ind w:firstLine="480"/>
            </w:pPr>
            <w:r>
              <w:rPr>
                <w:rFonts w:hint="eastAsia"/>
              </w:rPr>
              <w:t>综上，若项目实施过程中在加强管理，并采取了必要的防范措施，将项目施工及运营对地下水的污染降低到最低程度。</w:t>
            </w:r>
          </w:p>
          <w:p>
            <w:pPr>
              <w:pStyle w:val="42"/>
              <w:ind w:firstLine="482"/>
              <w:rPr>
                <w:b/>
                <w:bCs/>
              </w:rPr>
            </w:pPr>
            <w:r>
              <w:rPr>
                <w:rFonts w:hint="eastAsia"/>
                <w:b/>
                <w:bCs/>
              </w:rPr>
              <w:t>7、其他环境保护措施和风险防范措施</w:t>
            </w:r>
          </w:p>
          <w:p>
            <w:pPr>
              <w:pStyle w:val="42"/>
              <w:ind w:firstLine="480"/>
            </w:pPr>
            <w:r>
              <w:rPr>
                <w:rFonts w:hint="eastAsia"/>
              </w:rPr>
              <w:t>①项目施工期应加强管理，杜绝施工机械燃油跑、冒、漏的情况出现，防止对地下水造成污染影响。</w:t>
            </w:r>
          </w:p>
          <w:p>
            <w:pPr>
              <w:pStyle w:val="42"/>
              <w:ind w:firstLine="480"/>
            </w:pPr>
            <w:r>
              <w:rPr>
                <w:rFonts w:hint="eastAsia"/>
              </w:rPr>
              <w:t>②施工机械设备和车辆冲洗废水经隔油池沉淀池收集处理后回用于冲洗或洒水降尘。各池体采取防渗措施，避免项目施工废水渗入地下水中造成水质污染。</w:t>
            </w:r>
          </w:p>
          <w:p>
            <w:pPr>
              <w:pStyle w:val="42"/>
              <w:ind w:firstLine="480"/>
            </w:pPr>
            <w:r>
              <w:rPr>
                <w:rFonts w:hint="eastAsia"/>
              </w:rPr>
              <w:t>③使用柴油、汽油等的机械直接到当地加油站加油，施工现场不储存油料。</w:t>
            </w:r>
          </w:p>
          <w:p>
            <w:pPr>
              <w:pStyle w:val="42"/>
              <w:ind w:firstLine="480"/>
            </w:pPr>
            <w:r>
              <w:rPr>
                <w:rFonts w:hint="eastAsia"/>
              </w:rPr>
              <w:t>④设备机械事故性漏油，应立即组织人员堵漏，将落地油及时收集，避免事故进一步扩大，通过入渗影响土壤和地下水。</w:t>
            </w:r>
          </w:p>
          <w:p>
            <w:pPr>
              <w:pStyle w:val="42"/>
              <w:ind w:firstLine="480"/>
            </w:pPr>
            <w:r>
              <w:rPr>
                <w:rFonts w:hint="eastAsia"/>
              </w:rPr>
              <w:t>⑤施工期通过加强管理、提高设备检修频次、定期巡查，降低事故发生频次。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678" w:hRule="atLeast"/>
          <w:jc w:val="center"/>
        </w:trPr>
        <w:tc>
          <w:tcPr>
            <w:tcW w:w="753" w:type="dxa"/>
            <w:tcMar>
              <w:left w:w="28" w:type="dxa"/>
              <w:right w:w="28" w:type="dxa"/>
            </w:tcMar>
            <w:vAlign w:val="center"/>
          </w:tcPr>
          <w:p>
            <w:pPr>
              <w:adjustRightInd w:val="0"/>
              <w:snapToGrid w:val="0"/>
              <w:jc w:val="center"/>
              <w:rPr>
                <w:rFonts w:hint="eastAsia"/>
                <w:bCs/>
                <w:spacing w:val="10"/>
              </w:rPr>
            </w:pPr>
            <w:r>
              <w:rPr>
                <w:rFonts w:hint="eastAsia"/>
                <w:bCs/>
                <w:spacing w:val="10"/>
              </w:rPr>
              <w:t>运营期生态环境保护措施</w:t>
            </w:r>
          </w:p>
        </w:tc>
        <w:tc>
          <w:tcPr>
            <w:tcW w:w="8457" w:type="dxa"/>
            <w:vAlign w:val="center"/>
          </w:tcPr>
          <w:p>
            <w:pPr>
              <w:pStyle w:val="42"/>
              <w:ind w:firstLine="480"/>
            </w:pPr>
            <w:r>
              <w:rPr>
                <w:rFonts w:hint="eastAsia"/>
              </w:rPr>
              <w:t>本工程为河湖整治与防洪除涝工程，属于非污染型项目，项目运营期无污染物产生。本工程不利环境影响主要集中在施工期，项目运营期基本无生态破坏和污染物排放，因此，运营期生态环境保护措施主要加强各类临时占地区运营期生态植被恢复措施的养护和加强工程的运行和维护。</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102" w:hRule="atLeast"/>
          <w:jc w:val="center"/>
        </w:trPr>
        <w:tc>
          <w:tcPr>
            <w:tcW w:w="753" w:type="dxa"/>
            <w:vAlign w:val="center"/>
          </w:tcPr>
          <w:p>
            <w:pPr>
              <w:adjustRightInd w:val="0"/>
              <w:snapToGrid w:val="0"/>
              <w:jc w:val="center"/>
              <w:rPr>
                <w:rFonts w:hint="eastAsia"/>
                <w:bCs/>
                <w:spacing w:val="10"/>
              </w:rPr>
            </w:pPr>
            <w:r>
              <w:rPr>
                <w:rFonts w:hint="eastAsia"/>
                <w:bCs/>
              </w:rPr>
              <w:t>其他</w:t>
            </w:r>
          </w:p>
        </w:tc>
        <w:tc>
          <w:tcPr>
            <w:tcW w:w="8457" w:type="dxa"/>
          </w:tcPr>
          <w:p>
            <w:pPr>
              <w:pStyle w:val="40"/>
              <w:ind w:firstLine="482"/>
            </w:pPr>
            <w:r>
              <w:rPr>
                <w:rFonts w:hint="eastAsia"/>
              </w:rPr>
              <w:t>1</w:t>
            </w:r>
            <w:r>
              <w:t>、环境管理</w:t>
            </w:r>
          </w:p>
          <w:p>
            <w:pPr>
              <w:pStyle w:val="40"/>
              <w:ind w:firstLine="482"/>
            </w:pPr>
            <w:r>
              <w:rPr>
                <w:rFonts w:hint="eastAsia"/>
              </w:rPr>
              <w:t>（1）</w:t>
            </w:r>
            <w:r>
              <w:t>施工期的环境监理</w:t>
            </w:r>
          </w:p>
          <w:p>
            <w:pPr>
              <w:pStyle w:val="42"/>
              <w:ind w:firstLine="472"/>
            </w:pPr>
            <w:r>
              <w:rPr>
                <w:spacing w:val="-2"/>
              </w:rPr>
              <w:t>在工程施工期间，根据环境保护设计要求，对各项环保措施的施工进度、工程质量和投资进行监理。监理工作应从工程筹建期开始，并贯穿工程建设全过程。为确保工程环保监理工作的顺利进行，在工程监理的招标设计文件中应明确环保监理的工作内容，并委托具有环境工程监理资格的单位和人员承担。</w:t>
            </w:r>
          </w:p>
          <w:p>
            <w:pPr>
              <w:pStyle w:val="40"/>
              <w:ind w:firstLine="482"/>
            </w:pPr>
            <w:r>
              <w:rPr>
                <w:rFonts w:hint="eastAsia"/>
              </w:rPr>
              <w:t>（2）</w:t>
            </w:r>
            <w:r>
              <w:t>环境管理</w:t>
            </w:r>
          </w:p>
          <w:p>
            <w:pPr>
              <w:pStyle w:val="42"/>
              <w:ind w:firstLine="480"/>
            </w:pPr>
            <w:r>
              <w:t>本工程的环境管理，应按“三同时”制度要求，贯穿工程设计到施工建设始终，</w:t>
            </w:r>
            <w:r>
              <w:rPr>
                <w:rFonts w:hint="eastAsia"/>
              </w:rPr>
              <w:t>前期工作阶段应按报批管理程序规定，由项目业主组织，与工程设计同步完成环保、水保设计工作。建设期采取施工单位与工程环境管理机构相结合的管理办法，由相关专业技术人员组成，负责协调和处理工程建设期的环境保护问题。工程运行期环境保护管理由工程环境管理机构承担，负责工程运行期环保水保日常事务，处理与工程相关的环境问题。</w:t>
            </w:r>
          </w:p>
          <w:p>
            <w:pPr>
              <w:pStyle w:val="40"/>
              <w:ind w:firstLine="482"/>
            </w:pPr>
            <w:r>
              <w:rPr>
                <w:rFonts w:hint="eastAsia"/>
              </w:rPr>
              <w:t>2、施工期监测计划</w:t>
            </w:r>
          </w:p>
          <w:p>
            <w:pPr>
              <w:pStyle w:val="42"/>
              <w:ind w:firstLine="480"/>
            </w:pPr>
            <w:r>
              <w:rPr>
                <w:rFonts w:hint="eastAsia"/>
              </w:rPr>
              <w:t>针对本工程建设给环境带来的不利影响主要发生在施工期，为了监督施工过程中各种环境保护措施的实施情况及运行效果，使施工环境管理更具针对性,必须掌握施工过程中各施工时段及每一施工区域的环境质量状况及污染物排放情况，需要开展施工区环境质量监测，监测时段包括整个施工期，监测的环境因子包括水质、大气、噪声等。当施工区发生污染事故时，应开展追踪监测。监测工作可委托有资质证的监测单位进行，水质、大气、噪声具体监测点位布设见下表。</w:t>
            </w:r>
          </w:p>
          <w:p>
            <w:pPr>
              <w:pStyle w:val="38"/>
            </w:pPr>
            <w:r>
              <w:rPr>
                <w:rFonts w:hint="eastAsia"/>
              </w:rPr>
              <w:t>表5-1 施工期监测点布设情况</w:t>
            </w:r>
          </w:p>
          <w:tbl>
            <w:tblPr>
              <w:tblStyle w:val="15"/>
              <w:tblW w:w="8241" w:type="dxa"/>
              <w:jc w:val="center"/>
              <w:tblInd w:w="0" w:type="dxa"/>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
            <w:tblGrid>
              <w:gridCol w:w="507"/>
              <w:gridCol w:w="1306"/>
              <w:gridCol w:w="3216"/>
              <w:gridCol w:w="3212"/>
            </w:tblGrid>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Ex>
              <w:trPr>
                <w:trHeight w:val="544" w:hRule="atLeast"/>
                <w:jc w:val="center"/>
              </w:trPr>
              <w:tc>
                <w:tcPr>
                  <w:tcW w:w="507" w:type="dxa"/>
                  <w:shd w:val="clear" w:color="auto" w:fill="auto"/>
                  <w:vAlign w:val="center"/>
                </w:tcPr>
                <w:p>
                  <w:pPr>
                    <w:pStyle w:val="36"/>
                    <w:autoSpaceDE w:val="0"/>
                    <w:autoSpaceDN w:val="0"/>
                    <w:rPr>
                      <w:rFonts w:ascii="Calibri" w:hAnsi="Calibri"/>
                    </w:rPr>
                  </w:pPr>
                  <w:r>
                    <w:rPr>
                      <w:rFonts w:ascii="Calibri" w:hAnsi="Calibri"/>
                    </w:rPr>
                    <w:t>监测</w:t>
                  </w:r>
                </w:p>
                <w:p>
                  <w:pPr>
                    <w:pStyle w:val="36"/>
                    <w:autoSpaceDE w:val="0"/>
                    <w:autoSpaceDN w:val="0"/>
                    <w:rPr>
                      <w:rFonts w:ascii="Calibri" w:hAnsi="Calibri"/>
                    </w:rPr>
                  </w:pPr>
                  <w:r>
                    <w:rPr>
                      <w:rFonts w:ascii="Calibri" w:hAnsi="Calibri"/>
                    </w:rPr>
                    <w:t>类别</w:t>
                  </w:r>
                </w:p>
              </w:tc>
              <w:tc>
                <w:tcPr>
                  <w:tcW w:w="1306" w:type="dxa"/>
                  <w:shd w:val="clear" w:color="auto" w:fill="auto"/>
                  <w:vAlign w:val="center"/>
                </w:tcPr>
                <w:p>
                  <w:pPr>
                    <w:pStyle w:val="36"/>
                    <w:autoSpaceDE w:val="0"/>
                    <w:autoSpaceDN w:val="0"/>
                    <w:rPr>
                      <w:rFonts w:ascii="Calibri" w:hAnsi="Calibri"/>
                    </w:rPr>
                  </w:pPr>
                  <w:r>
                    <w:rPr>
                      <w:rFonts w:ascii="Calibri" w:hAnsi="Calibri"/>
                      <w:spacing w:val="-4"/>
                    </w:rPr>
                    <w:t>监测点位</w:t>
                  </w:r>
                </w:p>
              </w:tc>
              <w:tc>
                <w:tcPr>
                  <w:tcW w:w="3216" w:type="dxa"/>
                  <w:shd w:val="clear" w:color="auto" w:fill="auto"/>
                  <w:vAlign w:val="center"/>
                </w:tcPr>
                <w:p>
                  <w:pPr>
                    <w:pStyle w:val="36"/>
                    <w:autoSpaceDE w:val="0"/>
                    <w:autoSpaceDN w:val="0"/>
                    <w:rPr>
                      <w:rFonts w:ascii="Calibri" w:hAnsi="Calibri"/>
                    </w:rPr>
                  </w:pPr>
                  <w:r>
                    <w:rPr>
                      <w:rFonts w:ascii="Calibri" w:hAnsi="Calibri"/>
                      <w:spacing w:val="-4"/>
                    </w:rPr>
                    <w:t>监测项目</w:t>
                  </w:r>
                </w:p>
              </w:tc>
              <w:tc>
                <w:tcPr>
                  <w:tcW w:w="3212" w:type="dxa"/>
                  <w:shd w:val="clear" w:color="auto" w:fill="auto"/>
                  <w:vAlign w:val="center"/>
                </w:tcPr>
                <w:p>
                  <w:pPr>
                    <w:pStyle w:val="36"/>
                    <w:autoSpaceDE w:val="0"/>
                    <w:autoSpaceDN w:val="0"/>
                    <w:rPr>
                      <w:rFonts w:ascii="Calibri" w:hAnsi="Calibri"/>
                      <w:spacing w:val="-4"/>
                    </w:rPr>
                  </w:pPr>
                  <w:r>
                    <w:rPr>
                      <w:rFonts w:hint="eastAsia" w:ascii="Calibri" w:hAnsi="Calibri"/>
                      <w:spacing w:val="-4"/>
                    </w:rPr>
                    <w:t>监测时间</w:t>
                  </w:r>
                </w:p>
                <w:p>
                  <w:pPr>
                    <w:pStyle w:val="36"/>
                    <w:rPr>
                      <w:rFonts w:ascii="Calibri" w:hAnsi="Calibri"/>
                      <w:spacing w:val="-4"/>
                    </w:rPr>
                  </w:pPr>
                  <w:r>
                    <w:rPr>
                      <w:rFonts w:hint="eastAsia" w:ascii="Calibri" w:hAnsi="Calibri"/>
                      <w:spacing w:val="-4"/>
                    </w:rPr>
                    <w:t>与频率</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Ex>
              <w:trPr>
                <w:trHeight w:val="520" w:hRule="atLeast"/>
                <w:jc w:val="center"/>
              </w:trPr>
              <w:tc>
                <w:tcPr>
                  <w:tcW w:w="507" w:type="dxa"/>
                  <w:shd w:val="clear" w:color="auto" w:fill="auto"/>
                  <w:vAlign w:val="center"/>
                </w:tcPr>
                <w:p>
                  <w:pPr>
                    <w:pStyle w:val="36"/>
                    <w:autoSpaceDE w:val="0"/>
                    <w:autoSpaceDN w:val="0"/>
                    <w:rPr>
                      <w:rFonts w:ascii="Calibri" w:hAnsi="Calibri"/>
                    </w:rPr>
                  </w:pPr>
                  <w:r>
                    <w:rPr>
                      <w:rFonts w:ascii="Calibri" w:hAnsi="Calibri"/>
                      <w:spacing w:val="-8"/>
                    </w:rPr>
                    <w:t>地表</w:t>
                  </w:r>
                </w:p>
                <w:p>
                  <w:pPr>
                    <w:pStyle w:val="36"/>
                    <w:autoSpaceDE w:val="0"/>
                    <w:autoSpaceDN w:val="0"/>
                    <w:rPr>
                      <w:rFonts w:ascii="Calibri" w:hAnsi="Calibri"/>
                    </w:rPr>
                  </w:pPr>
                  <w:r>
                    <w:rPr>
                      <w:rFonts w:ascii="Calibri" w:hAnsi="Calibri"/>
                      <w:spacing w:val="-10"/>
                    </w:rPr>
                    <w:t>水</w:t>
                  </w:r>
                </w:p>
              </w:tc>
              <w:tc>
                <w:tcPr>
                  <w:tcW w:w="1306" w:type="dxa"/>
                  <w:shd w:val="clear" w:color="auto" w:fill="auto"/>
                  <w:vAlign w:val="center"/>
                </w:tcPr>
                <w:p>
                  <w:pPr>
                    <w:pStyle w:val="36"/>
                    <w:autoSpaceDE w:val="0"/>
                    <w:autoSpaceDN w:val="0"/>
                    <w:rPr>
                      <w:rFonts w:ascii="Calibri" w:hAnsi="Calibri"/>
                    </w:rPr>
                  </w:pPr>
                  <w:r>
                    <w:rPr>
                      <w:rFonts w:hint="eastAsia" w:ascii="Calibri" w:hAnsi="Calibri"/>
                      <w:spacing w:val="-4"/>
                    </w:rPr>
                    <w:t>墨砚湖</w:t>
                  </w:r>
                </w:p>
              </w:tc>
              <w:tc>
                <w:tcPr>
                  <w:tcW w:w="3216" w:type="dxa"/>
                  <w:shd w:val="clear" w:color="auto" w:fill="auto"/>
                  <w:vAlign w:val="center"/>
                </w:tcPr>
                <w:p>
                  <w:pPr>
                    <w:pStyle w:val="36"/>
                    <w:autoSpaceDE w:val="0"/>
                    <w:autoSpaceDN w:val="0"/>
                    <w:rPr>
                      <w:rFonts w:ascii="Calibri" w:hAnsi="Calibri"/>
                    </w:rPr>
                  </w:pPr>
                  <w:r>
                    <w:rPr>
                      <w:rFonts w:hAnsi="Calibri" w:eastAsia="Times New Roman"/>
                      <w:spacing w:val="-2"/>
                    </w:rPr>
                    <w:t>pH</w:t>
                  </w:r>
                  <w:r>
                    <w:rPr>
                      <w:rFonts w:ascii="Calibri" w:hAnsi="Calibri"/>
                      <w:spacing w:val="-3"/>
                    </w:rPr>
                    <w:t>、高锰酸盐指数、化学需氧量、五日生化需</w:t>
                  </w:r>
                </w:p>
                <w:p>
                  <w:pPr>
                    <w:pStyle w:val="36"/>
                    <w:autoSpaceDE w:val="0"/>
                    <w:autoSpaceDN w:val="0"/>
                    <w:rPr>
                      <w:rFonts w:ascii="Calibri" w:hAnsi="Calibri"/>
                    </w:rPr>
                  </w:pPr>
                  <w:r>
                    <w:rPr>
                      <w:rFonts w:ascii="Calibri" w:hAnsi="Calibri"/>
                      <w:spacing w:val="-3"/>
                    </w:rPr>
                    <w:t>氧量、氨氮、总磷、总氮、石油类</w:t>
                  </w:r>
                </w:p>
              </w:tc>
              <w:tc>
                <w:tcPr>
                  <w:tcW w:w="3212" w:type="dxa"/>
                  <w:vMerge w:val="restart"/>
                  <w:shd w:val="clear" w:color="auto" w:fill="auto"/>
                  <w:vAlign w:val="center"/>
                </w:tcPr>
                <w:p>
                  <w:pPr>
                    <w:pStyle w:val="36"/>
                    <w:autoSpaceDE w:val="0"/>
                    <w:autoSpaceDN w:val="0"/>
                    <w:rPr>
                      <w:rFonts w:hAnsi="Calibri" w:eastAsia="Times New Roman"/>
                      <w:spacing w:val="-2"/>
                    </w:rPr>
                  </w:pPr>
                  <w:r>
                    <w:rPr>
                      <w:rFonts w:hint="eastAsia" w:ascii="宋体" w:hAnsi="宋体"/>
                      <w:spacing w:val="-2"/>
                    </w:rPr>
                    <w:t>施工高峰</w:t>
                  </w:r>
                </w:p>
                <w:p>
                  <w:pPr>
                    <w:pStyle w:val="36"/>
                    <w:rPr>
                      <w:rFonts w:hAnsi="Calibri" w:eastAsia="Times New Roman"/>
                      <w:spacing w:val="-2"/>
                    </w:rPr>
                  </w:pPr>
                  <w:r>
                    <w:rPr>
                      <w:rFonts w:hint="eastAsia" w:ascii="宋体" w:hAnsi="宋体"/>
                      <w:spacing w:val="-2"/>
                    </w:rPr>
                    <w:t>期测</w:t>
                  </w:r>
                  <w:r>
                    <w:rPr>
                      <w:rFonts w:hint="eastAsia" w:hAnsi="Calibri" w:eastAsia="Times New Roman"/>
                      <w:spacing w:val="-2"/>
                    </w:rPr>
                    <w:t xml:space="preserve">1 </w:t>
                  </w:r>
                  <w:r>
                    <w:rPr>
                      <w:rFonts w:hint="eastAsia" w:ascii="宋体" w:hAnsi="宋体"/>
                      <w:spacing w:val="-2"/>
                    </w:rPr>
                    <w:t>次</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Ex>
              <w:trPr>
                <w:trHeight w:val="508" w:hRule="atLeast"/>
                <w:jc w:val="center"/>
              </w:trPr>
              <w:tc>
                <w:tcPr>
                  <w:tcW w:w="507" w:type="dxa"/>
                  <w:shd w:val="clear" w:color="auto" w:fill="auto"/>
                  <w:vAlign w:val="center"/>
                </w:tcPr>
                <w:p>
                  <w:pPr>
                    <w:pStyle w:val="36"/>
                    <w:autoSpaceDE w:val="0"/>
                    <w:autoSpaceDN w:val="0"/>
                    <w:rPr>
                      <w:rFonts w:ascii="Calibri" w:hAnsi="Calibri"/>
                    </w:rPr>
                  </w:pPr>
                  <w:r>
                    <w:rPr>
                      <w:rFonts w:ascii="Calibri" w:hAnsi="Calibri"/>
                      <w:spacing w:val="-8"/>
                    </w:rPr>
                    <w:t>噪声</w:t>
                  </w:r>
                </w:p>
              </w:tc>
              <w:tc>
                <w:tcPr>
                  <w:tcW w:w="1306" w:type="dxa"/>
                  <w:shd w:val="clear" w:color="auto" w:fill="auto"/>
                  <w:vAlign w:val="center"/>
                </w:tcPr>
                <w:p>
                  <w:pPr>
                    <w:pStyle w:val="36"/>
                    <w:autoSpaceDE w:val="0"/>
                    <w:autoSpaceDN w:val="0"/>
                    <w:rPr>
                      <w:rFonts w:ascii="Calibri" w:hAnsi="Calibri"/>
                    </w:rPr>
                  </w:pPr>
                  <w:r>
                    <w:rPr>
                      <w:rFonts w:ascii="Calibri" w:hAnsi="Calibri"/>
                      <w:spacing w:val="-4"/>
                    </w:rPr>
                    <w:t>施工厂界及周围</w:t>
                  </w:r>
                  <w:r>
                    <w:rPr>
                      <w:rFonts w:ascii="Calibri" w:hAnsi="Calibri"/>
                      <w:spacing w:val="-5"/>
                    </w:rPr>
                    <w:t>敏感点</w:t>
                  </w:r>
                </w:p>
              </w:tc>
              <w:tc>
                <w:tcPr>
                  <w:tcW w:w="3216" w:type="dxa"/>
                  <w:shd w:val="clear" w:color="auto" w:fill="auto"/>
                  <w:vAlign w:val="center"/>
                </w:tcPr>
                <w:p>
                  <w:pPr>
                    <w:pStyle w:val="36"/>
                    <w:autoSpaceDE w:val="0"/>
                    <w:autoSpaceDN w:val="0"/>
                    <w:rPr>
                      <w:rFonts w:ascii="Calibri" w:hAnsi="Calibri"/>
                    </w:rPr>
                  </w:pPr>
                  <w:r>
                    <w:rPr>
                      <w:rFonts w:ascii="Calibri" w:hAnsi="Calibri"/>
                      <w:spacing w:val="-10"/>
                    </w:rPr>
                    <w:t xml:space="preserve">连续等效 </w:t>
                  </w:r>
                  <w:r>
                    <w:rPr>
                      <w:rFonts w:hAnsi="Calibri" w:eastAsia="Times New Roman"/>
                    </w:rPr>
                    <w:t>A</w:t>
                  </w:r>
                  <w:r>
                    <w:rPr>
                      <w:rFonts w:hAnsi="Calibri" w:eastAsia="Times New Roman"/>
                      <w:spacing w:val="-14"/>
                    </w:rPr>
                    <w:t xml:space="preserve"> </w:t>
                  </w:r>
                  <w:r>
                    <w:rPr>
                      <w:rFonts w:ascii="Calibri" w:hAnsi="Calibri"/>
                      <w:spacing w:val="-5"/>
                    </w:rPr>
                    <w:t>声级</w:t>
                  </w:r>
                </w:p>
              </w:tc>
              <w:tc>
                <w:tcPr>
                  <w:tcW w:w="3212" w:type="dxa"/>
                  <w:vMerge w:val="continue"/>
                  <w:shd w:val="clear" w:color="auto" w:fill="auto"/>
                  <w:vAlign w:val="center"/>
                </w:tcPr>
                <w:p>
                  <w:pPr>
                    <w:pStyle w:val="36"/>
                    <w:rPr>
                      <w:rFonts w:ascii="Calibri" w:hAnsi="Calibri"/>
                      <w:spacing w:val="-10"/>
                    </w:rPr>
                  </w:pPr>
                </w:p>
              </w:tc>
            </w:tr>
          </w:tbl>
          <w:p>
            <w:pPr>
              <w:pStyle w:val="38"/>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121" w:hRule="atLeast"/>
          <w:jc w:val="center"/>
        </w:trPr>
        <w:tc>
          <w:tcPr>
            <w:tcW w:w="753" w:type="dxa"/>
            <w:vAlign w:val="center"/>
          </w:tcPr>
          <w:p>
            <w:pPr>
              <w:adjustRightInd w:val="0"/>
              <w:snapToGrid w:val="0"/>
              <w:jc w:val="center"/>
              <w:rPr>
                <w:rFonts w:hint="eastAsia"/>
                <w:bCs/>
                <w:spacing w:val="10"/>
              </w:rPr>
            </w:pPr>
            <w:r>
              <w:rPr>
                <w:rFonts w:hint="eastAsia"/>
                <w:bCs/>
              </w:rPr>
              <w:t>环保投资</w:t>
            </w:r>
          </w:p>
        </w:tc>
        <w:tc>
          <w:tcPr>
            <w:tcW w:w="8457" w:type="dxa"/>
          </w:tcPr>
          <w:p>
            <w:pPr>
              <w:pStyle w:val="42"/>
              <w:ind w:firstLine="480"/>
            </w:pPr>
            <w:r>
              <w:t>本项目为</w:t>
            </w:r>
            <w:r>
              <w:rPr>
                <w:rFonts w:hint="eastAsia"/>
              </w:rPr>
              <w:t>蓬溪县墨砚湖片区排水防涝建设项目</w:t>
            </w:r>
            <w:r>
              <w:t xml:space="preserve">，总项目投资 26500万元，环保投资53.5万元，占总投资的 </w:t>
            </w:r>
            <w:r>
              <w:rPr>
                <w:rFonts w:hint="eastAsia"/>
              </w:rPr>
              <w:t>0.</w:t>
            </w:r>
            <w:r>
              <w:t>2%。本项目环保措施及投资估算见下表。</w:t>
            </w:r>
          </w:p>
          <w:p>
            <w:pPr>
              <w:pStyle w:val="38"/>
            </w:pPr>
            <w:r>
              <w:rPr>
                <w:rFonts w:hint="eastAsia"/>
              </w:rPr>
              <w:t>表5-2 本工程环保总投资估算表      单位：万元</w:t>
            </w:r>
          </w:p>
          <w:tbl>
            <w:tblPr>
              <w:tblStyle w:val="15"/>
              <w:tblW w:w="8241" w:type="dxa"/>
              <w:jc w:val="center"/>
              <w:tblInd w:w="0" w:type="dxa"/>
              <w:tblLayout w:type="fixed"/>
              <w:tblCellMar>
                <w:top w:w="0" w:type="dxa"/>
                <w:left w:w="108" w:type="dxa"/>
                <w:bottom w:w="0" w:type="dxa"/>
                <w:right w:w="108" w:type="dxa"/>
              </w:tblCellMar>
            </w:tblPr>
            <w:tblGrid>
              <w:gridCol w:w="888"/>
              <w:gridCol w:w="1577"/>
              <w:gridCol w:w="4875"/>
              <w:gridCol w:w="901"/>
            </w:tblGrid>
            <w:tr>
              <w:tblPrEx>
                <w:tblLayout w:type="fixed"/>
                <w:tblCellMar>
                  <w:top w:w="0" w:type="dxa"/>
                  <w:left w:w="108" w:type="dxa"/>
                  <w:bottom w:w="0" w:type="dxa"/>
                  <w:right w:w="108" w:type="dxa"/>
                </w:tblCellMar>
              </w:tblPrEx>
              <w:trPr>
                <w:trHeight w:val="285" w:hRule="atLeast"/>
                <w:jc w:val="center"/>
              </w:trPr>
              <w:tc>
                <w:tcPr>
                  <w:tcW w:w="888" w:type="dxa"/>
                  <w:tcBorders>
                    <w:top w:val="single" w:color="auto" w:sz="4" w:space="0"/>
                    <w:bottom w:val="single" w:color="auto" w:sz="4" w:space="0"/>
                    <w:right w:val="single" w:color="auto" w:sz="4" w:space="0"/>
                  </w:tcBorders>
                  <w:shd w:val="clear" w:color="auto" w:fill="auto"/>
                  <w:vAlign w:val="center"/>
                </w:tcPr>
                <w:p>
                  <w:pPr>
                    <w:pStyle w:val="36"/>
                  </w:pPr>
                  <w:r>
                    <w:rPr>
                      <w:rFonts w:hint="eastAsia"/>
                    </w:rPr>
                    <w:t>类型</w:t>
                  </w:r>
                </w:p>
              </w:tc>
              <w:tc>
                <w:tcPr>
                  <w:tcW w:w="1577" w:type="dxa"/>
                  <w:tcBorders>
                    <w:top w:val="single" w:color="auto" w:sz="4" w:space="0"/>
                    <w:left w:val="nil"/>
                    <w:bottom w:val="single" w:color="auto" w:sz="4" w:space="0"/>
                    <w:right w:val="single" w:color="auto" w:sz="4" w:space="0"/>
                  </w:tcBorders>
                  <w:shd w:val="clear" w:color="auto" w:fill="auto"/>
                  <w:vAlign w:val="center"/>
                </w:tcPr>
                <w:p>
                  <w:pPr>
                    <w:pStyle w:val="36"/>
                  </w:pPr>
                  <w:r>
                    <w:rPr>
                      <w:rFonts w:hint="eastAsia"/>
                    </w:rPr>
                    <w:t>项目</w:t>
                  </w:r>
                </w:p>
              </w:tc>
              <w:tc>
                <w:tcPr>
                  <w:tcW w:w="4875" w:type="dxa"/>
                  <w:tcBorders>
                    <w:top w:val="single" w:color="auto" w:sz="4" w:space="0"/>
                    <w:left w:val="nil"/>
                    <w:bottom w:val="single" w:color="auto" w:sz="4" w:space="0"/>
                    <w:right w:val="single" w:color="auto" w:sz="4" w:space="0"/>
                  </w:tcBorders>
                  <w:shd w:val="clear" w:color="auto" w:fill="auto"/>
                  <w:vAlign w:val="center"/>
                </w:tcPr>
                <w:p>
                  <w:pPr>
                    <w:pStyle w:val="36"/>
                  </w:pPr>
                  <w:r>
                    <w:rPr>
                      <w:rFonts w:hint="eastAsia"/>
                    </w:rPr>
                    <w:t>措施内容</w:t>
                  </w:r>
                </w:p>
              </w:tc>
              <w:tc>
                <w:tcPr>
                  <w:tcW w:w="901" w:type="dxa"/>
                  <w:tcBorders>
                    <w:top w:val="single" w:color="auto" w:sz="4" w:space="0"/>
                    <w:left w:val="nil"/>
                    <w:bottom w:val="single" w:color="auto" w:sz="4" w:space="0"/>
                  </w:tcBorders>
                  <w:shd w:val="clear" w:color="auto" w:fill="auto"/>
                  <w:vAlign w:val="center"/>
                </w:tcPr>
                <w:p>
                  <w:pPr>
                    <w:pStyle w:val="36"/>
                  </w:pPr>
                  <w:r>
                    <w:rPr>
                      <w:rFonts w:hint="eastAsia"/>
                    </w:rPr>
                    <w:t>投资</w:t>
                  </w:r>
                </w:p>
              </w:tc>
            </w:tr>
            <w:tr>
              <w:tblPrEx>
                <w:tblLayout w:type="fixed"/>
                <w:tblCellMar>
                  <w:top w:w="0" w:type="dxa"/>
                  <w:left w:w="108" w:type="dxa"/>
                  <w:bottom w:w="0" w:type="dxa"/>
                  <w:right w:w="108" w:type="dxa"/>
                </w:tblCellMar>
              </w:tblPrEx>
              <w:trPr>
                <w:trHeight w:val="530" w:hRule="atLeast"/>
                <w:jc w:val="center"/>
              </w:trPr>
              <w:tc>
                <w:tcPr>
                  <w:tcW w:w="888" w:type="dxa"/>
                  <w:vMerge w:val="restart"/>
                  <w:tcBorders>
                    <w:top w:val="nil"/>
                    <w:bottom w:val="single" w:color="000000" w:sz="4" w:space="0"/>
                    <w:right w:val="single" w:color="auto" w:sz="4" w:space="0"/>
                  </w:tcBorders>
                  <w:shd w:val="clear" w:color="auto" w:fill="auto"/>
                  <w:vAlign w:val="center"/>
                </w:tcPr>
                <w:p>
                  <w:pPr>
                    <w:pStyle w:val="36"/>
                  </w:pPr>
                  <w:r>
                    <w:rPr>
                      <w:rFonts w:hint="eastAsia"/>
                    </w:rPr>
                    <w:t>废气</w:t>
                  </w:r>
                </w:p>
              </w:tc>
              <w:tc>
                <w:tcPr>
                  <w:tcW w:w="1577" w:type="dxa"/>
                  <w:tcBorders>
                    <w:top w:val="nil"/>
                    <w:left w:val="nil"/>
                    <w:bottom w:val="single" w:color="auto" w:sz="4" w:space="0"/>
                    <w:right w:val="single" w:color="auto" w:sz="4" w:space="0"/>
                  </w:tcBorders>
                  <w:shd w:val="clear" w:color="auto" w:fill="auto"/>
                  <w:vAlign w:val="center"/>
                </w:tcPr>
                <w:p>
                  <w:pPr>
                    <w:pStyle w:val="36"/>
                  </w:pPr>
                  <w:r>
                    <w:rPr>
                      <w:rFonts w:hint="eastAsia"/>
                    </w:rPr>
                    <w:t>施工废气</w:t>
                  </w:r>
                </w:p>
              </w:tc>
              <w:tc>
                <w:tcPr>
                  <w:tcW w:w="4875" w:type="dxa"/>
                  <w:tcBorders>
                    <w:top w:val="nil"/>
                    <w:left w:val="nil"/>
                    <w:bottom w:val="single" w:color="auto" w:sz="4" w:space="0"/>
                    <w:right w:val="single" w:color="auto" w:sz="4" w:space="0"/>
                  </w:tcBorders>
                  <w:shd w:val="clear" w:color="auto" w:fill="auto"/>
                  <w:vAlign w:val="center"/>
                </w:tcPr>
                <w:p>
                  <w:pPr>
                    <w:pStyle w:val="36"/>
                  </w:pPr>
                  <w:r>
                    <w:rPr>
                      <w:rFonts w:hint="eastAsia"/>
                    </w:rPr>
                    <w:t xml:space="preserve">严格执行“六必须、六不准”和“六个百分之百”管控措施；施工现场不得设置现场搅拌混凝土；车辆装载高度应低于车厢上沿，不得超高超载；坚持文明装卸，运输车辆装卸完货后应清洁车厢；施工现场禁止焚烧沥青、油毡、橡胶、垃圾等易产生有毒有害烟尘和恶臭气体的物质；优选施工单位，做到文明施工，土方的挖掘、堆放要规范有序；施工现场设置围挡，现在设置喷淋设施及水管，安排专人对施工现场洒水清洁. </w:t>
                  </w:r>
                </w:p>
              </w:tc>
              <w:tc>
                <w:tcPr>
                  <w:tcW w:w="901" w:type="dxa"/>
                  <w:vMerge w:val="restart"/>
                  <w:tcBorders>
                    <w:top w:val="nil"/>
                    <w:left w:val="single" w:color="auto" w:sz="4" w:space="0"/>
                    <w:bottom w:val="single" w:color="000000" w:sz="4" w:space="0"/>
                  </w:tcBorders>
                  <w:shd w:val="clear" w:color="auto" w:fill="auto"/>
                  <w:vAlign w:val="center"/>
                </w:tcPr>
                <w:p>
                  <w:pPr>
                    <w:pStyle w:val="36"/>
                  </w:pPr>
                  <w:r>
                    <w:rPr>
                      <w:rFonts w:hint="eastAsia"/>
                    </w:rPr>
                    <w:t>20</w:t>
                  </w:r>
                </w:p>
              </w:tc>
            </w:tr>
            <w:tr>
              <w:tblPrEx>
                <w:tblLayout w:type="fixed"/>
                <w:tblCellMar>
                  <w:top w:w="0" w:type="dxa"/>
                  <w:left w:w="108" w:type="dxa"/>
                  <w:bottom w:w="0" w:type="dxa"/>
                  <w:right w:w="108" w:type="dxa"/>
                </w:tblCellMar>
              </w:tblPrEx>
              <w:trPr>
                <w:trHeight w:val="799" w:hRule="atLeast"/>
                <w:jc w:val="center"/>
              </w:trPr>
              <w:tc>
                <w:tcPr>
                  <w:tcW w:w="888" w:type="dxa"/>
                  <w:vMerge w:val="continue"/>
                  <w:tcBorders>
                    <w:top w:val="nil"/>
                    <w:bottom w:val="single" w:color="000000" w:sz="4" w:space="0"/>
                    <w:right w:val="single" w:color="auto" w:sz="4" w:space="0"/>
                  </w:tcBorders>
                  <w:vAlign w:val="center"/>
                </w:tcPr>
                <w:p>
                  <w:pPr>
                    <w:pStyle w:val="36"/>
                  </w:pPr>
                </w:p>
              </w:tc>
              <w:tc>
                <w:tcPr>
                  <w:tcW w:w="1577" w:type="dxa"/>
                  <w:tcBorders>
                    <w:top w:val="nil"/>
                    <w:left w:val="nil"/>
                    <w:bottom w:val="single" w:color="auto" w:sz="4" w:space="0"/>
                    <w:right w:val="single" w:color="auto" w:sz="4" w:space="0"/>
                  </w:tcBorders>
                  <w:shd w:val="clear" w:color="auto" w:fill="auto"/>
                  <w:vAlign w:val="center"/>
                </w:tcPr>
                <w:p>
                  <w:pPr>
                    <w:pStyle w:val="36"/>
                  </w:pPr>
                  <w:r>
                    <w:rPr>
                      <w:rFonts w:hint="eastAsia"/>
                    </w:rPr>
                    <w:t>机械设备尾气</w:t>
                  </w:r>
                </w:p>
              </w:tc>
              <w:tc>
                <w:tcPr>
                  <w:tcW w:w="4875" w:type="dxa"/>
                  <w:tcBorders>
                    <w:top w:val="nil"/>
                    <w:left w:val="nil"/>
                    <w:bottom w:val="single" w:color="auto" w:sz="4" w:space="0"/>
                    <w:right w:val="single" w:color="auto" w:sz="4" w:space="0"/>
                  </w:tcBorders>
                  <w:shd w:val="clear" w:color="auto" w:fill="auto"/>
                  <w:vAlign w:val="center"/>
                </w:tcPr>
                <w:p>
                  <w:pPr>
                    <w:pStyle w:val="36"/>
                  </w:pPr>
                  <w:r>
                    <w:rPr>
                      <w:rFonts w:hint="eastAsia"/>
                    </w:rPr>
                    <w:t>选择满足国家规定排放标准的施工机械；加强施工机械和车辆的维护和保养。</w:t>
                  </w:r>
                </w:p>
              </w:tc>
              <w:tc>
                <w:tcPr>
                  <w:tcW w:w="901" w:type="dxa"/>
                  <w:vMerge w:val="continue"/>
                  <w:tcBorders>
                    <w:top w:val="nil"/>
                    <w:left w:val="single" w:color="auto" w:sz="4" w:space="0"/>
                    <w:bottom w:val="single" w:color="000000" w:sz="4" w:space="0"/>
                  </w:tcBorders>
                  <w:vAlign w:val="center"/>
                </w:tcPr>
                <w:p>
                  <w:pPr>
                    <w:pStyle w:val="36"/>
                  </w:pPr>
                </w:p>
              </w:tc>
            </w:tr>
            <w:tr>
              <w:tblPrEx>
                <w:tblLayout w:type="fixed"/>
                <w:tblCellMar>
                  <w:top w:w="0" w:type="dxa"/>
                  <w:left w:w="108" w:type="dxa"/>
                  <w:bottom w:w="0" w:type="dxa"/>
                  <w:right w:w="108" w:type="dxa"/>
                </w:tblCellMar>
              </w:tblPrEx>
              <w:trPr>
                <w:trHeight w:val="780" w:hRule="atLeast"/>
                <w:jc w:val="center"/>
              </w:trPr>
              <w:tc>
                <w:tcPr>
                  <w:tcW w:w="888" w:type="dxa"/>
                  <w:tcBorders>
                    <w:top w:val="nil"/>
                    <w:bottom w:val="single" w:color="auto" w:sz="4" w:space="0"/>
                    <w:right w:val="single" w:color="auto" w:sz="4" w:space="0"/>
                  </w:tcBorders>
                  <w:shd w:val="clear" w:color="auto" w:fill="auto"/>
                  <w:vAlign w:val="center"/>
                </w:tcPr>
                <w:p>
                  <w:pPr>
                    <w:pStyle w:val="36"/>
                  </w:pPr>
                  <w:r>
                    <w:rPr>
                      <w:rFonts w:hint="eastAsia"/>
                    </w:rPr>
                    <w:t>噪声</w:t>
                  </w:r>
                </w:p>
              </w:tc>
              <w:tc>
                <w:tcPr>
                  <w:tcW w:w="1577" w:type="dxa"/>
                  <w:tcBorders>
                    <w:top w:val="nil"/>
                    <w:left w:val="nil"/>
                    <w:bottom w:val="single" w:color="auto" w:sz="4" w:space="0"/>
                    <w:right w:val="single" w:color="auto" w:sz="4" w:space="0"/>
                  </w:tcBorders>
                  <w:shd w:val="clear" w:color="auto" w:fill="auto"/>
                  <w:vAlign w:val="center"/>
                </w:tcPr>
                <w:p>
                  <w:pPr>
                    <w:pStyle w:val="36"/>
                  </w:pPr>
                  <w:r>
                    <w:rPr>
                      <w:rFonts w:hint="eastAsia"/>
                    </w:rPr>
                    <w:t>施工噪声</w:t>
                  </w:r>
                </w:p>
              </w:tc>
              <w:tc>
                <w:tcPr>
                  <w:tcW w:w="4875" w:type="dxa"/>
                  <w:tcBorders>
                    <w:top w:val="nil"/>
                    <w:left w:val="nil"/>
                    <w:bottom w:val="single" w:color="auto" w:sz="4" w:space="0"/>
                    <w:right w:val="single" w:color="auto" w:sz="4" w:space="0"/>
                  </w:tcBorders>
                  <w:shd w:val="clear" w:color="auto" w:fill="auto"/>
                  <w:vAlign w:val="center"/>
                </w:tcPr>
                <w:p>
                  <w:pPr>
                    <w:pStyle w:val="36"/>
                  </w:pPr>
                  <w:r>
                    <w:rPr>
                      <w:rFonts w:hint="eastAsia"/>
                    </w:rPr>
                    <w:t>选用低噪声设备、加强机械维修保养、施工机械合理布局、合理安排施工时间、文明施工等_</w:t>
                  </w:r>
                </w:p>
              </w:tc>
              <w:tc>
                <w:tcPr>
                  <w:tcW w:w="901" w:type="dxa"/>
                  <w:tcBorders>
                    <w:top w:val="nil"/>
                    <w:left w:val="nil"/>
                    <w:bottom w:val="single" w:color="auto" w:sz="4" w:space="0"/>
                  </w:tcBorders>
                  <w:shd w:val="clear" w:color="auto" w:fill="auto"/>
                  <w:vAlign w:val="center"/>
                </w:tcPr>
                <w:p>
                  <w:pPr>
                    <w:pStyle w:val="36"/>
                  </w:pPr>
                  <w:r>
                    <w:rPr>
                      <w:rFonts w:hint="eastAsia"/>
                    </w:rPr>
                    <w:t>4</w:t>
                  </w:r>
                </w:p>
              </w:tc>
            </w:tr>
            <w:tr>
              <w:tblPrEx>
                <w:tblLayout w:type="fixed"/>
                <w:tblCellMar>
                  <w:top w:w="0" w:type="dxa"/>
                  <w:left w:w="108" w:type="dxa"/>
                  <w:bottom w:w="0" w:type="dxa"/>
                  <w:right w:w="108" w:type="dxa"/>
                </w:tblCellMar>
              </w:tblPrEx>
              <w:trPr>
                <w:trHeight w:val="780" w:hRule="atLeast"/>
                <w:jc w:val="center"/>
              </w:trPr>
              <w:tc>
                <w:tcPr>
                  <w:tcW w:w="888" w:type="dxa"/>
                  <w:vMerge w:val="restart"/>
                  <w:tcBorders>
                    <w:top w:val="nil"/>
                    <w:bottom w:val="single" w:color="000000" w:sz="4" w:space="0"/>
                    <w:right w:val="single" w:color="auto" w:sz="4" w:space="0"/>
                  </w:tcBorders>
                  <w:shd w:val="clear" w:color="auto" w:fill="auto"/>
                  <w:vAlign w:val="center"/>
                </w:tcPr>
                <w:p>
                  <w:pPr>
                    <w:pStyle w:val="36"/>
                  </w:pPr>
                  <w:r>
                    <w:rPr>
                      <w:rFonts w:hint="eastAsia"/>
                    </w:rPr>
                    <w:t>固废</w:t>
                  </w:r>
                </w:p>
              </w:tc>
              <w:tc>
                <w:tcPr>
                  <w:tcW w:w="1577" w:type="dxa"/>
                  <w:tcBorders>
                    <w:top w:val="nil"/>
                    <w:left w:val="nil"/>
                    <w:bottom w:val="single" w:color="auto" w:sz="4" w:space="0"/>
                    <w:right w:val="single" w:color="auto" w:sz="4" w:space="0"/>
                  </w:tcBorders>
                  <w:shd w:val="clear" w:color="auto" w:fill="auto"/>
                  <w:vAlign w:val="center"/>
                </w:tcPr>
                <w:p>
                  <w:pPr>
                    <w:pStyle w:val="36"/>
                  </w:pPr>
                  <w:r>
                    <w:rPr>
                      <w:rFonts w:hint="eastAsia"/>
                    </w:rPr>
                    <w:t>建筑垃圾</w:t>
                  </w:r>
                </w:p>
              </w:tc>
              <w:tc>
                <w:tcPr>
                  <w:tcW w:w="4875" w:type="dxa"/>
                  <w:tcBorders>
                    <w:top w:val="nil"/>
                    <w:left w:val="nil"/>
                    <w:bottom w:val="single" w:color="auto" w:sz="4" w:space="0"/>
                    <w:right w:val="single" w:color="auto" w:sz="4" w:space="0"/>
                  </w:tcBorders>
                  <w:shd w:val="clear" w:color="auto" w:fill="auto"/>
                  <w:vAlign w:val="center"/>
                </w:tcPr>
                <w:p>
                  <w:pPr>
                    <w:pStyle w:val="36"/>
                  </w:pPr>
                  <w:r>
                    <w:rPr>
                      <w:rFonts w:hint="eastAsia"/>
                    </w:rPr>
                    <w:t>分类收集，可以再次利用的回收利用，不能回收的则统一清运至指定弃渣场</w:t>
                  </w:r>
                </w:p>
              </w:tc>
              <w:tc>
                <w:tcPr>
                  <w:tcW w:w="901" w:type="dxa"/>
                  <w:tcBorders>
                    <w:top w:val="nil"/>
                    <w:left w:val="nil"/>
                    <w:bottom w:val="single" w:color="auto" w:sz="4" w:space="0"/>
                  </w:tcBorders>
                  <w:shd w:val="clear" w:color="auto" w:fill="auto"/>
                  <w:vAlign w:val="center"/>
                </w:tcPr>
                <w:p>
                  <w:pPr>
                    <w:pStyle w:val="36"/>
                  </w:pPr>
                  <w:r>
                    <w:rPr>
                      <w:rFonts w:hint="eastAsia"/>
                    </w:rPr>
                    <w:t>4</w:t>
                  </w:r>
                </w:p>
              </w:tc>
            </w:tr>
            <w:tr>
              <w:tblPrEx>
                <w:tblLayout w:type="fixed"/>
                <w:tblCellMar>
                  <w:top w:w="0" w:type="dxa"/>
                  <w:left w:w="108" w:type="dxa"/>
                  <w:bottom w:w="0" w:type="dxa"/>
                  <w:right w:w="108" w:type="dxa"/>
                </w:tblCellMar>
              </w:tblPrEx>
              <w:trPr>
                <w:trHeight w:val="780" w:hRule="atLeast"/>
                <w:jc w:val="center"/>
              </w:trPr>
              <w:tc>
                <w:tcPr>
                  <w:tcW w:w="888" w:type="dxa"/>
                  <w:vMerge w:val="continue"/>
                  <w:tcBorders>
                    <w:top w:val="nil"/>
                    <w:bottom w:val="single" w:color="000000" w:sz="4" w:space="0"/>
                    <w:right w:val="single" w:color="auto" w:sz="4" w:space="0"/>
                  </w:tcBorders>
                  <w:vAlign w:val="center"/>
                </w:tcPr>
                <w:p>
                  <w:pPr>
                    <w:pStyle w:val="36"/>
                  </w:pPr>
                </w:p>
              </w:tc>
              <w:tc>
                <w:tcPr>
                  <w:tcW w:w="1577" w:type="dxa"/>
                  <w:tcBorders>
                    <w:top w:val="nil"/>
                    <w:left w:val="nil"/>
                    <w:bottom w:val="single" w:color="auto" w:sz="4" w:space="0"/>
                    <w:right w:val="single" w:color="auto" w:sz="4" w:space="0"/>
                  </w:tcBorders>
                  <w:shd w:val="clear" w:color="auto" w:fill="auto"/>
                  <w:vAlign w:val="center"/>
                </w:tcPr>
                <w:p>
                  <w:pPr>
                    <w:pStyle w:val="36"/>
                  </w:pPr>
                  <w:r>
                    <w:rPr>
                      <w:rFonts w:hint="eastAsia"/>
                    </w:rPr>
                    <w:t>沉淀池沉渣</w:t>
                  </w:r>
                </w:p>
              </w:tc>
              <w:tc>
                <w:tcPr>
                  <w:tcW w:w="4875" w:type="dxa"/>
                  <w:tcBorders>
                    <w:top w:val="nil"/>
                    <w:left w:val="nil"/>
                    <w:bottom w:val="single" w:color="auto" w:sz="4" w:space="0"/>
                    <w:right w:val="single" w:color="auto" w:sz="4" w:space="0"/>
                  </w:tcBorders>
                  <w:shd w:val="clear" w:color="auto" w:fill="auto"/>
                  <w:vAlign w:val="center"/>
                </w:tcPr>
                <w:p>
                  <w:pPr>
                    <w:pStyle w:val="36"/>
                  </w:pPr>
                  <w:r>
                    <w:rPr>
                      <w:rFonts w:hint="eastAsia"/>
                    </w:rPr>
                    <w:t>含油污泥及沉淀池沉渣收集后委托有资质的单位进行处理。</w:t>
                  </w:r>
                </w:p>
              </w:tc>
              <w:tc>
                <w:tcPr>
                  <w:tcW w:w="901" w:type="dxa"/>
                  <w:tcBorders>
                    <w:top w:val="nil"/>
                    <w:left w:val="nil"/>
                    <w:bottom w:val="single" w:color="auto" w:sz="4" w:space="0"/>
                  </w:tcBorders>
                  <w:shd w:val="clear" w:color="auto" w:fill="auto"/>
                  <w:vAlign w:val="center"/>
                </w:tcPr>
                <w:p>
                  <w:pPr>
                    <w:pStyle w:val="36"/>
                  </w:pPr>
                  <w:r>
                    <w:rPr>
                      <w:rFonts w:hint="eastAsia"/>
                    </w:rPr>
                    <w:t>2</w:t>
                  </w:r>
                </w:p>
              </w:tc>
            </w:tr>
            <w:tr>
              <w:tblPrEx>
                <w:tblLayout w:type="fixed"/>
                <w:tblCellMar>
                  <w:top w:w="0" w:type="dxa"/>
                  <w:left w:w="108" w:type="dxa"/>
                  <w:bottom w:w="0" w:type="dxa"/>
                  <w:right w:w="108" w:type="dxa"/>
                </w:tblCellMar>
              </w:tblPrEx>
              <w:trPr>
                <w:trHeight w:val="822" w:hRule="atLeast"/>
                <w:jc w:val="center"/>
              </w:trPr>
              <w:tc>
                <w:tcPr>
                  <w:tcW w:w="888" w:type="dxa"/>
                  <w:vMerge w:val="continue"/>
                  <w:tcBorders>
                    <w:top w:val="nil"/>
                    <w:bottom w:val="single" w:color="000000" w:sz="4" w:space="0"/>
                    <w:right w:val="single" w:color="auto" w:sz="4" w:space="0"/>
                  </w:tcBorders>
                  <w:vAlign w:val="center"/>
                </w:tcPr>
                <w:p>
                  <w:pPr>
                    <w:pStyle w:val="36"/>
                  </w:pPr>
                </w:p>
              </w:tc>
              <w:tc>
                <w:tcPr>
                  <w:tcW w:w="1577" w:type="dxa"/>
                  <w:tcBorders>
                    <w:top w:val="nil"/>
                    <w:left w:val="nil"/>
                    <w:bottom w:val="single" w:color="auto" w:sz="4" w:space="0"/>
                    <w:right w:val="single" w:color="auto" w:sz="4" w:space="0"/>
                  </w:tcBorders>
                  <w:shd w:val="clear" w:color="auto" w:fill="auto"/>
                  <w:vAlign w:val="center"/>
                </w:tcPr>
                <w:p>
                  <w:pPr>
                    <w:pStyle w:val="36"/>
                  </w:pPr>
                  <w:r>
                    <w:rPr>
                      <w:rFonts w:hint="eastAsia"/>
                    </w:rPr>
                    <w:t>生活垃圾</w:t>
                  </w:r>
                </w:p>
              </w:tc>
              <w:tc>
                <w:tcPr>
                  <w:tcW w:w="4875" w:type="dxa"/>
                  <w:tcBorders>
                    <w:top w:val="nil"/>
                    <w:left w:val="nil"/>
                    <w:bottom w:val="single" w:color="auto" w:sz="4" w:space="0"/>
                    <w:right w:val="single" w:color="auto" w:sz="4" w:space="0"/>
                  </w:tcBorders>
                  <w:shd w:val="clear" w:color="auto" w:fill="auto"/>
                  <w:vAlign w:val="center"/>
                </w:tcPr>
                <w:p>
                  <w:pPr>
                    <w:pStyle w:val="36"/>
                  </w:pPr>
                  <w:r>
                    <w:rPr>
                      <w:rFonts w:hint="eastAsia"/>
                    </w:rPr>
                    <w:t>施工营地、施工场地分别设置垃圾收集桶，由环卫部门进行统一收集处理，避免随意丢弃</w:t>
                  </w:r>
                </w:p>
              </w:tc>
              <w:tc>
                <w:tcPr>
                  <w:tcW w:w="901" w:type="dxa"/>
                  <w:tcBorders>
                    <w:top w:val="nil"/>
                    <w:left w:val="nil"/>
                    <w:bottom w:val="single" w:color="auto" w:sz="4" w:space="0"/>
                  </w:tcBorders>
                  <w:shd w:val="clear" w:color="auto" w:fill="auto"/>
                  <w:vAlign w:val="center"/>
                </w:tcPr>
                <w:p>
                  <w:pPr>
                    <w:pStyle w:val="36"/>
                  </w:pPr>
                  <w:r>
                    <w:rPr>
                      <w:rFonts w:hint="eastAsia"/>
                    </w:rPr>
                    <w:t>1.5</w:t>
                  </w:r>
                </w:p>
              </w:tc>
            </w:tr>
            <w:tr>
              <w:tblPrEx>
                <w:tblLayout w:type="fixed"/>
                <w:tblCellMar>
                  <w:top w:w="0" w:type="dxa"/>
                  <w:left w:w="108" w:type="dxa"/>
                  <w:bottom w:w="0" w:type="dxa"/>
                  <w:right w:w="108" w:type="dxa"/>
                </w:tblCellMar>
              </w:tblPrEx>
              <w:trPr>
                <w:trHeight w:val="780" w:hRule="atLeast"/>
                <w:jc w:val="center"/>
              </w:trPr>
              <w:tc>
                <w:tcPr>
                  <w:tcW w:w="888" w:type="dxa"/>
                  <w:vMerge w:val="restart"/>
                  <w:tcBorders>
                    <w:top w:val="nil"/>
                    <w:bottom w:val="single" w:color="000000" w:sz="4" w:space="0"/>
                    <w:right w:val="single" w:color="auto" w:sz="4" w:space="0"/>
                  </w:tcBorders>
                  <w:shd w:val="clear" w:color="auto" w:fill="auto"/>
                  <w:vAlign w:val="center"/>
                </w:tcPr>
                <w:p>
                  <w:pPr>
                    <w:pStyle w:val="36"/>
                  </w:pPr>
                  <w:r>
                    <w:rPr>
                      <w:rFonts w:hint="eastAsia"/>
                    </w:rPr>
                    <w:t>废水</w:t>
                  </w:r>
                </w:p>
              </w:tc>
              <w:tc>
                <w:tcPr>
                  <w:tcW w:w="1577" w:type="dxa"/>
                  <w:tcBorders>
                    <w:top w:val="nil"/>
                    <w:left w:val="nil"/>
                    <w:bottom w:val="single" w:color="auto" w:sz="4" w:space="0"/>
                    <w:right w:val="single" w:color="auto" w:sz="4" w:space="0"/>
                  </w:tcBorders>
                  <w:shd w:val="clear" w:color="auto" w:fill="auto"/>
                  <w:vAlign w:val="center"/>
                </w:tcPr>
                <w:p>
                  <w:pPr>
                    <w:pStyle w:val="36"/>
                  </w:pPr>
                  <w:r>
                    <w:rPr>
                      <w:rFonts w:hint="eastAsia"/>
                    </w:rPr>
                    <w:t>生活污水</w:t>
                  </w:r>
                </w:p>
              </w:tc>
              <w:tc>
                <w:tcPr>
                  <w:tcW w:w="4875" w:type="dxa"/>
                  <w:tcBorders>
                    <w:top w:val="nil"/>
                    <w:left w:val="nil"/>
                    <w:bottom w:val="single" w:color="auto" w:sz="4" w:space="0"/>
                    <w:right w:val="single" w:color="auto" w:sz="4" w:space="0"/>
                  </w:tcBorders>
                  <w:shd w:val="clear" w:color="auto" w:fill="auto"/>
                  <w:vAlign w:val="center"/>
                </w:tcPr>
                <w:p>
                  <w:pPr>
                    <w:pStyle w:val="36"/>
                  </w:pPr>
                  <w:r>
                    <w:rPr>
                      <w:rFonts w:hint="eastAsia"/>
                    </w:rPr>
                    <w:t>依托工程段现有的厕所化粪池收集后排入场镇污水管网，经污水处理厂处理后达标排出</w:t>
                  </w:r>
                </w:p>
              </w:tc>
              <w:tc>
                <w:tcPr>
                  <w:tcW w:w="901" w:type="dxa"/>
                  <w:tcBorders>
                    <w:top w:val="nil"/>
                    <w:left w:val="nil"/>
                    <w:bottom w:val="single" w:color="auto" w:sz="4" w:space="0"/>
                  </w:tcBorders>
                  <w:shd w:val="clear" w:color="auto" w:fill="auto"/>
                  <w:vAlign w:val="center"/>
                </w:tcPr>
                <w:p>
                  <w:pPr>
                    <w:pStyle w:val="36"/>
                  </w:pPr>
                  <w:r>
                    <w:rPr>
                      <w:rFonts w:hint="eastAsia"/>
                    </w:rPr>
                    <w:t>/</w:t>
                  </w:r>
                </w:p>
              </w:tc>
            </w:tr>
            <w:tr>
              <w:tblPrEx>
                <w:tblLayout w:type="fixed"/>
                <w:tblCellMar>
                  <w:top w:w="0" w:type="dxa"/>
                  <w:left w:w="108" w:type="dxa"/>
                  <w:bottom w:w="0" w:type="dxa"/>
                  <w:right w:w="108" w:type="dxa"/>
                </w:tblCellMar>
              </w:tblPrEx>
              <w:trPr>
                <w:trHeight w:val="1279" w:hRule="atLeast"/>
                <w:jc w:val="center"/>
              </w:trPr>
              <w:tc>
                <w:tcPr>
                  <w:tcW w:w="888" w:type="dxa"/>
                  <w:vMerge w:val="continue"/>
                  <w:tcBorders>
                    <w:top w:val="nil"/>
                    <w:bottom w:val="single" w:color="000000" w:sz="4" w:space="0"/>
                    <w:right w:val="single" w:color="auto" w:sz="4" w:space="0"/>
                  </w:tcBorders>
                  <w:vAlign w:val="center"/>
                </w:tcPr>
                <w:p>
                  <w:pPr>
                    <w:pStyle w:val="36"/>
                  </w:pPr>
                </w:p>
              </w:tc>
              <w:tc>
                <w:tcPr>
                  <w:tcW w:w="1577" w:type="dxa"/>
                  <w:tcBorders>
                    <w:top w:val="nil"/>
                    <w:left w:val="nil"/>
                    <w:bottom w:val="single" w:color="auto" w:sz="4" w:space="0"/>
                    <w:right w:val="single" w:color="auto" w:sz="4" w:space="0"/>
                  </w:tcBorders>
                  <w:shd w:val="clear" w:color="auto" w:fill="auto"/>
                  <w:vAlign w:val="center"/>
                </w:tcPr>
                <w:p>
                  <w:pPr>
                    <w:pStyle w:val="36"/>
                  </w:pPr>
                  <w:r>
                    <w:rPr>
                      <w:rFonts w:hint="eastAsia"/>
                    </w:rPr>
                    <w:t>施工废水</w:t>
                  </w:r>
                </w:p>
              </w:tc>
              <w:tc>
                <w:tcPr>
                  <w:tcW w:w="4875" w:type="dxa"/>
                  <w:tcBorders>
                    <w:top w:val="nil"/>
                    <w:left w:val="nil"/>
                    <w:bottom w:val="single" w:color="auto" w:sz="4" w:space="0"/>
                    <w:right w:val="single" w:color="auto" w:sz="4" w:space="0"/>
                  </w:tcBorders>
                  <w:shd w:val="clear" w:color="auto" w:fill="auto"/>
                  <w:vAlign w:val="center"/>
                </w:tcPr>
                <w:p>
                  <w:pPr>
                    <w:pStyle w:val="36"/>
                  </w:pPr>
                  <w:r>
                    <w:rPr>
                      <w:rFonts w:hint="eastAsia"/>
                    </w:rPr>
                    <w:t>施工场地共设置1个隔油池(2.5m³)、1个沉淀池(15m³),1个回用水池 (20m³) 。</w:t>
                  </w:r>
                </w:p>
              </w:tc>
              <w:tc>
                <w:tcPr>
                  <w:tcW w:w="901" w:type="dxa"/>
                  <w:tcBorders>
                    <w:top w:val="nil"/>
                    <w:left w:val="nil"/>
                    <w:bottom w:val="single" w:color="auto" w:sz="4" w:space="0"/>
                  </w:tcBorders>
                  <w:shd w:val="clear" w:color="auto" w:fill="auto"/>
                  <w:vAlign w:val="center"/>
                </w:tcPr>
                <w:p>
                  <w:pPr>
                    <w:pStyle w:val="36"/>
                  </w:pPr>
                  <w:r>
                    <w:rPr>
                      <w:rFonts w:hint="eastAsia"/>
                    </w:rPr>
                    <w:t>5</w:t>
                  </w:r>
                </w:p>
              </w:tc>
            </w:tr>
            <w:tr>
              <w:tblPrEx>
                <w:tblLayout w:type="fixed"/>
                <w:tblCellMar>
                  <w:top w:w="0" w:type="dxa"/>
                  <w:left w:w="108" w:type="dxa"/>
                  <w:bottom w:w="0" w:type="dxa"/>
                  <w:right w:w="108" w:type="dxa"/>
                </w:tblCellMar>
              </w:tblPrEx>
              <w:trPr>
                <w:trHeight w:val="5059" w:hRule="atLeast"/>
                <w:jc w:val="center"/>
              </w:trPr>
              <w:tc>
                <w:tcPr>
                  <w:tcW w:w="2465" w:type="dxa"/>
                  <w:gridSpan w:val="2"/>
                  <w:tcBorders>
                    <w:top w:val="single" w:color="auto" w:sz="4" w:space="0"/>
                    <w:bottom w:val="single" w:color="auto" w:sz="4" w:space="0"/>
                    <w:right w:val="single" w:color="000000" w:sz="4" w:space="0"/>
                  </w:tcBorders>
                  <w:shd w:val="clear" w:color="auto" w:fill="auto"/>
                  <w:vAlign w:val="center"/>
                </w:tcPr>
                <w:p>
                  <w:pPr>
                    <w:pStyle w:val="36"/>
                  </w:pPr>
                  <w:r>
                    <w:rPr>
                      <w:rFonts w:hint="eastAsia"/>
                    </w:rPr>
                    <w:t>生态保护措施</w:t>
                  </w:r>
                </w:p>
              </w:tc>
              <w:tc>
                <w:tcPr>
                  <w:tcW w:w="4875" w:type="dxa"/>
                  <w:tcBorders>
                    <w:top w:val="nil"/>
                    <w:left w:val="nil"/>
                    <w:bottom w:val="single" w:color="auto" w:sz="4" w:space="0"/>
                    <w:right w:val="single" w:color="auto" w:sz="4" w:space="0"/>
                  </w:tcBorders>
                  <w:shd w:val="clear" w:color="auto" w:fill="auto"/>
                  <w:vAlign w:val="center"/>
                </w:tcPr>
                <w:p>
                  <w:pPr>
                    <w:pStyle w:val="36"/>
                  </w:pPr>
                  <w:r>
                    <w:rPr>
                      <w:rFonts w:hint="eastAsia"/>
                    </w:rPr>
                    <w:t>优化施工布设，减少临时占地，尽可能减少地表扰动和植被破坏；</w:t>
                  </w:r>
                  <w:r>
                    <w:rPr>
                      <w:rFonts w:hint="eastAsia"/>
                    </w:rPr>
                    <w:br w:type="textWrapping"/>
                  </w:r>
                  <w:r>
                    <w:rPr>
                      <w:rFonts w:hint="eastAsia"/>
                    </w:rPr>
                    <w:t>合理安排施工工序、分区施工；</w:t>
                  </w:r>
                  <w:r>
                    <w:rPr>
                      <w:rFonts w:hint="eastAsia"/>
                    </w:rPr>
                    <w:br w:type="textWrapping"/>
                  </w:r>
                  <w:r>
                    <w:rPr>
                      <w:rFonts w:hint="eastAsia"/>
                    </w:rPr>
                    <w:t>涉水工程尽可能在枯水期施工，减少扰动；</w:t>
                  </w:r>
                  <w:r>
                    <w:rPr>
                      <w:rFonts w:hint="eastAsia"/>
                    </w:rPr>
                    <w:br w:type="textWrapping"/>
                  </w:r>
                  <w:r>
                    <w:rPr>
                      <w:rFonts w:hint="eastAsia"/>
                    </w:rPr>
                    <w:t>严格控制施工红线，禁止乱挖乱弃；严格控制行车范围，禁止车辆下道行驶，严格控制施工扰动范围；</w:t>
                  </w:r>
                  <w:r>
                    <w:rPr>
                      <w:rFonts w:hint="eastAsia"/>
                    </w:rPr>
                    <w:br w:type="textWrapping"/>
                  </w:r>
                  <w:r>
                    <w:rPr>
                      <w:rFonts w:hint="eastAsia"/>
                    </w:rPr>
                    <w:t>严禁将生活污水、施工废水排入芝溪河，严禁将生活垃圾和施工弃渣丢弃至芝溪河；</w:t>
                  </w:r>
                  <w:r>
                    <w:rPr>
                      <w:rFonts w:hint="eastAsia"/>
                    </w:rPr>
                    <w:br w:type="textWrapping"/>
                  </w:r>
                  <w:r>
                    <w:rPr>
                      <w:rFonts w:hint="eastAsia"/>
                    </w:rPr>
                    <w:t>施工前开展环境保护培训及普法宣传；</w:t>
                  </w:r>
                  <w:r>
                    <w:rPr>
                      <w:rFonts w:hint="eastAsia"/>
                    </w:rPr>
                    <w:br w:type="textWrapping"/>
                  </w:r>
                  <w:r>
                    <w:rPr>
                      <w:rFonts w:hint="eastAsia"/>
                    </w:rPr>
                    <w:t>设置警示标牌、保护宣传标牌；</w:t>
                  </w:r>
                  <w:r>
                    <w:rPr>
                      <w:rFonts w:hint="eastAsia"/>
                    </w:rPr>
                    <w:br w:type="textWrapping"/>
                  </w:r>
                  <w:r>
                    <w:rPr>
                      <w:rFonts w:hint="eastAsia"/>
                    </w:rPr>
                    <w:t>设置临时排水沟，对施工范围内绿化带采取临时挡护、遮盖的措施，施工完毕后对临时占地根据区域规划要求进行人工植草绿化治理和恢复。</w:t>
                  </w:r>
                </w:p>
              </w:tc>
              <w:tc>
                <w:tcPr>
                  <w:tcW w:w="901" w:type="dxa"/>
                  <w:tcBorders>
                    <w:top w:val="nil"/>
                    <w:left w:val="nil"/>
                    <w:bottom w:val="single" w:color="auto" w:sz="4" w:space="0"/>
                  </w:tcBorders>
                  <w:shd w:val="clear" w:color="auto" w:fill="auto"/>
                  <w:vAlign w:val="center"/>
                </w:tcPr>
                <w:p>
                  <w:pPr>
                    <w:pStyle w:val="36"/>
                  </w:pPr>
                  <w:r>
                    <w:rPr>
                      <w:rFonts w:hint="eastAsia"/>
                    </w:rPr>
                    <w:t>10</w:t>
                  </w:r>
                </w:p>
              </w:tc>
            </w:tr>
            <w:tr>
              <w:tblPrEx>
                <w:tblLayout w:type="fixed"/>
                <w:tblCellMar>
                  <w:top w:w="0" w:type="dxa"/>
                  <w:left w:w="108" w:type="dxa"/>
                  <w:bottom w:w="0" w:type="dxa"/>
                  <w:right w:w="108" w:type="dxa"/>
                </w:tblCellMar>
              </w:tblPrEx>
              <w:trPr>
                <w:trHeight w:val="480" w:hRule="atLeast"/>
                <w:jc w:val="center"/>
              </w:trPr>
              <w:tc>
                <w:tcPr>
                  <w:tcW w:w="2465" w:type="dxa"/>
                  <w:gridSpan w:val="2"/>
                  <w:tcBorders>
                    <w:top w:val="single" w:color="auto" w:sz="4" w:space="0"/>
                    <w:bottom w:val="single" w:color="auto" w:sz="4" w:space="0"/>
                    <w:right w:val="single" w:color="000000" w:sz="4" w:space="0"/>
                  </w:tcBorders>
                  <w:shd w:val="clear" w:color="auto" w:fill="auto"/>
                  <w:vAlign w:val="center"/>
                </w:tcPr>
                <w:p>
                  <w:pPr>
                    <w:pStyle w:val="36"/>
                  </w:pPr>
                  <w:r>
                    <w:rPr>
                      <w:rFonts w:hint="eastAsia"/>
                    </w:rPr>
                    <w:t>环境监理</w:t>
                  </w:r>
                </w:p>
              </w:tc>
              <w:tc>
                <w:tcPr>
                  <w:tcW w:w="4875" w:type="dxa"/>
                  <w:tcBorders>
                    <w:top w:val="nil"/>
                    <w:left w:val="nil"/>
                    <w:bottom w:val="single" w:color="auto" w:sz="4" w:space="0"/>
                    <w:right w:val="single" w:color="auto" w:sz="4" w:space="0"/>
                  </w:tcBorders>
                  <w:shd w:val="clear" w:color="auto" w:fill="auto"/>
                  <w:vAlign w:val="center"/>
                </w:tcPr>
                <w:p>
                  <w:pPr>
                    <w:pStyle w:val="36"/>
                  </w:pPr>
                  <w:r>
                    <w:rPr>
                      <w:rFonts w:hint="eastAsia"/>
                    </w:rPr>
                    <w:t>环保培训；施工期的环境保护措施进行监督、管理</w:t>
                  </w:r>
                </w:p>
              </w:tc>
              <w:tc>
                <w:tcPr>
                  <w:tcW w:w="901" w:type="dxa"/>
                  <w:tcBorders>
                    <w:top w:val="nil"/>
                    <w:left w:val="nil"/>
                    <w:bottom w:val="single" w:color="auto" w:sz="4" w:space="0"/>
                  </w:tcBorders>
                  <w:shd w:val="clear" w:color="auto" w:fill="auto"/>
                  <w:vAlign w:val="center"/>
                </w:tcPr>
                <w:p>
                  <w:pPr>
                    <w:pStyle w:val="36"/>
                  </w:pPr>
                  <w:r>
                    <w:rPr>
                      <w:rFonts w:hint="eastAsia"/>
                    </w:rPr>
                    <w:t>5</w:t>
                  </w:r>
                </w:p>
              </w:tc>
            </w:tr>
            <w:tr>
              <w:tblPrEx>
                <w:tblLayout w:type="fixed"/>
                <w:tblCellMar>
                  <w:top w:w="0" w:type="dxa"/>
                  <w:left w:w="108" w:type="dxa"/>
                  <w:bottom w:w="0" w:type="dxa"/>
                  <w:right w:w="108" w:type="dxa"/>
                </w:tblCellMar>
              </w:tblPrEx>
              <w:trPr>
                <w:trHeight w:val="499" w:hRule="atLeast"/>
                <w:jc w:val="center"/>
              </w:trPr>
              <w:tc>
                <w:tcPr>
                  <w:tcW w:w="2465" w:type="dxa"/>
                  <w:gridSpan w:val="2"/>
                  <w:tcBorders>
                    <w:top w:val="single" w:color="auto" w:sz="4" w:space="0"/>
                    <w:bottom w:val="single" w:color="auto" w:sz="4" w:space="0"/>
                    <w:right w:val="single" w:color="000000" w:sz="4" w:space="0"/>
                  </w:tcBorders>
                  <w:shd w:val="clear" w:color="auto" w:fill="auto"/>
                  <w:vAlign w:val="center"/>
                </w:tcPr>
                <w:p>
                  <w:pPr>
                    <w:pStyle w:val="36"/>
                  </w:pPr>
                  <w:r>
                    <w:rPr>
                      <w:rFonts w:hint="eastAsia"/>
                    </w:rPr>
                    <w:t>环境监测</w:t>
                  </w:r>
                </w:p>
              </w:tc>
              <w:tc>
                <w:tcPr>
                  <w:tcW w:w="4875" w:type="dxa"/>
                  <w:tcBorders>
                    <w:top w:val="nil"/>
                    <w:left w:val="nil"/>
                    <w:bottom w:val="single" w:color="auto" w:sz="4" w:space="0"/>
                    <w:right w:val="single" w:color="auto" w:sz="4" w:space="0"/>
                  </w:tcBorders>
                  <w:shd w:val="clear" w:color="auto" w:fill="auto"/>
                  <w:vAlign w:val="center"/>
                </w:tcPr>
                <w:p>
                  <w:pPr>
                    <w:pStyle w:val="36"/>
                  </w:pPr>
                  <w:r>
                    <w:rPr>
                      <w:rFonts w:hint="eastAsia"/>
                    </w:rPr>
                    <w:t>验收监测</w:t>
                  </w:r>
                </w:p>
              </w:tc>
              <w:tc>
                <w:tcPr>
                  <w:tcW w:w="901" w:type="dxa"/>
                  <w:tcBorders>
                    <w:top w:val="nil"/>
                    <w:left w:val="nil"/>
                    <w:bottom w:val="single" w:color="auto" w:sz="4" w:space="0"/>
                  </w:tcBorders>
                  <w:shd w:val="clear" w:color="auto" w:fill="auto"/>
                  <w:vAlign w:val="center"/>
                </w:tcPr>
                <w:p>
                  <w:pPr>
                    <w:pStyle w:val="36"/>
                  </w:pPr>
                  <w:r>
                    <w:rPr>
                      <w:rFonts w:hint="eastAsia"/>
                    </w:rPr>
                    <w:t>2</w:t>
                  </w:r>
                </w:p>
              </w:tc>
            </w:tr>
            <w:tr>
              <w:tblPrEx>
                <w:tblLayout w:type="fixed"/>
                <w:tblCellMar>
                  <w:top w:w="0" w:type="dxa"/>
                  <w:left w:w="108" w:type="dxa"/>
                  <w:bottom w:w="0" w:type="dxa"/>
                  <w:right w:w="108" w:type="dxa"/>
                </w:tblCellMar>
              </w:tblPrEx>
              <w:trPr>
                <w:trHeight w:val="480" w:hRule="atLeast"/>
                <w:jc w:val="center"/>
              </w:trPr>
              <w:tc>
                <w:tcPr>
                  <w:tcW w:w="7340" w:type="dxa"/>
                  <w:gridSpan w:val="3"/>
                  <w:tcBorders>
                    <w:top w:val="single" w:color="auto" w:sz="4" w:space="0"/>
                    <w:bottom w:val="single" w:color="auto" w:sz="4" w:space="0"/>
                    <w:right w:val="single" w:color="000000" w:sz="4" w:space="0"/>
                  </w:tcBorders>
                  <w:shd w:val="clear" w:color="auto" w:fill="auto"/>
                  <w:vAlign w:val="center"/>
                </w:tcPr>
                <w:p>
                  <w:pPr>
                    <w:pStyle w:val="36"/>
                  </w:pPr>
                  <w:r>
                    <w:rPr>
                      <w:rFonts w:hint="eastAsia"/>
                    </w:rPr>
                    <w:t>合计</w:t>
                  </w:r>
                </w:p>
              </w:tc>
              <w:tc>
                <w:tcPr>
                  <w:tcW w:w="901" w:type="dxa"/>
                  <w:tcBorders>
                    <w:top w:val="nil"/>
                    <w:left w:val="nil"/>
                    <w:bottom w:val="single" w:color="auto" w:sz="4" w:space="0"/>
                  </w:tcBorders>
                  <w:shd w:val="clear" w:color="auto" w:fill="auto"/>
                  <w:vAlign w:val="center"/>
                </w:tcPr>
                <w:p>
                  <w:pPr>
                    <w:pStyle w:val="36"/>
                  </w:pPr>
                  <w:r>
                    <w:t>53.5</w:t>
                  </w:r>
                </w:p>
              </w:tc>
            </w:tr>
          </w:tbl>
          <w:p>
            <w:pPr>
              <w:adjustRightInd w:val="0"/>
              <w:snapToGrid w:val="0"/>
              <w:rPr>
                <w:rFonts w:hint="eastAsia"/>
                <w:bCs/>
                <w:spacing w:val="10"/>
              </w:rPr>
            </w:pPr>
          </w:p>
        </w:tc>
      </w:tr>
    </w:tbl>
    <w:p>
      <w:pPr>
        <w:ind w:firstLine="480"/>
        <w:rPr>
          <w:rFonts w:hint="eastAsia"/>
        </w:rPr>
        <w:sectPr>
          <w:pgSz w:w="11907" w:h="16840"/>
          <w:pgMar w:top="1440" w:right="1797" w:bottom="1440" w:left="1797" w:header="851" w:footer="1077" w:gutter="0"/>
          <w:cols w:space="720" w:num="1"/>
          <w:docGrid w:linePitch="312" w:charSpace="0"/>
        </w:sectPr>
      </w:pPr>
    </w:p>
    <w:p>
      <w:pPr>
        <w:pStyle w:val="13"/>
        <w:ind w:firstLine="600"/>
        <w:jc w:val="center"/>
        <w:outlineLvl w:val="0"/>
        <w:rPr>
          <w:rFonts w:hint="eastAsia" w:ascii="黑体" w:hAnsi="黑体" w:eastAsia="黑体"/>
          <w:snapToGrid w:val="0"/>
          <w:sz w:val="30"/>
          <w:szCs w:val="30"/>
        </w:rPr>
      </w:pPr>
      <w:r>
        <w:rPr>
          <w:rFonts w:hint="eastAsia" w:ascii="黑体" w:hAnsi="黑体" w:eastAsia="黑体"/>
          <w:snapToGrid w:val="0"/>
          <w:sz w:val="30"/>
          <w:szCs w:val="30"/>
        </w:rPr>
        <w:t>六、生态环境保护措施监督检查清单</w:t>
      </w:r>
    </w:p>
    <w:tbl>
      <w:tblPr>
        <w:tblStyle w:val="15"/>
        <w:tblW w:w="9075" w:type="dxa"/>
        <w:tblInd w:w="27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0"/>
        <w:gridCol w:w="1268"/>
        <w:gridCol w:w="7"/>
        <w:gridCol w:w="3711"/>
        <w:gridCol w:w="20"/>
        <w:gridCol w:w="1317"/>
        <w:gridCol w:w="20"/>
        <w:gridCol w:w="1489"/>
        <w:gridCol w:w="20"/>
        <w:gridCol w:w="1183"/>
        <w:gridCol w:w="2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gridAfter w:val="1"/>
          <w:wAfter w:w="20" w:type="dxa"/>
          <w:trHeight w:val="272" w:hRule="atLeast"/>
        </w:trPr>
        <w:tc>
          <w:tcPr>
            <w:tcW w:w="1288" w:type="dxa"/>
            <w:gridSpan w:val="2"/>
            <w:vMerge w:val="restart"/>
            <w:tcBorders>
              <w:bottom w:val="single" w:color="000000" w:sz="4" w:space="0"/>
              <w:right w:val="single" w:color="000000" w:sz="4" w:space="0"/>
            </w:tcBorders>
            <w:shd w:val="clear" w:color="auto" w:fill="auto"/>
            <w:vAlign w:val="center"/>
          </w:tcPr>
          <w:p>
            <w:pPr>
              <w:pStyle w:val="36"/>
              <w:rPr>
                <w:b/>
                <w:bCs/>
                <w:sz w:val="24"/>
              </w:rPr>
            </w:pPr>
            <w:bookmarkStart w:id="13" w:name="_Hlk193124045"/>
            <w:r>
              <w:rPr>
                <w:b/>
                <w:bCs/>
                <w:sz w:val="24"/>
              </w:rPr>
              <mc:AlternateContent>
                <mc:Choice Requires="wpg">
                  <w:drawing>
                    <wp:anchor distT="0" distB="0" distL="0" distR="0" simplePos="0" relativeHeight="251659264" behindDoc="1" locked="0" layoutInCell="1" allowOverlap="1">
                      <wp:simplePos x="0" y="0"/>
                      <wp:positionH relativeFrom="column">
                        <wp:posOffset>1905</wp:posOffset>
                      </wp:positionH>
                      <wp:positionV relativeFrom="paragraph">
                        <wp:posOffset>-4445</wp:posOffset>
                      </wp:positionV>
                      <wp:extent cx="817880" cy="661670"/>
                      <wp:effectExtent l="0" t="0" r="0" b="0"/>
                      <wp:wrapNone/>
                      <wp:docPr id="1696524695" name="组合 5"/>
                      <wp:cNvGraphicFramePr/>
                      <a:graphic xmlns:a="http://schemas.openxmlformats.org/drawingml/2006/main">
                        <a:graphicData uri="http://schemas.microsoft.com/office/word/2010/wordprocessingGroup">
                          <wpg:wgp>
                            <wpg:cNvGrpSpPr/>
                            <wpg:grpSpPr>
                              <a:xfrm>
                                <a:off x="0" y="0"/>
                                <a:ext cx="817880" cy="661670"/>
                                <a:chOff x="0" y="0"/>
                                <a:chExt cx="817880" cy="661670"/>
                              </a:xfrm>
                            </wpg:grpSpPr>
                            <wps:wsp>
                              <wps:cNvPr id="121" name="Graphic 121"/>
                              <wps:cNvSpPr/>
                              <wps:spPr>
                                <a:xfrm>
                                  <a:off x="3175" y="3175"/>
                                  <a:ext cx="811530" cy="655320"/>
                                </a:xfrm>
                                <a:custGeom>
                                  <a:avLst/>
                                  <a:gdLst/>
                                  <a:ahLst/>
                                  <a:cxnLst/>
                                  <a:rect l="l" t="t" r="r" b="b"/>
                                  <a:pathLst>
                                    <a:path w="811530" h="655320">
                                      <a:moveTo>
                                        <a:pt x="0" y="0"/>
                                      </a:moveTo>
                                      <a:lnTo>
                                        <a:pt x="811530" y="655319"/>
                                      </a:lnTo>
                                    </a:path>
                                  </a:pathLst>
                                </a:custGeom>
                                <a:ln w="6350">
                                  <a:solidFill>
                                    <a:srgbClr val="000000"/>
                                  </a:solidFill>
                                  <a:prstDash val="solid"/>
                                </a:ln>
                              </wps:spPr>
                              <wps:bodyPr wrap="square" lIns="0" tIns="0" rIns="0" bIns="0" rtlCol="0">
                                <a:noAutofit/>
                              </wps:bodyPr>
                            </wps:wsp>
                          </wpg:wgp>
                        </a:graphicData>
                      </a:graphic>
                    </wp:anchor>
                  </w:drawing>
                </mc:Choice>
                <mc:Fallback>
                  <w:pict>
                    <v:group id="组合 5" o:spid="_x0000_s1026" o:spt="203" style="position:absolute;left:0pt;margin-left:0.15pt;margin-top:-0.35pt;height:52.1pt;width:64.4pt;z-index:-251657216;mso-width-relative:page;mso-height-relative:page;" coordsize="817880,661670" o:gfxdata="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I7lBB/WAAAABgEAAA8AAAAAAAAAAQAgAAAAIgAAAGRycy9kb3du&#10;cmV2LnhtbFBLAQIUABQAAAAIAIdO4kAgkiMpcwIAAHsFAAAOAAAAAAAAAAEAIAAAACUBAABkcnMv&#10;ZTJvRG9jLnhtbFBLBQYAAAAABgAGAFkBAAAKBgAAAAA=&#10;">
                      <o:lock v:ext="edit" aspectratio="f"/>
                      <v:shape id="Graphic 121" o:spid="_x0000_s1026" o:spt="100" style="position:absolute;left:3175;top:3175;height:655320;width:811530;" filled="f" stroked="t" coordsize="811530,655320" o:gfxdata="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r7CDJtwAAANwAAAAP&#10;AAAAAAAAAAEAIAAAACIAAABkcnMvZG93bnJldi54bWxQSwECFAAUAAAACACHTuJAMy8FnjsAAAA5&#10;AAAAEAAAAAAAAAABACAAAAAGAQAAZHJzL3NoYXBleG1sLnhtbFBLBQYAAAAABgAGAFsBAACwAwAA&#10;AAA=&#10;" path="m0,0l811530,655319e">
                        <v:fill on="f" focussize="0,0"/>
                        <v:stroke weight="0.5pt" color="#000000" joinstyle="round"/>
                        <v:imagedata o:title=""/>
                        <o:lock v:ext="edit" aspectratio="f"/>
                        <v:textbox inset="0mm,0mm,0mm,0mm"/>
                      </v:shape>
                    </v:group>
                  </w:pict>
                </mc:Fallback>
              </mc:AlternateContent>
            </w:r>
            <w:r>
              <w:rPr>
                <w:b/>
                <w:bCs/>
                <w:spacing w:val="-6"/>
                <w:sz w:val="24"/>
              </w:rPr>
              <w:t>内容</w:t>
            </w:r>
          </w:p>
          <w:p>
            <w:pPr>
              <w:pStyle w:val="36"/>
              <w:rPr>
                <w:b/>
                <w:bCs/>
                <w:sz w:val="24"/>
              </w:rPr>
            </w:pPr>
          </w:p>
          <w:p>
            <w:pPr>
              <w:pStyle w:val="36"/>
              <w:rPr>
                <w:b/>
                <w:bCs/>
                <w:sz w:val="24"/>
              </w:rPr>
            </w:pPr>
            <w:r>
              <w:rPr>
                <w:b/>
                <w:bCs/>
                <w:spacing w:val="-6"/>
                <w:sz w:val="24"/>
              </w:rPr>
              <w:t>要素</w:t>
            </w:r>
          </w:p>
        </w:tc>
        <w:tc>
          <w:tcPr>
            <w:tcW w:w="5055" w:type="dxa"/>
            <w:gridSpan w:val="4"/>
            <w:tcBorders>
              <w:left w:val="single" w:color="000000" w:sz="4" w:space="0"/>
              <w:bottom w:val="single" w:color="000000" w:sz="4" w:space="0"/>
              <w:right w:val="single" w:color="000000" w:sz="4" w:space="0"/>
            </w:tcBorders>
            <w:shd w:val="clear" w:color="auto" w:fill="auto"/>
            <w:vAlign w:val="center"/>
          </w:tcPr>
          <w:p>
            <w:pPr>
              <w:pStyle w:val="36"/>
              <w:rPr>
                <w:b/>
                <w:bCs/>
                <w:sz w:val="24"/>
              </w:rPr>
            </w:pPr>
            <w:r>
              <w:rPr>
                <w:b/>
                <w:bCs/>
                <w:spacing w:val="-5"/>
                <w:sz w:val="24"/>
              </w:rPr>
              <w:t>施工期</w:t>
            </w:r>
          </w:p>
        </w:tc>
        <w:tc>
          <w:tcPr>
            <w:tcW w:w="2712" w:type="dxa"/>
            <w:gridSpan w:val="4"/>
            <w:tcBorders>
              <w:left w:val="single" w:color="000000" w:sz="4" w:space="0"/>
              <w:bottom w:val="single" w:color="000000" w:sz="4" w:space="0"/>
            </w:tcBorders>
            <w:shd w:val="clear" w:color="auto" w:fill="auto"/>
            <w:vAlign w:val="center"/>
          </w:tcPr>
          <w:p>
            <w:pPr>
              <w:pStyle w:val="36"/>
              <w:rPr>
                <w:b/>
                <w:bCs/>
                <w:sz w:val="24"/>
              </w:rPr>
            </w:pPr>
            <w:r>
              <w:rPr>
                <w:b/>
                <w:bCs/>
                <w:spacing w:val="-5"/>
                <w:sz w:val="24"/>
              </w:rPr>
              <w:t>运营期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gridAfter w:val="1"/>
          <w:wAfter w:w="20" w:type="dxa"/>
          <w:trHeight w:val="745" w:hRule="atLeast"/>
        </w:trPr>
        <w:tc>
          <w:tcPr>
            <w:tcW w:w="1288" w:type="dxa"/>
            <w:gridSpan w:val="2"/>
            <w:vMerge w:val="continue"/>
            <w:tcBorders>
              <w:top w:val="nil"/>
              <w:bottom w:val="single" w:color="000000" w:sz="4" w:space="0"/>
              <w:right w:val="single" w:color="000000" w:sz="4" w:space="0"/>
            </w:tcBorders>
            <w:shd w:val="clear" w:color="auto" w:fill="auto"/>
            <w:vAlign w:val="center"/>
          </w:tcPr>
          <w:p>
            <w:pPr>
              <w:pStyle w:val="36"/>
              <w:rPr>
                <w:b/>
                <w:bCs/>
                <w:sz w:val="24"/>
              </w:rPr>
            </w:pPr>
          </w:p>
        </w:tc>
        <w:tc>
          <w:tcPr>
            <w:tcW w:w="371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36"/>
              <w:rPr>
                <w:b/>
                <w:bCs/>
                <w:sz w:val="24"/>
              </w:rPr>
            </w:pPr>
            <w:r>
              <w:rPr>
                <w:b/>
                <w:bCs/>
                <w:spacing w:val="-4"/>
                <w:sz w:val="24"/>
              </w:rPr>
              <w:t>环境保护措施</w:t>
            </w:r>
          </w:p>
        </w:tc>
        <w:tc>
          <w:tcPr>
            <w:tcW w:w="133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36"/>
              <w:rPr>
                <w:b/>
                <w:bCs/>
                <w:sz w:val="24"/>
              </w:rPr>
            </w:pPr>
            <w:r>
              <w:rPr>
                <w:b/>
                <w:bCs/>
                <w:spacing w:val="-4"/>
                <w:sz w:val="24"/>
              </w:rPr>
              <w:t>验收要求</w:t>
            </w:r>
          </w:p>
        </w:tc>
        <w:tc>
          <w:tcPr>
            <w:tcW w:w="150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36"/>
              <w:rPr>
                <w:b/>
                <w:bCs/>
                <w:sz w:val="24"/>
              </w:rPr>
            </w:pPr>
            <w:r>
              <w:rPr>
                <w:b/>
                <w:bCs/>
                <w:spacing w:val="-4"/>
                <w:sz w:val="24"/>
              </w:rPr>
              <w:t>环境保护措施</w:t>
            </w:r>
          </w:p>
        </w:tc>
        <w:tc>
          <w:tcPr>
            <w:tcW w:w="1203" w:type="dxa"/>
            <w:gridSpan w:val="2"/>
            <w:tcBorders>
              <w:top w:val="single" w:color="000000" w:sz="4" w:space="0"/>
              <w:left w:val="single" w:color="000000" w:sz="4" w:space="0"/>
              <w:bottom w:val="single" w:color="000000" w:sz="4" w:space="0"/>
            </w:tcBorders>
            <w:shd w:val="clear" w:color="auto" w:fill="auto"/>
            <w:vAlign w:val="center"/>
          </w:tcPr>
          <w:p>
            <w:pPr>
              <w:pStyle w:val="36"/>
              <w:rPr>
                <w:b/>
                <w:bCs/>
                <w:sz w:val="24"/>
              </w:rPr>
            </w:pPr>
            <w:r>
              <w:rPr>
                <w:b/>
                <w:bCs/>
                <w:spacing w:val="-4"/>
                <w:sz w:val="24"/>
              </w:rPr>
              <w:t>验收要求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gridAfter w:val="1"/>
          <w:wAfter w:w="20" w:type="dxa"/>
          <w:trHeight w:val="2723" w:hRule="atLeast"/>
        </w:trPr>
        <w:tc>
          <w:tcPr>
            <w:tcW w:w="1288" w:type="dxa"/>
            <w:gridSpan w:val="2"/>
            <w:tcBorders>
              <w:top w:val="single" w:color="000000" w:sz="4" w:space="0"/>
              <w:bottom w:val="single" w:color="000000" w:sz="4" w:space="0"/>
              <w:right w:val="single" w:color="000000" w:sz="4" w:space="0"/>
            </w:tcBorders>
            <w:shd w:val="clear" w:color="auto" w:fill="auto"/>
            <w:vAlign w:val="center"/>
          </w:tcPr>
          <w:p>
            <w:pPr>
              <w:pStyle w:val="36"/>
              <w:rPr>
                <w:sz w:val="24"/>
              </w:rPr>
            </w:pPr>
            <w:r>
              <w:rPr>
                <w:spacing w:val="-7"/>
                <w:sz w:val="24"/>
              </w:rPr>
              <w:t>陆生生态</w:t>
            </w:r>
          </w:p>
        </w:tc>
        <w:tc>
          <w:tcPr>
            <w:tcW w:w="371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36"/>
              <w:rPr>
                <w:sz w:val="24"/>
              </w:rPr>
            </w:pPr>
            <w:r>
              <w:rPr>
                <w:spacing w:val="-6"/>
                <w:sz w:val="24"/>
              </w:rPr>
              <w:t>尽量减少占地，缩小施工作业范围，减</w:t>
            </w:r>
            <w:r>
              <w:rPr>
                <w:spacing w:val="-2"/>
                <w:sz w:val="24"/>
              </w:rPr>
              <w:t>轻占地生态影响；</w:t>
            </w:r>
            <w:r>
              <w:rPr>
                <w:spacing w:val="-9"/>
                <w:sz w:val="24"/>
              </w:rPr>
              <w:t>严格控制施工红线，不得破坏施工范围</w:t>
            </w:r>
            <w:r>
              <w:rPr>
                <w:spacing w:val="-10"/>
                <w:sz w:val="24"/>
              </w:rPr>
              <w:t>外的植被，减少对鸟类及两栖类栖息生</w:t>
            </w:r>
            <w:r>
              <w:rPr>
                <w:spacing w:val="-2"/>
                <w:sz w:val="24"/>
              </w:rPr>
              <w:t>境的破坏；合理安排施工进度，缩短施工时间； 避免夜间施工，对附近居民产生影响；施工结束之后及时对场地进行恢复；施</w:t>
            </w:r>
            <w:r>
              <w:rPr>
                <w:spacing w:val="-11"/>
                <w:sz w:val="24"/>
              </w:rPr>
              <w:t>工前，对施工人员进行全面的环境保</w:t>
            </w:r>
          </w:p>
          <w:p>
            <w:pPr>
              <w:pStyle w:val="36"/>
              <w:rPr>
                <w:sz w:val="24"/>
              </w:rPr>
            </w:pPr>
            <w:r>
              <w:rPr>
                <w:spacing w:val="-3"/>
                <w:sz w:val="24"/>
              </w:rPr>
              <w:t>护培训及普法宣传。</w:t>
            </w:r>
          </w:p>
        </w:tc>
        <w:tc>
          <w:tcPr>
            <w:tcW w:w="133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36"/>
              <w:rPr>
                <w:sz w:val="24"/>
              </w:rPr>
            </w:pPr>
            <w:r>
              <w:rPr>
                <w:spacing w:val="-2"/>
                <w:sz w:val="24"/>
              </w:rPr>
              <w:t>施工不会对周围生态环境产生明显</w:t>
            </w:r>
            <w:r>
              <w:rPr>
                <w:spacing w:val="-6"/>
                <w:sz w:val="24"/>
              </w:rPr>
              <w:t>影响</w:t>
            </w:r>
          </w:p>
        </w:tc>
        <w:tc>
          <w:tcPr>
            <w:tcW w:w="150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36"/>
              <w:rPr>
                <w:rFonts w:ascii="Calibri"/>
                <w:sz w:val="24"/>
              </w:rPr>
            </w:pPr>
            <w:r>
              <w:rPr>
                <w:rFonts w:ascii="Calibri"/>
                <w:spacing w:val="-10"/>
                <w:sz w:val="24"/>
              </w:rPr>
              <w:t>/</w:t>
            </w:r>
          </w:p>
        </w:tc>
        <w:tc>
          <w:tcPr>
            <w:tcW w:w="1203" w:type="dxa"/>
            <w:gridSpan w:val="2"/>
            <w:tcBorders>
              <w:top w:val="single" w:color="000000" w:sz="4" w:space="0"/>
              <w:left w:val="single" w:color="000000" w:sz="4" w:space="0"/>
              <w:bottom w:val="single" w:color="000000" w:sz="4" w:space="0"/>
            </w:tcBorders>
            <w:shd w:val="clear" w:color="auto" w:fill="auto"/>
            <w:vAlign w:val="center"/>
          </w:tcPr>
          <w:p>
            <w:pPr>
              <w:pStyle w:val="36"/>
              <w:rPr>
                <w:rFonts w:ascii="Calibri"/>
                <w:sz w:val="24"/>
              </w:rPr>
            </w:pPr>
            <w:r>
              <w:rPr>
                <w:rFonts w:ascii="Calibri"/>
                <w:spacing w:val="-10"/>
                <w:sz w:val="24"/>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gridAfter w:val="1"/>
          <w:wAfter w:w="20" w:type="dxa"/>
          <w:trHeight w:val="1633" w:hRule="atLeast"/>
        </w:trPr>
        <w:tc>
          <w:tcPr>
            <w:tcW w:w="1288" w:type="dxa"/>
            <w:gridSpan w:val="2"/>
            <w:tcBorders>
              <w:top w:val="single" w:color="000000" w:sz="4" w:space="0"/>
              <w:bottom w:val="single" w:color="000000" w:sz="4" w:space="0"/>
              <w:right w:val="single" w:color="000000" w:sz="4" w:space="0"/>
            </w:tcBorders>
            <w:shd w:val="clear" w:color="auto" w:fill="auto"/>
            <w:vAlign w:val="center"/>
          </w:tcPr>
          <w:p>
            <w:pPr>
              <w:pStyle w:val="36"/>
              <w:rPr>
                <w:sz w:val="24"/>
              </w:rPr>
            </w:pPr>
            <w:r>
              <w:rPr>
                <w:spacing w:val="-7"/>
                <w:sz w:val="24"/>
              </w:rPr>
              <w:t>水生生态</w:t>
            </w:r>
          </w:p>
        </w:tc>
        <w:tc>
          <w:tcPr>
            <w:tcW w:w="371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36"/>
              <w:rPr>
                <w:sz w:val="24"/>
              </w:rPr>
            </w:pPr>
            <w:r>
              <w:rPr>
                <w:spacing w:val="-2"/>
                <w:sz w:val="24"/>
              </w:rPr>
              <w:t>尽可能在枯水期施工，减少扰动； 严禁将生活污水、施工废水排入芝溪河</w:t>
            </w:r>
            <w:r>
              <w:rPr>
                <w:spacing w:val="-11"/>
                <w:sz w:val="24"/>
              </w:rPr>
              <w:t>，严禁将生活垃圾和施工弃渣丢弃至</w:t>
            </w:r>
            <w:r>
              <w:rPr>
                <w:spacing w:val="-4"/>
                <w:sz w:val="24"/>
              </w:rPr>
              <w:t>芝溪河；</w:t>
            </w:r>
            <w:r>
              <w:rPr>
                <w:spacing w:val="-11"/>
                <w:sz w:val="24"/>
              </w:rPr>
              <w:t>施工前，对施工人员进行全面的环境保</w:t>
            </w:r>
            <w:r>
              <w:rPr>
                <w:spacing w:val="-3"/>
                <w:sz w:val="24"/>
              </w:rPr>
              <w:t>护培训及普法宣传。</w:t>
            </w:r>
          </w:p>
        </w:tc>
        <w:tc>
          <w:tcPr>
            <w:tcW w:w="133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36"/>
              <w:rPr>
                <w:sz w:val="24"/>
              </w:rPr>
            </w:pPr>
            <w:r>
              <w:rPr>
                <w:spacing w:val="-2"/>
                <w:sz w:val="24"/>
              </w:rPr>
              <w:t>施工不会对芝溪河水生生物造成明</w:t>
            </w:r>
            <w:r>
              <w:rPr>
                <w:spacing w:val="-4"/>
                <w:sz w:val="24"/>
              </w:rPr>
              <w:t>显不利影响</w:t>
            </w:r>
          </w:p>
        </w:tc>
        <w:tc>
          <w:tcPr>
            <w:tcW w:w="150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36"/>
              <w:rPr>
                <w:rFonts w:ascii="Calibri"/>
                <w:sz w:val="24"/>
              </w:rPr>
            </w:pPr>
            <w:r>
              <w:rPr>
                <w:rFonts w:ascii="Calibri"/>
                <w:spacing w:val="-10"/>
                <w:sz w:val="24"/>
              </w:rPr>
              <w:t>/</w:t>
            </w:r>
          </w:p>
        </w:tc>
        <w:tc>
          <w:tcPr>
            <w:tcW w:w="1203" w:type="dxa"/>
            <w:gridSpan w:val="2"/>
            <w:tcBorders>
              <w:top w:val="single" w:color="000000" w:sz="4" w:space="0"/>
              <w:left w:val="single" w:color="000000" w:sz="4" w:space="0"/>
              <w:bottom w:val="single" w:color="000000" w:sz="4" w:space="0"/>
            </w:tcBorders>
            <w:shd w:val="clear" w:color="auto" w:fill="auto"/>
            <w:vAlign w:val="center"/>
          </w:tcPr>
          <w:p>
            <w:pPr>
              <w:pStyle w:val="36"/>
              <w:rPr>
                <w:rFonts w:ascii="Calibri"/>
                <w:sz w:val="24"/>
              </w:rPr>
            </w:pPr>
            <w:r>
              <w:rPr>
                <w:rFonts w:ascii="Calibri"/>
                <w:spacing w:val="-10"/>
                <w:sz w:val="24"/>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gridAfter w:val="1"/>
          <w:wAfter w:w="20" w:type="dxa"/>
          <w:trHeight w:val="1633" w:hRule="atLeast"/>
        </w:trPr>
        <w:tc>
          <w:tcPr>
            <w:tcW w:w="1288" w:type="dxa"/>
            <w:gridSpan w:val="2"/>
            <w:tcBorders>
              <w:top w:val="single" w:color="000000" w:sz="4" w:space="0"/>
              <w:bottom w:val="single" w:color="000000" w:sz="4" w:space="0"/>
              <w:right w:val="single" w:color="000000" w:sz="4" w:space="0"/>
            </w:tcBorders>
            <w:shd w:val="clear" w:color="auto" w:fill="auto"/>
            <w:vAlign w:val="center"/>
          </w:tcPr>
          <w:p>
            <w:pPr>
              <w:pStyle w:val="36"/>
              <w:rPr>
                <w:sz w:val="24"/>
              </w:rPr>
            </w:pPr>
            <w:r>
              <w:rPr>
                <w:spacing w:val="-4"/>
                <w:sz w:val="24"/>
              </w:rPr>
              <w:t>地表水环境</w:t>
            </w:r>
          </w:p>
        </w:tc>
        <w:tc>
          <w:tcPr>
            <w:tcW w:w="371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36"/>
              <w:rPr>
                <w:sz w:val="24"/>
              </w:rPr>
            </w:pPr>
            <w:r>
              <w:rPr>
                <w:spacing w:val="-7"/>
                <w:sz w:val="24"/>
              </w:rPr>
              <w:t>施工机械设备及车辆冲洗废水：冲洗废</w:t>
            </w:r>
            <w:r>
              <w:rPr>
                <w:spacing w:val="-2"/>
                <w:sz w:val="24"/>
              </w:rPr>
              <w:t>水采用隔油沉淀池处理后进入回用水池。回用于机械车辆冲洗，不外排。</w:t>
            </w:r>
            <w:r>
              <w:rPr>
                <w:spacing w:val="-10"/>
                <w:sz w:val="24"/>
              </w:rPr>
              <w:t>生活污水：依托工程段现有公厕化粪池</w:t>
            </w:r>
            <w:r>
              <w:rPr>
                <w:spacing w:val="-9"/>
                <w:sz w:val="24"/>
              </w:rPr>
              <w:t>收集后排入场镇污水管网，经</w:t>
            </w:r>
            <w:r>
              <w:rPr>
                <w:spacing w:val="-3"/>
                <w:sz w:val="24"/>
              </w:rPr>
              <w:t>污水处理厂处理后达标排入</w:t>
            </w:r>
            <w:r>
              <w:rPr>
                <w:rFonts w:hint="eastAsia"/>
                <w:spacing w:val="-3"/>
                <w:sz w:val="24"/>
              </w:rPr>
              <w:t>芝溪</w:t>
            </w:r>
            <w:r>
              <w:rPr>
                <w:spacing w:val="-3"/>
                <w:sz w:val="24"/>
              </w:rPr>
              <w:t>河。</w:t>
            </w:r>
          </w:p>
        </w:tc>
        <w:tc>
          <w:tcPr>
            <w:tcW w:w="133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36"/>
              <w:rPr>
                <w:sz w:val="24"/>
              </w:rPr>
            </w:pPr>
            <w:r>
              <w:rPr>
                <w:spacing w:val="-2"/>
                <w:sz w:val="24"/>
              </w:rPr>
              <w:t>落实相关措施，废水不</w:t>
            </w:r>
            <w:r>
              <w:rPr>
                <w:spacing w:val="-6"/>
                <w:sz w:val="24"/>
              </w:rPr>
              <w:t>乱排</w:t>
            </w:r>
          </w:p>
        </w:tc>
        <w:tc>
          <w:tcPr>
            <w:tcW w:w="150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36"/>
              <w:rPr>
                <w:rFonts w:ascii="Calibri"/>
                <w:sz w:val="24"/>
              </w:rPr>
            </w:pPr>
            <w:r>
              <w:rPr>
                <w:rFonts w:ascii="Calibri"/>
                <w:spacing w:val="-10"/>
                <w:sz w:val="24"/>
              </w:rPr>
              <w:t>/</w:t>
            </w:r>
          </w:p>
        </w:tc>
        <w:tc>
          <w:tcPr>
            <w:tcW w:w="1203" w:type="dxa"/>
            <w:gridSpan w:val="2"/>
            <w:tcBorders>
              <w:top w:val="single" w:color="000000" w:sz="4" w:space="0"/>
              <w:left w:val="single" w:color="000000" w:sz="4" w:space="0"/>
              <w:bottom w:val="single" w:color="000000" w:sz="4" w:space="0"/>
            </w:tcBorders>
            <w:shd w:val="clear" w:color="auto" w:fill="auto"/>
            <w:vAlign w:val="center"/>
          </w:tcPr>
          <w:p>
            <w:pPr>
              <w:pStyle w:val="36"/>
              <w:rPr>
                <w:rFonts w:ascii="Calibri"/>
                <w:sz w:val="24"/>
              </w:rPr>
            </w:pPr>
            <w:r>
              <w:rPr>
                <w:rFonts w:ascii="Calibri"/>
                <w:spacing w:val="-10"/>
                <w:sz w:val="24"/>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gridAfter w:val="1"/>
          <w:wAfter w:w="20" w:type="dxa"/>
          <w:trHeight w:val="545" w:hRule="atLeast"/>
        </w:trPr>
        <w:tc>
          <w:tcPr>
            <w:tcW w:w="1288" w:type="dxa"/>
            <w:gridSpan w:val="2"/>
            <w:tcBorders>
              <w:top w:val="single" w:color="000000" w:sz="4" w:space="0"/>
              <w:bottom w:val="single" w:color="000000" w:sz="4" w:space="0"/>
              <w:right w:val="single" w:color="000000" w:sz="4" w:space="0"/>
            </w:tcBorders>
            <w:shd w:val="clear" w:color="auto" w:fill="auto"/>
            <w:vAlign w:val="center"/>
          </w:tcPr>
          <w:p>
            <w:pPr>
              <w:pStyle w:val="36"/>
              <w:rPr>
                <w:sz w:val="24"/>
              </w:rPr>
            </w:pPr>
            <w:r>
              <w:rPr>
                <w:spacing w:val="-4"/>
                <w:sz w:val="24"/>
              </w:rPr>
              <w:t>地下水及土</w:t>
            </w:r>
          </w:p>
          <w:p>
            <w:pPr>
              <w:pStyle w:val="36"/>
              <w:rPr>
                <w:sz w:val="24"/>
              </w:rPr>
            </w:pPr>
            <w:r>
              <w:rPr>
                <w:spacing w:val="-5"/>
                <w:sz w:val="24"/>
              </w:rPr>
              <w:t>壤环境</w:t>
            </w:r>
          </w:p>
        </w:tc>
        <w:tc>
          <w:tcPr>
            <w:tcW w:w="371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36"/>
              <w:rPr>
                <w:rFonts w:ascii="Calibri"/>
                <w:sz w:val="24"/>
              </w:rPr>
            </w:pPr>
            <w:r>
              <w:rPr>
                <w:rFonts w:ascii="Calibri"/>
                <w:spacing w:val="-10"/>
                <w:sz w:val="24"/>
              </w:rPr>
              <w:t>/</w:t>
            </w:r>
          </w:p>
        </w:tc>
        <w:tc>
          <w:tcPr>
            <w:tcW w:w="133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36"/>
              <w:rPr>
                <w:rFonts w:ascii="Calibri"/>
                <w:sz w:val="24"/>
              </w:rPr>
            </w:pPr>
            <w:r>
              <w:rPr>
                <w:rFonts w:ascii="Calibri"/>
                <w:spacing w:val="-10"/>
                <w:sz w:val="24"/>
              </w:rPr>
              <w:t>/</w:t>
            </w:r>
          </w:p>
        </w:tc>
        <w:tc>
          <w:tcPr>
            <w:tcW w:w="150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36"/>
              <w:rPr>
                <w:rFonts w:ascii="Calibri"/>
                <w:sz w:val="24"/>
              </w:rPr>
            </w:pPr>
            <w:r>
              <w:rPr>
                <w:rFonts w:ascii="Calibri"/>
                <w:spacing w:val="-10"/>
                <w:sz w:val="24"/>
              </w:rPr>
              <w:t>/</w:t>
            </w:r>
          </w:p>
        </w:tc>
        <w:tc>
          <w:tcPr>
            <w:tcW w:w="1203" w:type="dxa"/>
            <w:gridSpan w:val="2"/>
            <w:tcBorders>
              <w:top w:val="single" w:color="000000" w:sz="4" w:space="0"/>
              <w:left w:val="single" w:color="000000" w:sz="4" w:space="0"/>
              <w:bottom w:val="single" w:color="000000" w:sz="4" w:space="0"/>
            </w:tcBorders>
            <w:shd w:val="clear" w:color="auto" w:fill="auto"/>
            <w:vAlign w:val="center"/>
          </w:tcPr>
          <w:p>
            <w:pPr>
              <w:pStyle w:val="36"/>
              <w:rPr>
                <w:rFonts w:ascii="Calibri"/>
                <w:sz w:val="24"/>
              </w:rPr>
            </w:pPr>
            <w:r>
              <w:rPr>
                <w:rFonts w:ascii="Calibri"/>
                <w:spacing w:val="-10"/>
                <w:sz w:val="24"/>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gridAfter w:val="1"/>
          <w:wAfter w:w="20" w:type="dxa"/>
          <w:trHeight w:val="1634" w:hRule="atLeast"/>
        </w:trPr>
        <w:tc>
          <w:tcPr>
            <w:tcW w:w="1288" w:type="dxa"/>
            <w:gridSpan w:val="2"/>
            <w:tcBorders>
              <w:top w:val="single" w:color="000000" w:sz="4" w:space="0"/>
              <w:bottom w:val="single" w:color="000000" w:sz="4" w:space="0"/>
              <w:right w:val="single" w:color="000000" w:sz="4" w:space="0"/>
            </w:tcBorders>
            <w:shd w:val="clear" w:color="auto" w:fill="auto"/>
            <w:vAlign w:val="center"/>
          </w:tcPr>
          <w:p>
            <w:pPr>
              <w:pStyle w:val="36"/>
              <w:rPr>
                <w:sz w:val="24"/>
              </w:rPr>
            </w:pPr>
            <w:r>
              <w:rPr>
                <w:spacing w:val="-5"/>
                <w:sz w:val="24"/>
              </w:rPr>
              <w:t>声环境</w:t>
            </w:r>
          </w:p>
        </w:tc>
        <w:tc>
          <w:tcPr>
            <w:tcW w:w="371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36"/>
              <w:rPr>
                <w:sz w:val="24"/>
              </w:rPr>
            </w:pPr>
          </w:p>
          <w:p>
            <w:pPr>
              <w:pStyle w:val="36"/>
              <w:rPr>
                <w:sz w:val="24"/>
              </w:rPr>
            </w:pPr>
            <w:r>
              <w:rPr>
                <w:spacing w:val="-2"/>
                <w:sz w:val="24"/>
              </w:rPr>
              <w:t>选用低噪声设备、加强机械维修保养、施工机械合理布局、合理安排施工时间、文明施工等</w:t>
            </w:r>
          </w:p>
        </w:tc>
        <w:tc>
          <w:tcPr>
            <w:tcW w:w="133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36"/>
              <w:rPr>
                <w:sz w:val="24"/>
              </w:rPr>
            </w:pPr>
            <w:r>
              <w:rPr>
                <w:spacing w:val="-2"/>
                <w:sz w:val="24"/>
              </w:rPr>
              <w:t>满足《建筑施工场界环境噪声排放</w:t>
            </w:r>
            <w:r>
              <w:rPr>
                <w:spacing w:val="-4"/>
                <w:sz w:val="24"/>
              </w:rPr>
              <w:t>标准》</w:t>
            </w:r>
          </w:p>
          <w:p>
            <w:pPr>
              <w:pStyle w:val="36"/>
              <w:rPr>
                <w:rFonts w:ascii="Calibri" w:eastAsia="Times New Roman"/>
                <w:sz w:val="24"/>
              </w:rPr>
            </w:pPr>
            <w:r>
              <w:rPr>
                <w:spacing w:val="-2"/>
                <w:sz w:val="24"/>
              </w:rPr>
              <w:t>（</w:t>
            </w:r>
            <w:r>
              <w:rPr>
                <w:rFonts w:ascii="Calibri" w:eastAsia="Times New Roman"/>
                <w:spacing w:val="-2"/>
                <w:sz w:val="24"/>
              </w:rPr>
              <w:t>GB12523-</w:t>
            </w:r>
          </w:p>
          <w:p>
            <w:pPr>
              <w:pStyle w:val="36"/>
              <w:rPr>
                <w:sz w:val="24"/>
              </w:rPr>
            </w:pPr>
            <w:r>
              <w:rPr>
                <w:rFonts w:ascii="Calibri" w:eastAsia="Times New Roman"/>
                <w:spacing w:val="-4"/>
                <w:sz w:val="24"/>
              </w:rPr>
              <w:t>2011</w:t>
            </w:r>
            <w:r>
              <w:rPr>
                <w:spacing w:val="-4"/>
                <w:sz w:val="24"/>
              </w:rPr>
              <w:t>）</w:t>
            </w:r>
            <w:r>
              <w:rPr>
                <w:spacing w:val="-7"/>
                <w:sz w:val="24"/>
              </w:rPr>
              <w:t>标准</w:t>
            </w:r>
          </w:p>
        </w:tc>
        <w:tc>
          <w:tcPr>
            <w:tcW w:w="150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36"/>
              <w:rPr>
                <w:rFonts w:ascii="Calibri"/>
                <w:sz w:val="24"/>
              </w:rPr>
            </w:pPr>
            <w:r>
              <w:rPr>
                <w:rFonts w:ascii="Calibri"/>
                <w:spacing w:val="-10"/>
                <w:sz w:val="24"/>
              </w:rPr>
              <w:t>/</w:t>
            </w:r>
          </w:p>
        </w:tc>
        <w:tc>
          <w:tcPr>
            <w:tcW w:w="1203" w:type="dxa"/>
            <w:gridSpan w:val="2"/>
            <w:tcBorders>
              <w:top w:val="single" w:color="000000" w:sz="4" w:space="0"/>
              <w:left w:val="single" w:color="000000" w:sz="4" w:space="0"/>
              <w:bottom w:val="single" w:color="000000" w:sz="4" w:space="0"/>
            </w:tcBorders>
            <w:shd w:val="clear" w:color="auto" w:fill="auto"/>
            <w:vAlign w:val="center"/>
          </w:tcPr>
          <w:p>
            <w:pPr>
              <w:pStyle w:val="36"/>
              <w:rPr>
                <w:rFonts w:ascii="Calibri"/>
                <w:sz w:val="24"/>
              </w:rPr>
            </w:pPr>
            <w:r>
              <w:rPr>
                <w:rFonts w:ascii="Calibri"/>
                <w:spacing w:val="-10"/>
                <w:sz w:val="24"/>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gridAfter w:val="1"/>
          <w:wAfter w:w="20" w:type="dxa"/>
          <w:trHeight w:val="271" w:hRule="atLeast"/>
        </w:trPr>
        <w:tc>
          <w:tcPr>
            <w:tcW w:w="1288" w:type="dxa"/>
            <w:gridSpan w:val="2"/>
            <w:tcBorders>
              <w:top w:val="single" w:color="000000" w:sz="4" w:space="0"/>
              <w:bottom w:val="single" w:color="000000" w:sz="4" w:space="0"/>
              <w:right w:val="single" w:color="000000" w:sz="4" w:space="0"/>
            </w:tcBorders>
            <w:shd w:val="clear" w:color="auto" w:fill="auto"/>
            <w:vAlign w:val="center"/>
          </w:tcPr>
          <w:p>
            <w:pPr>
              <w:pStyle w:val="36"/>
              <w:rPr>
                <w:sz w:val="24"/>
              </w:rPr>
            </w:pPr>
            <w:r>
              <w:rPr>
                <w:spacing w:val="-8"/>
                <w:sz w:val="24"/>
              </w:rPr>
              <w:t>振动</w:t>
            </w:r>
          </w:p>
        </w:tc>
        <w:tc>
          <w:tcPr>
            <w:tcW w:w="371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36"/>
              <w:rPr>
                <w:rFonts w:ascii="Calibri"/>
                <w:sz w:val="24"/>
              </w:rPr>
            </w:pPr>
            <w:r>
              <w:rPr>
                <w:rFonts w:ascii="Calibri"/>
                <w:spacing w:val="-10"/>
                <w:sz w:val="24"/>
              </w:rPr>
              <w:t>/</w:t>
            </w:r>
          </w:p>
        </w:tc>
        <w:tc>
          <w:tcPr>
            <w:tcW w:w="133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36"/>
              <w:rPr>
                <w:rFonts w:ascii="Calibri"/>
                <w:sz w:val="24"/>
              </w:rPr>
            </w:pPr>
            <w:r>
              <w:rPr>
                <w:rFonts w:ascii="Calibri"/>
                <w:spacing w:val="-10"/>
                <w:sz w:val="24"/>
              </w:rPr>
              <w:t>/</w:t>
            </w:r>
          </w:p>
        </w:tc>
        <w:tc>
          <w:tcPr>
            <w:tcW w:w="150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36"/>
              <w:rPr>
                <w:rFonts w:ascii="Calibri"/>
                <w:sz w:val="24"/>
              </w:rPr>
            </w:pPr>
            <w:r>
              <w:rPr>
                <w:rFonts w:ascii="Calibri"/>
                <w:spacing w:val="-10"/>
                <w:sz w:val="24"/>
              </w:rPr>
              <w:t>/</w:t>
            </w:r>
          </w:p>
        </w:tc>
        <w:tc>
          <w:tcPr>
            <w:tcW w:w="1203" w:type="dxa"/>
            <w:gridSpan w:val="2"/>
            <w:tcBorders>
              <w:top w:val="single" w:color="000000" w:sz="4" w:space="0"/>
              <w:left w:val="single" w:color="000000" w:sz="4" w:space="0"/>
              <w:bottom w:val="single" w:color="000000" w:sz="4" w:space="0"/>
            </w:tcBorders>
            <w:shd w:val="clear" w:color="auto" w:fill="auto"/>
            <w:vAlign w:val="center"/>
          </w:tcPr>
          <w:p>
            <w:pPr>
              <w:pStyle w:val="36"/>
              <w:rPr>
                <w:rFonts w:ascii="Calibri"/>
                <w:sz w:val="24"/>
              </w:rPr>
            </w:pPr>
            <w:r>
              <w:rPr>
                <w:rFonts w:ascii="Calibri"/>
                <w:spacing w:val="-10"/>
                <w:sz w:val="24"/>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gridAfter w:val="1"/>
          <w:wAfter w:w="20" w:type="dxa"/>
          <w:trHeight w:val="3265" w:hRule="atLeast"/>
        </w:trPr>
        <w:tc>
          <w:tcPr>
            <w:tcW w:w="1288" w:type="dxa"/>
            <w:gridSpan w:val="2"/>
            <w:tcBorders>
              <w:top w:val="single" w:color="000000" w:sz="4" w:space="0"/>
              <w:right w:val="single" w:color="000000" w:sz="4" w:space="0"/>
            </w:tcBorders>
            <w:shd w:val="clear" w:color="auto" w:fill="auto"/>
            <w:vAlign w:val="center"/>
          </w:tcPr>
          <w:p>
            <w:pPr>
              <w:pStyle w:val="36"/>
              <w:rPr>
                <w:sz w:val="24"/>
              </w:rPr>
            </w:pPr>
            <w:r>
              <w:rPr>
                <w:spacing w:val="-7"/>
                <w:sz w:val="24"/>
              </w:rPr>
              <w:t>大气环境</w:t>
            </w:r>
          </w:p>
        </w:tc>
        <w:tc>
          <w:tcPr>
            <w:tcW w:w="3718" w:type="dxa"/>
            <w:gridSpan w:val="2"/>
            <w:tcBorders>
              <w:top w:val="single" w:color="000000" w:sz="4" w:space="0"/>
              <w:left w:val="single" w:color="000000" w:sz="4" w:space="0"/>
              <w:right w:val="single" w:color="000000" w:sz="4" w:space="0"/>
            </w:tcBorders>
            <w:shd w:val="clear" w:color="auto" w:fill="auto"/>
            <w:vAlign w:val="center"/>
          </w:tcPr>
          <w:p>
            <w:pPr>
              <w:pStyle w:val="36"/>
              <w:rPr>
                <w:spacing w:val="-2"/>
                <w:sz w:val="24"/>
              </w:rPr>
            </w:pPr>
            <w:r>
              <w:rPr>
                <w:spacing w:val="-6"/>
                <w:sz w:val="24"/>
              </w:rPr>
              <w:t>严格执行“六必须、六不准”和“六个</w:t>
            </w:r>
            <w:r>
              <w:rPr>
                <w:spacing w:val="-2"/>
                <w:sz w:val="24"/>
              </w:rPr>
              <w:t>百分之百”管控措施；施工现场不得设置现场搅拌混凝土；</w:t>
            </w:r>
            <w:r>
              <w:rPr>
                <w:spacing w:val="-7"/>
                <w:sz w:val="24"/>
              </w:rPr>
              <w:t>车辆装载高度应低于车厢上沿，不得超</w:t>
            </w:r>
            <w:r>
              <w:rPr>
                <w:spacing w:val="-4"/>
                <w:sz w:val="24"/>
              </w:rPr>
              <w:t>高超载；</w:t>
            </w:r>
            <w:r>
              <w:rPr>
                <w:spacing w:val="-10"/>
                <w:sz w:val="24"/>
              </w:rPr>
              <w:t>坚持文明装卸，运输车辆装卸完货后应</w:t>
            </w:r>
            <w:r>
              <w:rPr>
                <w:spacing w:val="-2"/>
                <w:sz w:val="24"/>
              </w:rPr>
              <w:t>清洁车厢；施工现场禁止焚烧沥青、油毡、橡胶、垃圾等易产生有毒有害烟尘和恶臭气体的物质；</w:t>
            </w:r>
            <w:r>
              <w:rPr>
                <w:spacing w:val="-7"/>
                <w:sz w:val="24"/>
              </w:rPr>
              <w:t>优选施工单位，做到文明施工，</w:t>
            </w:r>
            <w:r>
              <w:rPr>
                <w:spacing w:val="-2"/>
                <w:sz w:val="24"/>
              </w:rPr>
              <w:t>土方的挖掘、堆放要规范有序；选择满足国家规定排放标准的施工机械；加强施工机械和车辆的维护和保养；淤泥自然晾干及挖掘过程中定期喷洒除臭剂。</w:t>
            </w:r>
          </w:p>
        </w:tc>
        <w:tc>
          <w:tcPr>
            <w:tcW w:w="1337" w:type="dxa"/>
            <w:gridSpan w:val="2"/>
            <w:tcBorders>
              <w:top w:val="single" w:color="000000" w:sz="4" w:space="0"/>
              <w:left w:val="single" w:color="000000" w:sz="4" w:space="0"/>
              <w:right w:val="single" w:color="000000" w:sz="4" w:space="0"/>
            </w:tcBorders>
            <w:shd w:val="clear" w:color="auto" w:fill="auto"/>
            <w:vAlign w:val="center"/>
          </w:tcPr>
          <w:p>
            <w:pPr>
              <w:pStyle w:val="36"/>
              <w:rPr>
                <w:sz w:val="24"/>
              </w:rPr>
            </w:pPr>
            <w:r>
              <w:rPr>
                <w:spacing w:val="-2"/>
                <w:sz w:val="24"/>
              </w:rPr>
              <w:t>满足《四川省施工场地扬尘排放标</w:t>
            </w:r>
            <w:r>
              <w:rPr>
                <w:spacing w:val="-6"/>
                <w:sz w:val="24"/>
              </w:rPr>
              <w:t>准》</w:t>
            </w:r>
          </w:p>
          <w:p>
            <w:pPr>
              <w:pStyle w:val="36"/>
              <w:rPr>
                <w:rFonts w:ascii="Calibri" w:eastAsia="Times New Roman"/>
                <w:sz w:val="24"/>
              </w:rPr>
            </w:pPr>
            <w:r>
              <w:rPr>
                <w:spacing w:val="-2"/>
                <w:sz w:val="24"/>
              </w:rPr>
              <w:t>（</w:t>
            </w:r>
            <w:r>
              <w:rPr>
                <w:rFonts w:ascii="Calibri" w:eastAsia="Times New Roman"/>
                <w:spacing w:val="-2"/>
                <w:sz w:val="24"/>
              </w:rPr>
              <w:t>DB51/268</w:t>
            </w:r>
          </w:p>
          <w:p>
            <w:pPr>
              <w:pStyle w:val="36"/>
              <w:rPr>
                <w:sz w:val="24"/>
              </w:rPr>
            </w:pPr>
            <w:r>
              <w:rPr>
                <w:rFonts w:ascii="Calibri" w:eastAsia="Times New Roman"/>
                <w:spacing w:val="-14"/>
                <w:sz w:val="24"/>
              </w:rPr>
              <w:t>2-</w:t>
            </w:r>
            <w:r>
              <w:rPr>
                <w:rFonts w:ascii="Calibri" w:eastAsia="Times New Roman"/>
                <w:spacing w:val="7"/>
                <w:sz w:val="24"/>
              </w:rPr>
              <w:t>202</w:t>
            </w:r>
            <w:r>
              <w:rPr>
                <w:rFonts w:ascii="Calibri" w:eastAsia="Times New Roman"/>
                <w:spacing w:val="4"/>
                <w:sz w:val="24"/>
              </w:rPr>
              <w:t>0</w:t>
            </w:r>
            <w:r>
              <w:rPr>
                <w:spacing w:val="-95"/>
                <w:sz w:val="24"/>
              </w:rPr>
              <w:t>）</w:t>
            </w:r>
            <w:r>
              <w:rPr>
                <w:spacing w:val="-14"/>
                <w:sz w:val="24"/>
              </w:rPr>
              <w:t>施工</w:t>
            </w:r>
            <w:r>
              <w:rPr>
                <w:spacing w:val="-2"/>
                <w:sz w:val="24"/>
              </w:rPr>
              <w:t>场地扬尘排</w:t>
            </w:r>
            <w:r>
              <w:rPr>
                <w:spacing w:val="-28"/>
                <w:sz w:val="24"/>
              </w:rPr>
              <w:t>放标准、《大</w:t>
            </w:r>
            <w:r>
              <w:rPr>
                <w:spacing w:val="-2"/>
                <w:sz w:val="24"/>
              </w:rPr>
              <w:t>气综合排放</w:t>
            </w:r>
            <w:r>
              <w:rPr>
                <w:sz w:val="24"/>
              </w:rPr>
              <w:t xml:space="preserve">标准》表 </w:t>
            </w:r>
            <w:r>
              <w:rPr>
                <w:rFonts w:ascii="Calibri" w:eastAsia="Times New Roman"/>
                <w:sz w:val="24"/>
              </w:rPr>
              <w:t>2</w:t>
            </w:r>
            <w:r>
              <w:rPr>
                <w:spacing w:val="-2"/>
                <w:sz w:val="24"/>
              </w:rPr>
              <w:t>相关标准、</w:t>
            </w:r>
            <w:r>
              <w:rPr>
                <w:spacing w:val="-4"/>
                <w:sz w:val="24"/>
              </w:rPr>
              <w:t>《恶臭污染</w:t>
            </w:r>
            <w:r>
              <w:rPr>
                <w:rFonts w:hint="eastAsia"/>
                <w:spacing w:val="-4"/>
                <w:sz w:val="24"/>
              </w:rPr>
              <w:t>物排放》二级标准</w:t>
            </w:r>
          </w:p>
        </w:tc>
        <w:tc>
          <w:tcPr>
            <w:tcW w:w="1509" w:type="dxa"/>
            <w:gridSpan w:val="2"/>
            <w:tcBorders>
              <w:top w:val="single" w:color="000000" w:sz="4" w:space="0"/>
              <w:left w:val="single" w:color="000000" w:sz="4" w:space="0"/>
              <w:right w:val="single" w:color="000000" w:sz="4" w:space="0"/>
            </w:tcBorders>
            <w:shd w:val="clear" w:color="auto" w:fill="auto"/>
            <w:vAlign w:val="center"/>
          </w:tcPr>
          <w:p>
            <w:pPr>
              <w:pStyle w:val="36"/>
              <w:rPr>
                <w:rFonts w:ascii="Calibri"/>
                <w:sz w:val="24"/>
              </w:rPr>
            </w:pPr>
            <w:r>
              <w:rPr>
                <w:rFonts w:ascii="Calibri"/>
                <w:spacing w:val="-10"/>
                <w:sz w:val="24"/>
              </w:rPr>
              <w:t>/</w:t>
            </w:r>
          </w:p>
        </w:tc>
        <w:tc>
          <w:tcPr>
            <w:tcW w:w="1203" w:type="dxa"/>
            <w:gridSpan w:val="2"/>
            <w:tcBorders>
              <w:top w:val="single" w:color="000000" w:sz="4" w:space="0"/>
              <w:left w:val="single" w:color="000000" w:sz="4" w:space="0"/>
            </w:tcBorders>
            <w:shd w:val="clear" w:color="auto" w:fill="auto"/>
            <w:vAlign w:val="center"/>
          </w:tcPr>
          <w:p>
            <w:pPr>
              <w:pStyle w:val="36"/>
              <w:rPr>
                <w:rFonts w:ascii="Calibri"/>
                <w:sz w:val="24"/>
              </w:rPr>
            </w:pPr>
            <w:r>
              <w:rPr>
                <w:rFonts w:ascii="Calibri"/>
                <w:spacing w:val="-10"/>
                <w:sz w:val="24"/>
              </w:rPr>
              <w:t>/</w:t>
            </w:r>
          </w:p>
        </w:tc>
      </w:tr>
      <w:bookmarkEnd w:id="13"/>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gridBefore w:val="1"/>
          <w:wBefore w:w="20" w:type="dxa"/>
          <w:trHeight w:val="1906" w:hRule="atLeast"/>
        </w:trPr>
        <w:tc>
          <w:tcPr>
            <w:tcW w:w="1275" w:type="dxa"/>
            <w:gridSpan w:val="2"/>
            <w:tcBorders>
              <w:top w:val="single" w:color="000000" w:sz="4" w:space="0"/>
              <w:bottom w:val="single" w:color="000000" w:sz="4" w:space="0"/>
              <w:right w:val="single" w:color="000000" w:sz="4" w:space="0"/>
            </w:tcBorders>
            <w:shd w:val="clear" w:color="auto" w:fill="auto"/>
            <w:vAlign w:val="center"/>
          </w:tcPr>
          <w:p>
            <w:pPr>
              <w:pStyle w:val="36"/>
              <w:rPr>
                <w:rFonts w:ascii="Calibri" w:hAnsi="Calibri"/>
                <w:sz w:val="24"/>
              </w:rPr>
            </w:pPr>
            <w:r>
              <w:rPr>
                <w:rFonts w:ascii="Calibri" w:hAnsi="Calibri"/>
                <w:spacing w:val="-7"/>
                <w:sz w:val="24"/>
              </w:rPr>
              <w:t>固体废物</w:t>
            </w:r>
          </w:p>
        </w:tc>
        <w:tc>
          <w:tcPr>
            <w:tcW w:w="37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36"/>
              <w:rPr>
                <w:rFonts w:ascii="Calibri" w:hAnsi="Calibri"/>
                <w:sz w:val="24"/>
              </w:rPr>
            </w:pPr>
            <w:r>
              <w:rPr>
                <w:rFonts w:ascii="Calibri" w:hAnsi="Calibri"/>
                <w:spacing w:val="-9"/>
                <w:sz w:val="24"/>
              </w:rPr>
              <w:t>建筑垃圾分类收集，可以再次利用的回</w:t>
            </w:r>
            <w:r>
              <w:rPr>
                <w:rFonts w:ascii="Calibri" w:hAnsi="Calibri"/>
                <w:spacing w:val="-11"/>
                <w:sz w:val="24"/>
              </w:rPr>
              <w:t>收利用，不能回收的则统一清运至指定</w:t>
            </w:r>
            <w:r>
              <w:rPr>
                <w:rFonts w:ascii="Calibri" w:hAnsi="Calibri"/>
                <w:spacing w:val="-4"/>
                <w:sz w:val="24"/>
              </w:rPr>
              <w:t>弃渣场；</w:t>
            </w:r>
            <w:r>
              <w:rPr>
                <w:rFonts w:ascii="Calibri" w:hAnsi="Calibri"/>
                <w:spacing w:val="-2"/>
                <w:sz w:val="24"/>
              </w:rPr>
              <w:t>含油污泥及沉淀池污泥收集后委托有资质的单位进行处理；</w:t>
            </w:r>
          </w:p>
          <w:p>
            <w:pPr>
              <w:pStyle w:val="36"/>
              <w:rPr>
                <w:rFonts w:ascii="Calibri" w:hAnsi="Calibri"/>
                <w:sz w:val="24"/>
              </w:rPr>
            </w:pPr>
            <w:r>
              <w:rPr>
                <w:rFonts w:ascii="Calibri" w:hAnsi="Calibri"/>
                <w:spacing w:val="-9"/>
                <w:sz w:val="24"/>
              </w:rPr>
              <w:t>生活垃圾设置垃圾收集桶，由环卫部门</w:t>
            </w:r>
          </w:p>
          <w:p>
            <w:pPr>
              <w:pStyle w:val="36"/>
              <w:rPr>
                <w:rFonts w:ascii="Calibri" w:hAnsi="Calibri"/>
                <w:sz w:val="24"/>
              </w:rPr>
            </w:pPr>
            <w:r>
              <w:rPr>
                <w:rFonts w:ascii="Calibri" w:hAnsi="Calibri"/>
                <w:spacing w:val="-3"/>
                <w:sz w:val="24"/>
              </w:rPr>
              <w:t>进行统一收集处理。</w:t>
            </w:r>
          </w:p>
        </w:tc>
        <w:tc>
          <w:tcPr>
            <w:tcW w:w="133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36"/>
              <w:rPr>
                <w:rFonts w:ascii="Calibri" w:hAnsi="Calibri"/>
                <w:sz w:val="24"/>
              </w:rPr>
            </w:pPr>
          </w:p>
          <w:p>
            <w:pPr>
              <w:pStyle w:val="36"/>
              <w:rPr>
                <w:rFonts w:ascii="Calibri" w:hAnsi="Calibri"/>
                <w:sz w:val="24"/>
              </w:rPr>
            </w:pPr>
          </w:p>
          <w:p>
            <w:pPr>
              <w:pStyle w:val="36"/>
              <w:rPr>
                <w:rFonts w:ascii="Calibri" w:hAnsi="Calibri"/>
                <w:sz w:val="24"/>
              </w:rPr>
            </w:pPr>
            <w:r>
              <w:rPr>
                <w:rFonts w:ascii="Calibri" w:hAnsi="Calibri"/>
                <w:spacing w:val="-2"/>
                <w:sz w:val="24"/>
              </w:rPr>
              <w:t>不产生二次</w:t>
            </w:r>
            <w:r>
              <w:rPr>
                <w:rFonts w:ascii="Calibri" w:hAnsi="Calibri"/>
                <w:spacing w:val="-6"/>
                <w:sz w:val="24"/>
              </w:rPr>
              <w:t>污染</w:t>
            </w:r>
          </w:p>
        </w:tc>
        <w:tc>
          <w:tcPr>
            <w:tcW w:w="150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36"/>
              <w:rPr>
                <w:rFonts w:hAnsi="Calibri"/>
                <w:sz w:val="24"/>
              </w:rPr>
            </w:pPr>
            <w:r>
              <w:rPr>
                <w:rFonts w:hAnsi="Calibri"/>
                <w:spacing w:val="-10"/>
                <w:sz w:val="24"/>
              </w:rPr>
              <w:t>/</w:t>
            </w:r>
          </w:p>
        </w:tc>
        <w:tc>
          <w:tcPr>
            <w:tcW w:w="1203" w:type="dxa"/>
            <w:gridSpan w:val="2"/>
            <w:tcBorders>
              <w:top w:val="single" w:color="000000" w:sz="4" w:space="0"/>
              <w:left w:val="single" w:color="000000" w:sz="4" w:space="0"/>
              <w:bottom w:val="single" w:color="000000" w:sz="4" w:space="0"/>
            </w:tcBorders>
            <w:shd w:val="clear" w:color="auto" w:fill="auto"/>
            <w:vAlign w:val="center"/>
          </w:tcPr>
          <w:p>
            <w:pPr>
              <w:pStyle w:val="36"/>
              <w:rPr>
                <w:rFonts w:hAnsi="Calibri"/>
                <w:sz w:val="24"/>
              </w:rPr>
            </w:pPr>
            <w:r>
              <w:rPr>
                <w:rFonts w:hAnsi="Calibri"/>
                <w:spacing w:val="-10"/>
                <w:sz w:val="24"/>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gridBefore w:val="1"/>
          <w:wBefore w:w="20" w:type="dxa"/>
          <w:trHeight w:val="272" w:hRule="atLeast"/>
        </w:trPr>
        <w:tc>
          <w:tcPr>
            <w:tcW w:w="1275" w:type="dxa"/>
            <w:gridSpan w:val="2"/>
            <w:tcBorders>
              <w:top w:val="single" w:color="000000" w:sz="4" w:space="0"/>
              <w:bottom w:val="single" w:color="000000" w:sz="4" w:space="0"/>
              <w:right w:val="single" w:color="000000" w:sz="4" w:space="0"/>
            </w:tcBorders>
            <w:shd w:val="clear" w:color="auto" w:fill="auto"/>
            <w:vAlign w:val="center"/>
          </w:tcPr>
          <w:p>
            <w:pPr>
              <w:pStyle w:val="36"/>
              <w:rPr>
                <w:rFonts w:ascii="Calibri" w:hAnsi="Calibri"/>
                <w:sz w:val="24"/>
              </w:rPr>
            </w:pPr>
            <w:r>
              <w:rPr>
                <w:rFonts w:ascii="Calibri" w:hAnsi="Calibri"/>
                <w:spacing w:val="-7"/>
                <w:sz w:val="24"/>
              </w:rPr>
              <w:t>电磁环境</w:t>
            </w:r>
          </w:p>
        </w:tc>
        <w:tc>
          <w:tcPr>
            <w:tcW w:w="37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36"/>
              <w:rPr>
                <w:rFonts w:hAnsi="Calibri"/>
                <w:sz w:val="24"/>
              </w:rPr>
            </w:pPr>
            <w:r>
              <w:rPr>
                <w:rFonts w:hAnsi="Calibri"/>
                <w:spacing w:val="-10"/>
                <w:sz w:val="24"/>
              </w:rPr>
              <w:t>/</w:t>
            </w:r>
          </w:p>
        </w:tc>
        <w:tc>
          <w:tcPr>
            <w:tcW w:w="133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36"/>
              <w:rPr>
                <w:rFonts w:hAnsi="Calibri"/>
                <w:sz w:val="24"/>
              </w:rPr>
            </w:pPr>
            <w:r>
              <w:rPr>
                <w:rFonts w:hAnsi="Calibri"/>
                <w:spacing w:val="-10"/>
                <w:sz w:val="24"/>
              </w:rPr>
              <w:t>/</w:t>
            </w:r>
          </w:p>
        </w:tc>
        <w:tc>
          <w:tcPr>
            <w:tcW w:w="150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36"/>
              <w:rPr>
                <w:rFonts w:hAnsi="Calibri"/>
                <w:sz w:val="24"/>
              </w:rPr>
            </w:pPr>
            <w:r>
              <w:rPr>
                <w:rFonts w:hAnsi="Calibri"/>
                <w:spacing w:val="-10"/>
                <w:sz w:val="24"/>
              </w:rPr>
              <w:t>/</w:t>
            </w:r>
          </w:p>
        </w:tc>
        <w:tc>
          <w:tcPr>
            <w:tcW w:w="1203" w:type="dxa"/>
            <w:gridSpan w:val="2"/>
            <w:tcBorders>
              <w:top w:val="single" w:color="000000" w:sz="4" w:space="0"/>
              <w:left w:val="single" w:color="000000" w:sz="4" w:space="0"/>
              <w:bottom w:val="single" w:color="000000" w:sz="4" w:space="0"/>
            </w:tcBorders>
            <w:shd w:val="clear" w:color="auto" w:fill="auto"/>
            <w:vAlign w:val="center"/>
          </w:tcPr>
          <w:p>
            <w:pPr>
              <w:pStyle w:val="36"/>
              <w:rPr>
                <w:rFonts w:hAnsi="Calibri"/>
                <w:sz w:val="24"/>
              </w:rPr>
            </w:pPr>
            <w:r>
              <w:rPr>
                <w:rFonts w:hAnsi="Calibri"/>
                <w:spacing w:val="-10"/>
                <w:sz w:val="24"/>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gridBefore w:val="1"/>
          <w:wBefore w:w="20" w:type="dxa"/>
          <w:trHeight w:val="1634" w:hRule="atLeast"/>
        </w:trPr>
        <w:tc>
          <w:tcPr>
            <w:tcW w:w="1275" w:type="dxa"/>
            <w:gridSpan w:val="2"/>
            <w:tcBorders>
              <w:top w:val="single" w:color="000000" w:sz="4" w:space="0"/>
              <w:bottom w:val="single" w:color="000000" w:sz="4" w:space="0"/>
              <w:right w:val="single" w:color="000000" w:sz="4" w:space="0"/>
            </w:tcBorders>
            <w:shd w:val="clear" w:color="auto" w:fill="auto"/>
            <w:vAlign w:val="center"/>
          </w:tcPr>
          <w:p>
            <w:pPr>
              <w:pStyle w:val="36"/>
              <w:rPr>
                <w:rFonts w:ascii="Calibri" w:hAnsi="Calibri"/>
                <w:sz w:val="24"/>
              </w:rPr>
            </w:pPr>
            <w:r>
              <w:rPr>
                <w:rFonts w:ascii="Calibri" w:hAnsi="Calibri"/>
                <w:spacing w:val="-7"/>
                <w:sz w:val="24"/>
              </w:rPr>
              <w:t>环境风险</w:t>
            </w:r>
          </w:p>
        </w:tc>
        <w:tc>
          <w:tcPr>
            <w:tcW w:w="37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36"/>
              <w:rPr>
                <w:rFonts w:ascii="Calibri" w:hAnsi="Calibri"/>
                <w:sz w:val="24"/>
              </w:rPr>
            </w:pPr>
            <w:r>
              <w:rPr>
                <w:rFonts w:ascii="Calibri" w:hAnsi="Calibri"/>
                <w:spacing w:val="-10"/>
                <w:sz w:val="24"/>
              </w:rPr>
              <w:t>使用柴油、汽油等的机械直接到当地加</w:t>
            </w:r>
            <w:r>
              <w:rPr>
                <w:rFonts w:ascii="Calibri" w:hAnsi="Calibri"/>
                <w:spacing w:val="-2"/>
                <w:sz w:val="24"/>
              </w:rPr>
              <w:t>油站加油，施工现场不储存油料；</w:t>
            </w:r>
            <w:r>
              <w:rPr>
                <w:rFonts w:ascii="Calibri" w:hAnsi="Calibri"/>
                <w:spacing w:val="-9"/>
                <w:sz w:val="24"/>
              </w:rPr>
              <w:t>设备机械事故性漏油，应立即组织人员</w:t>
            </w:r>
            <w:r>
              <w:rPr>
                <w:rFonts w:ascii="Calibri" w:hAnsi="Calibri"/>
                <w:spacing w:val="-2"/>
                <w:sz w:val="24"/>
              </w:rPr>
              <w:t>堵漏，将落地油及时收集；</w:t>
            </w:r>
            <w:r>
              <w:rPr>
                <w:rFonts w:ascii="Calibri" w:hAnsi="Calibri"/>
                <w:spacing w:val="-7"/>
                <w:sz w:val="24"/>
              </w:rPr>
              <w:t>加强管理、提高设备检修频次、定期巡</w:t>
            </w:r>
          </w:p>
          <w:p>
            <w:pPr>
              <w:pStyle w:val="36"/>
              <w:rPr>
                <w:rFonts w:ascii="Calibri" w:hAnsi="Calibri"/>
                <w:sz w:val="24"/>
              </w:rPr>
            </w:pPr>
            <w:r>
              <w:rPr>
                <w:rFonts w:ascii="Calibri" w:hAnsi="Calibri"/>
                <w:spacing w:val="-8"/>
                <w:sz w:val="24"/>
              </w:rPr>
              <w:t>查。</w:t>
            </w:r>
          </w:p>
        </w:tc>
        <w:tc>
          <w:tcPr>
            <w:tcW w:w="133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36"/>
              <w:rPr>
                <w:rFonts w:ascii="Calibri" w:hAnsi="Calibri"/>
                <w:sz w:val="24"/>
              </w:rPr>
            </w:pPr>
            <w:r>
              <w:rPr>
                <w:rFonts w:ascii="Calibri" w:hAnsi="Calibri"/>
                <w:spacing w:val="-2"/>
                <w:sz w:val="24"/>
              </w:rPr>
              <w:t>未发生环境风险事故，</w:t>
            </w:r>
            <w:r>
              <w:rPr>
                <w:rFonts w:ascii="Calibri" w:hAnsi="Calibri"/>
                <w:spacing w:val="-4"/>
                <w:sz w:val="24"/>
              </w:rPr>
              <w:t>风险可控</w:t>
            </w:r>
          </w:p>
        </w:tc>
        <w:tc>
          <w:tcPr>
            <w:tcW w:w="150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36"/>
              <w:rPr>
                <w:rFonts w:hAnsi="Calibri"/>
                <w:sz w:val="24"/>
              </w:rPr>
            </w:pPr>
            <w:r>
              <w:rPr>
                <w:rFonts w:hAnsi="Calibri"/>
                <w:spacing w:val="-10"/>
                <w:sz w:val="24"/>
              </w:rPr>
              <w:t>/</w:t>
            </w:r>
          </w:p>
        </w:tc>
        <w:tc>
          <w:tcPr>
            <w:tcW w:w="1203" w:type="dxa"/>
            <w:gridSpan w:val="2"/>
            <w:tcBorders>
              <w:top w:val="single" w:color="000000" w:sz="4" w:space="0"/>
              <w:left w:val="single" w:color="000000" w:sz="4" w:space="0"/>
              <w:bottom w:val="single" w:color="000000" w:sz="4" w:space="0"/>
            </w:tcBorders>
            <w:shd w:val="clear" w:color="auto" w:fill="auto"/>
            <w:vAlign w:val="center"/>
          </w:tcPr>
          <w:p>
            <w:pPr>
              <w:pStyle w:val="36"/>
              <w:rPr>
                <w:rFonts w:hAnsi="Calibri"/>
                <w:sz w:val="24"/>
              </w:rPr>
            </w:pPr>
            <w:r>
              <w:rPr>
                <w:rFonts w:hAnsi="Calibri"/>
                <w:spacing w:val="-10"/>
                <w:sz w:val="24"/>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gridBefore w:val="1"/>
          <w:wBefore w:w="20" w:type="dxa"/>
          <w:trHeight w:val="544" w:hRule="atLeast"/>
        </w:trPr>
        <w:tc>
          <w:tcPr>
            <w:tcW w:w="1275" w:type="dxa"/>
            <w:gridSpan w:val="2"/>
            <w:tcBorders>
              <w:top w:val="single" w:color="000000" w:sz="4" w:space="0"/>
              <w:bottom w:val="single" w:color="000000" w:sz="4" w:space="0"/>
              <w:right w:val="single" w:color="000000" w:sz="4" w:space="0"/>
            </w:tcBorders>
            <w:shd w:val="clear" w:color="auto" w:fill="auto"/>
            <w:vAlign w:val="center"/>
          </w:tcPr>
          <w:p>
            <w:pPr>
              <w:pStyle w:val="36"/>
              <w:rPr>
                <w:rFonts w:ascii="Calibri" w:hAnsi="Calibri"/>
                <w:sz w:val="24"/>
              </w:rPr>
            </w:pPr>
            <w:r>
              <w:rPr>
                <w:rFonts w:ascii="Calibri" w:hAnsi="Calibri"/>
                <w:spacing w:val="-7"/>
                <w:sz w:val="24"/>
              </w:rPr>
              <w:t>环境监测</w:t>
            </w:r>
          </w:p>
        </w:tc>
        <w:tc>
          <w:tcPr>
            <w:tcW w:w="37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36"/>
              <w:rPr>
                <w:rFonts w:ascii="Calibri" w:hAnsi="Calibri"/>
                <w:sz w:val="24"/>
              </w:rPr>
            </w:pPr>
            <w:r>
              <w:rPr>
                <w:rFonts w:ascii="Calibri" w:hAnsi="Calibri"/>
                <w:spacing w:val="-4"/>
                <w:sz w:val="24"/>
              </w:rPr>
              <w:t>施工期监测</w:t>
            </w:r>
          </w:p>
        </w:tc>
        <w:tc>
          <w:tcPr>
            <w:tcW w:w="133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36"/>
              <w:rPr>
                <w:rFonts w:ascii="Calibri" w:hAnsi="Calibri"/>
                <w:sz w:val="24"/>
              </w:rPr>
            </w:pPr>
            <w:r>
              <w:rPr>
                <w:rFonts w:ascii="Calibri" w:hAnsi="Calibri"/>
                <w:spacing w:val="-4"/>
                <w:sz w:val="24"/>
              </w:rPr>
              <w:t>达相应标准</w:t>
            </w:r>
          </w:p>
          <w:p>
            <w:pPr>
              <w:pStyle w:val="36"/>
              <w:rPr>
                <w:rFonts w:ascii="Calibri" w:hAnsi="Calibri"/>
                <w:sz w:val="24"/>
              </w:rPr>
            </w:pPr>
            <w:r>
              <w:rPr>
                <w:rFonts w:ascii="Calibri" w:hAnsi="Calibri"/>
                <w:spacing w:val="-7"/>
                <w:sz w:val="24"/>
              </w:rPr>
              <w:t>限值要求</w:t>
            </w:r>
          </w:p>
        </w:tc>
        <w:tc>
          <w:tcPr>
            <w:tcW w:w="150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36"/>
              <w:rPr>
                <w:rFonts w:hAnsi="Calibri"/>
                <w:sz w:val="24"/>
              </w:rPr>
            </w:pPr>
            <w:r>
              <w:rPr>
                <w:rFonts w:hAnsi="Calibri"/>
                <w:spacing w:val="-10"/>
                <w:sz w:val="24"/>
              </w:rPr>
              <w:t>/</w:t>
            </w:r>
          </w:p>
        </w:tc>
        <w:tc>
          <w:tcPr>
            <w:tcW w:w="1203" w:type="dxa"/>
            <w:gridSpan w:val="2"/>
            <w:tcBorders>
              <w:top w:val="single" w:color="000000" w:sz="4" w:space="0"/>
              <w:left w:val="single" w:color="000000" w:sz="4" w:space="0"/>
              <w:bottom w:val="single" w:color="000000" w:sz="4" w:space="0"/>
            </w:tcBorders>
            <w:shd w:val="clear" w:color="auto" w:fill="auto"/>
            <w:vAlign w:val="center"/>
          </w:tcPr>
          <w:p>
            <w:pPr>
              <w:pStyle w:val="36"/>
              <w:rPr>
                <w:rFonts w:hAnsi="Calibri"/>
                <w:sz w:val="24"/>
              </w:rPr>
            </w:pPr>
            <w:r>
              <w:rPr>
                <w:rFonts w:hAnsi="Calibri"/>
                <w:spacing w:val="-10"/>
                <w:sz w:val="24"/>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gridBefore w:val="1"/>
          <w:wBefore w:w="20" w:type="dxa"/>
          <w:trHeight w:val="272" w:hRule="atLeast"/>
        </w:trPr>
        <w:tc>
          <w:tcPr>
            <w:tcW w:w="1275" w:type="dxa"/>
            <w:gridSpan w:val="2"/>
            <w:tcBorders>
              <w:top w:val="single" w:color="000000" w:sz="4" w:space="0"/>
              <w:right w:val="single" w:color="000000" w:sz="4" w:space="0"/>
            </w:tcBorders>
            <w:shd w:val="clear" w:color="auto" w:fill="auto"/>
            <w:vAlign w:val="center"/>
          </w:tcPr>
          <w:p>
            <w:pPr>
              <w:pStyle w:val="36"/>
              <w:rPr>
                <w:rFonts w:ascii="Calibri" w:hAnsi="Calibri"/>
                <w:sz w:val="24"/>
              </w:rPr>
            </w:pPr>
            <w:r>
              <w:rPr>
                <w:rFonts w:ascii="Calibri" w:hAnsi="Calibri"/>
                <w:spacing w:val="-8"/>
                <w:sz w:val="24"/>
              </w:rPr>
              <w:t>其他</w:t>
            </w:r>
          </w:p>
        </w:tc>
        <w:tc>
          <w:tcPr>
            <w:tcW w:w="3731" w:type="dxa"/>
            <w:gridSpan w:val="2"/>
            <w:tcBorders>
              <w:top w:val="single" w:color="000000" w:sz="4" w:space="0"/>
              <w:left w:val="single" w:color="000000" w:sz="4" w:space="0"/>
              <w:right w:val="single" w:color="000000" w:sz="4" w:space="0"/>
            </w:tcBorders>
            <w:shd w:val="clear" w:color="auto" w:fill="auto"/>
            <w:vAlign w:val="center"/>
          </w:tcPr>
          <w:p>
            <w:pPr>
              <w:pStyle w:val="36"/>
              <w:rPr>
                <w:rFonts w:hAnsi="Calibri"/>
                <w:sz w:val="24"/>
              </w:rPr>
            </w:pPr>
            <w:r>
              <w:rPr>
                <w:rFonts w:hAnsi="Calibri"/>
                <w:spacing w:val="-10"/>
                <w:sz w:val="24"/>
              </w:rPr>
              <w:t>/</w:t>
            </w:r>
          </w:p>
        </w:tc>
        <w:tc>
          <w:tcPr>
            <w:tcW w:w="1337" w:type="dxa"/>
            <w:gridSpan w:val="2"/>
            <w:tcBorders>
              <w:top w:val="single" w:color="000000" w:sz="4" w:space="0"/>
              <w:left w:val="single" w:color="000000" w:sz="4" w:space="0"/>
              <w:right w:val="single" w:color="000000" w:sz="4" w:space="0"/>
            </w:tcBorders>
            <w:shd w:val="clear" w:color="auto" w:fill="auto"/>
            <w:vAlign w:val="center"/>
          </w:tcPr>
          <w:p>
            <w:pPr>
              <w:pStyle w:val="36"/>
              <w:rPr>
                <w:rFonts w:hAnsi="Calibri"/>
                <w:sz w:val="24"/>
              </w:rPr>
            </w:pPr>
            <w:r>
              <w:rPr>
                <w:rFonts w:hAnsi="Calibri"/>
                <w:spacing w:val="-10"/>
                <w:sz w:val="24"/>
              </w:rPr>
              <w:t>/</w:t>
            </w:r>
          </w:p>
        </w:tc>
        <w:tc>
          <w:tcPr>
            <w:tcW w:w="1509" w:type="dxa"/>
            <w:gridSpan w:val="2"/>
            <w:tcBorders>
              <w:top w:val="single" w:color="000000" w:sz="4" w:space="0"/>
              <w:left w:val="single" w:color="000000" w:sz="4" w:space="0"/>
              <w:right w:val="single" w:color="000000" w:sz="4" w:space="0"/>
            </w:tcBorders>
            <w:shd w:val="clear" w:color="auto" w:fill="auto"/>
            <w:vAlign w:val="center"/>
          </w:tcPr>
          <w:p>
            <w:pPr>
              <w:pStyle w:val="36"/>
              <w:rPr>
                <w:rFonts w:hAnsi="Calibri"/>
                <w:sz w:val="24"/>
              </w:rPr>
            </w:pPr>
            <w:r>
              <w:rPr>
                <w:rFonts w:hAnsi="Calibri"/>
                <w:spacing w:val="-10"/>
                <w:sz w:val="24"/>
              </w:rPr>
              <w:t>/</w:t>
            </w:r>
          </w:p>
        </w:tc>
        <w:tc>
          <w:tcPr>
            <w:tcW w:w="1203" w:type="dxa"/>
            <w:gridSpan w:val="2"/>
            <w:tcBorders>
              <w:top w:val="single" w:color="000000" w:sz="4" w:space="0"/>
              <w:left w:val="single" w:color="000000" w:sz="4" w:space="0"/>
            </w:tcBorders>
            <w:shd w:val="clear" w:color="auto" w:fill="auto"/>
            <w:vAlign w:val="center"/>
          </w:tcPr>
          <w:p>
            <w:pPr>
              <w:pStyle w:val="36"/>
              <w:rPr>
                <w:rFonts w:hAnsi="Calibri"/>
                <w:sz w:val="24"/>
              </w:rPr>
            </w:pPr>
            <w:r>
              <w:rPr>
                <w:rFonts w:hAnsi="Calibri"/>
                <w:spacing w:val="-10"/>
                <w:sz w:val="24"/>
              </w:rPr>
              <w:t>/</w:t>
            </w:r>
          </w:p>
        </w:tc>
      </w:tr>
    </w:tbl>
    <w:p>
      <w:pPr>
        <w:pStyle w:val="13"/>
        <w:spacing w:before="0" w:beforeAutospacing="0" w:line="14" w:lineRule="auto"/>
        <w:ind w:firstLine="600"/>
        <w:jc w:val="center"/>
        <w:rPr>
          <w:rFonts w:hint="eastAsia" w:ascii="黑体" w:hAnsi="黑体" w:eastAsia="黑体"/>
          <w:snapToGrid w:val="0"/>
          <w:sz w:val="30"/>
          <w:szCs w:val="30"/>
        </w:rPr>
      </w:pPr>
      <w:r>
        <w:rPr>
          <w:rFonts w:ascii="黑体" w:hAnsi="黑体" w:eastAsia="黑体"/>
          <w:snapToGrid w:val="0"/>
          <w:sz w:val="30"/>
          <w:szCs w:val="30"/>
        </w:rPr>
        <w:br w:type="page"/>
      </w:r>
    </w:p>
    <w:p>
      <w:pPr>
        <w:pStyle w:val="13"/>
        <w:spacing w:before="192" w:beforeLines="80" w:beforeAutospacing="0"/>
        <w:ind w:firstLine="600"/>
        <w:jc w:val="center"/>
        <w:outlineLvl w:val="0"/>
        <w:rPr>
          <w:rFonts w:hint="eastAsia" w:ascii="黑体" w:hAnsi="黑体" w:eastAsia="黑体"/>
          <w:snapToGrid w:val="0"/>
          <w:sz w:val="30"/>
          <w:szCs w:val="30"/>
        </w:rPr>
      </w:pPr>
      <w:r>
        <w:rPr>
          <w:rFonts w:hint="eastAsia" w:ascii="黑体" w:hAnsi="黑体" w:eastAsia="黑体"/>
          <w:snapToGrid w:val="0"/>
          <w:sz w:val="30"/>
          <w:szCs w:val="30"/>
        </w:rPr>
        <w:t>七、结论</w:t>
      </w:r>
    </w:p>
    <w:tbl>
      <w:tblPr>
        <w:tblStyle w:val="15"/>
        <w:tblW w:w="9289"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8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349" w:hRule="atLeast"/>
          <w:jc w:val="center"/>
        </w:trPr>
        <w:tc>
          <w:tcPr>
            <w:tcW w:w="9289" w:type="dxa"/>
          </w:tcPr>
          <w:p>
            <w:pPr>
              <w:pStyle w:val="42"/>
              <w:ind w:firstLine="480"/>
            </w:pPr>
            <w:r>
              <w:rPr>
                <w:rFonts w:hint="eastAsia"/>
              </w:rPr>
              <w:t>本项目符合国家产业政策，选址符合规划要求。拟采取的污染防治措施可使污染物达标排放，项目周围无大的环境制约因素。本工程的实施，对环境的影响正效益是主要的，具有长效性。本工程建设改善了蓬溪县墨砚湖片区行洪功能，项目建设具有较好的环境、经济、社会效益。评价认为，在严格执行“三同时”制度，确保各环保措施正常实施的前提下，本项目的实施从环境保护方面来说是可行的。</w:t>
            </w:r>
          </w:p>
        </w:tc>
      </w:tr>
    </w:tbl>
    <w:p>
      <w:pPr>
        <w:ind w:firstLine="480"/>
        <w:rPr>
          <w:rFonts w:hint="eastAsia"/>
        </w:rPr>
      </w:pPr>
    </w:p>
    <w:p>
      <w:pPr>
        <w:pStyle w:val="13"/>
        <w:adjustRightInd w:val="0"/>
        <w:snapToGrid w:val="0"/>
        <w:spacing w:before="0" w:beforeAutospacing="0" w:after="0" w:afterAutospacing="0" w:line="648" w:lineRule="auto"/>
        <w:ind w:firstLine="640"/>
        <w:outlineLvl w:val="0"/>
        <w:rPr>
          <w:rFonts w:hint="eastAsia" w:ascii="黑体" w:hAnsi="黑体" w:eastAsia="黑体"/>
          <w:snapToGrid w:val="0"/>
          <w:sz w:val="32"/>
          <w:szCs w:val="32"/>
        </w:rPr>
      </w:pPr>
      <w:r>
        <w:rPr>
          <w:rFonts w:ascii="黑体" w:hAnsi="黑体" w:eastAsia="黑体"/>
          <w:snapToGrid w:val="0"/>
          <w:sz w:val="32"/>
          <w:szCs w:val="32"/>
        </w:rPr>
        <w:br w:type="page"/>
      </w:r>
      <w:r>
        <w:rPr>
          <w:rFonts w:hint="eastAsia" w:ascii="黑体" w:hAnsi="黑体" w:eastAsia="黑体"/>
          <w:snapToGrid w:val="0"/>
          <w:sz w:val="32"/>
          <w:szCs w:val="32"/>
        </w:rPr>
        <w:t>附表</w:t>
      </w:r>
    </w:p>
    <w:p>
      <w:pPr>
        <w:pStyle w:val="13"/>
        <w:adjustRightInd w:val="0"/>
        <w:snapToGrid w:val="0"/>
        <w:spacing w:before="0" w:beforeAutospacing="0" w:after="0" w:afterAutospacing="0" w:line="552" w:lineRule="auto"/>
        <w:ind w:firstLine="760"/>
        <w:jc w:val="center"/>
        <w:rPr>
          <w:rFonts w:hint="eastAsia" w:ascii="方正小标宋_GBK" w:hAnsi="黑体" w:eastAsia="方正小标宋_GBK"/>
          <w:snapToGrid w:val="0"/>
          <w:sz w:val="38"/>
          <w:szCs w:val="38"/>
        </w:rPr>
      </w:pPr>
      <w:r>
        <w:rPr>
          <w:rFonts w:hint="eastAsia" w:ascii="方正小标宋_GBK" w:hAnsi="黑体" w:eastAsia="方正小标宋_GBK"/>
          <w:snapToGrid w:val="0"/>
          <w:sz w:val="38"/>
          <w:szCs w:val="38"/>
        </w:rPr>
        <w:t>编制单位和编制人员情况表</w:t>
      </w:r>
    </w:p>
    <w:tbl>
      <w:tblPr>
        <w:tblStyle w:val="15"/>
        <w:tblW w:w="8835"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2268"/>
        <w:gridCol w:w="1814"/>
        <w:gridCol w:w="2126"/>
        <w:gridCol w:w="132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569" w:type="dxa"/>
            <w:gridSpan w:val="2"/>
            <w:vAlign w:val="center"/>
          </w:tcPr>
          <w:p>
            <w:pPr>
              <w:pStyle w:val="13"/>
              <w:widowControl w:val="0"/>
              <w:adjustRightInd w:val="0"/>
              <w:snapToGrid w:val="0"/>
              <w:spacing w:before="0" w:beforeAutospacing="0" w:after="0" w:afterAutospacing="0"/>
              <w:ind w:firstLine="420"/>
              <w:jc w:val="center"/>
              <w:rPr>
                <w:rFonts w:hint="eastAsia"/>
                <w:kern w:val="2"/>
                <w:sz w:val="21"/>
                <w:szCs w:val="21"/>
              </w:rPr>
            </w:pPr>
            <w:r>
              <w:rPr>
                <w:rFonts w:hint="eastAsia"/>
                <w:kern w:val="2"/>
                <w:sz w:val="21"/>
                <w:szCs w:val="21"/>
              </w:rPr>
              <w:t>项目编号</w:t>
            </w:r>
          </w:p>
        </w:tc>
        <w:tc>
          <w:tcPr>
            <w:tcW w:w="5266" w:type="dxa"/>
            <w:gridSpan w:val="3"/>
            <w:vAlign w:val="center"/>
          </w:tcPr>
          <w:p>
            <w:pPr>
              <w:pStyle w:val="13"/>
              <w:widowControl w:val="0"/>
              <w:adjustRightInd w:val="0"/>
              <w:snapToGrid w:val="0"/>
              <w:spacing w:before="0" w:beforeAutospacing="0" w:after="0" w:afterAutospacing="0"/>
              <w:ind w:firstLine="420"/>
              <w:jc w:val="both"/>
              <w:rPr>
                <w:rFonts w:hint="eastAsia"/>
                <w:kern w:val="2"/>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569" w:type="dxa"/>
            <w:gridSpan w:val="2"/>
            <w:vAlign w:val="center"/>
          </w:tcPr>
          <w:p>
            <w:pPr>
              <w:pStyle w:val="13"/>
              <w:widowControl w:val="0"/>
              <w:adjustRightInd w:val="0"/>
              <w:snapToGrid w:val="0"/>
              <w:spacing w:before="0" w:beforeAutospacing="0" w:after="0" w:afterAutospacing="0"/>
              <w:ind w:firstLine="420"/>
              <w:jc w:val="center"/>
              <w:rPr>
                <w:rFonts w:hint="eastAsia"/>
                <w:kern w:val="2"/>
                <w:sz w:val="21"/>
                <w:szCs w:val="21"/>
              </w:rPr>
            </w:pPr>
            <w:r>
              <w:rPr>
                <w:rFonts w:hint="eastAsia"/>
                <w:kern w:val="2"/>
                <w:sz w:val="21"/>
                <w:szCs w:val="21"/>
              </w:rPr>
              <w:t>建设项目名称</w:t>
            </w:r>
          </w:p>
        </w:tc>
        <w:tc>
          <w:tcPr>
            <w:tcW w:w="5266" w:type="dxa"/>
            <w:gridSpan w:val="3"/>
            <w:vAlign w:val="center"/>
          </w:tcPr>
          <w:p>
            <w:pPr>
              <w:pStyle w:val="13"/>
              <w:widowControl w:val="0"/>
              <w:adjustRightInd w:val="0"/>
              <w:snapToGrid w:val="0"/>
              <w:spacing w:before="0" w:beforeAutospacing="0" w:after="0" w:afterAutospacing="0"/>
              <w:ind w:firstLine="420"/>
              <w:jc w:val="both"/>
              <w:rPr>
                <w:rFonts w:hint="eastAsia"/>
                <w:kern w:val="2"/>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569" w:type="dxa"/>
            <w:gridSpan w:val="2"/>
            <w:vAlign w:val="center"/>
          </w:tcPr>
          <w:p>
            <w:pPr>
              <w:pStyle w:val="13"/>
              <w:widowControl w:val="0"/>
              <w:adjustRightInd w:val="0"/>
              <w:snapToGrid w:val="0"/>
              <w:spacing w:before="0" w:beforeAutospacing="0" w:after="0" w:afterAutospacing="0"/>
              <w:ind w:firstLine="420"/>
              <w:jc w:val="center"/>
              <w:rPr>
                <w:rFonts w:hint="eastAsia"/>
                <w:kern w:val="2"/>
                <w:sz w:val="21"/>
                <w:szCs w:val="21"/>
              </w:rPr>
            </w:pPr>
            <w:r>
              <w:rPr>
                <w:rFonts w:hint="eastAsia"/>
                <w:kern w:val="2"/>
                <w:sz w:val="21"/>
                <w:szCs w:val="21"/>
              </w:rPr>
              <w:t>建设项目类别</w:t>
            </w:r>
          </w:p>
        </w:tc>
        <w:tc>
          <w:tcPr>
            <w:tcW w:w="5266" w:type="dxa"/>
            <w:gridSpan w:val="3"/>
            <w:vAlign w:val="center"/>
          </w:tcPr>
          <w:p>
            <w:pPr>
              <w:pStyle w:val="13"/>
              <w:widowControl w:val="0"/>
              <w:adjustRightInd w:val="0"/>
              <w:snapToGrid w:val="0"/>
              <w:spacing w:before="0" w:beforeAutospacing="0" w:after="0" w:afterAutospacing="0"/>
              <w:ind w:firstLine="420"/>
              <w:jc w:val="both"/>
              <w:rPr>
                <w:rFonts w:hint="eastAsia"/>
                <w:kern w:val="2"/>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569" w:type="dxa"/>
            <w:gridSpan w:val="2"/>
            <w:vAlign w:val="center"/>
          </w:tcPr>
          <w:p>
            <w:pPr>
              <w:pStyle w:val="13"/>
              <w:widowControl w:val="0"/>
              <w:adjustRightInd w:val="0"/>
              <w:snapToGrid w:val="0"/>
              <w:spacing w:before="0" w:beforeAutospacing="0" w:after="0" w:afterAutospacing="0"/>
              <w:ind w:firstLine="420"/>
              <w:jc w:val="center"/>
              <w:rPr>
                <w:rFonts w:hint="eastAsia"/>
                <w:kern w:val="2"/>
                <w:sz w:val="21"/>
                <w:szCs w:val="21"/>
              </w:rPr>
            </w:pPr>
            <w:r>
              <w:rPr>
                <w:rFonts w:hint="eastAsia"/>
                <w:kern w:val="2"/>
                <w:sz w:val="21"/>
                <w:szCs w:val="21"/>
              </w:rPr>
              <w:t>环境影响评价文件类型</w:t>
            </w:r>
          </w:p>
        </w:tc>
        <w:tc>
          <w:tcPr>
            <w:tcW w:w="5266" w:type="dxa"/>
            <w:gridSpan w:val="3"/>
            <w:vAlign w:val="center"/>
          </w:tcPr>
          <w:p>
            <w:pPr>
              <w:pStyle w:val="13"/>
              <w:widowControl w:val="0"/>
              <w:adjustRightInd w:val="0"/>
              <w:snapToGrid w:val="0"/>
              <w:spacing w:before="0" w:beforeAutospacing="0" w:after="0" w:afterAutospacing="0"/>
              <w:ind w:firstLine="420"/>
              <w:jc w:val="both"/>
              <w:rPr>
                <w:rFonts w:hint="eastAsia"/>
                <w:kern w:val="2"/>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8835" w:type="dxa"/>
            <w:gridSpan w:val="5"/>
            <w:vAlign w:val="center"/>
          </w:tcPr>
          <w:p>
            <w:pPr>
              <w:pStyle w:val="13"/>
              <w:widowControl w:val="0"/>
              <w:adjustRightInd w:val="0"/>
              <w:snapToGrid w:val="0"/>
              <w:spacing w:before="0" w:beforeAutospacing="0" w:after="0" w:afterAutospacing="0"/>
              <w:ind w:firstLine="420"/>
              <w:jc w:val="both"/>
              <w:rPr>
                <w:rFonts w:hint="eastAsia" w:ascii="黑体" w:hAnsi="黑体" w:eastAsia="黑体"/>
                <w:kern w:val="2"/>
                <w:sz w:val="21"/>
                <w:szCs w:val="21"/>
              </w:rPr>
            </w:pPr>
            <w:r>
              <w:rPr>
                <w:rFonts w:hint="eastAsia" w:ascii="黑体" w:hAnsi="黑体" w:eastAsia="黑体"/>
                <w:kern w:val="2"/>
                <w:sz w:val="21"/>
                <w:szCs w:val="21"/>
              </w:rPr>
              <w:t>一、建设单位情况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569" w:type="dxa"/>
            <w:gridSpan w:val="2"/>
            <w:vAlign w:val="center"/>
          </w:tcPr>
          <w:p>
            <w:pPr>
              <w:pStyle w:val="13"/>
              <w:widowControl w:val="0"/>
              <w:adjustRightInd w:val="0"/>
              <w:snapToGrid w:val="0"/>
              <w:spacing w:before="0" w:beforeAutospacing="0" w:after="0" w:afterAutospacing="0"/>
              <w:ind w:firstLine="420"/>
              <w:jc w:val="center"/>
              <w:rPr>
                <w:rFonts w:hint="eastAsia"/>
                <w:kern w:val="2"/>
                <w:sz w:val="21"/>
                <w:szCs w:val="21"/>
              </w:rPr>
            </w:pPr>
            <w:r>
              <w:rPr>
                <w:rFonts w:hint="eastAsia"/>
                <w:kern w:val="2"/>
                <w:sz w:val="21"/>
                <w:szCs w:val="21"/>
              </w:rPr>
              <w:t>单位名称（盖章）</w:t>
            </w:r>
          </w:p>
        </w:tc>
        <w:tc>
          <w:tcPr>
            <w:tcW w:w="5266" w:type="dxa"/>
            <w:gridSpan w:val="3"/>
            <w:vAlign w:val="center"/>
          </w:tcPr>
          <w:p>
            <w:pPr>
              <w:pStyle w:val="13"/>
              <w:widowControl w:val="0"/>
              <w:adjustRightInd w:val="0"/>
              <w:snapToGrid w:val="0"/>
              <w:spacing w:before="0" w:beforeAutospacing="0" w:after="0" w:afterAutospacing="0"/>
              <w:ind w:firstLine="420"/>
              <w:jc w:val="both"/>
              <w:rPr>
                <w:rFonts w:hint="eastAsia"/>
                <w:kern w:val="2"/>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569" w:type="dxa"/>
            <w:gridSpan w:val="2"/>
            <w:vAlign w:val="center"/>
          </w:tcPr>
          <w:p>
            <w:pPr>
              <w:pStyle w:val="13"/>
              <w:widowControl w:val="0"/>
              <w:adjustRightInd w:val="0"/>
              <w:snapToGrid w:val="0"/>
              <w:spacing w:before="0" w:beforeAutospacing="0" w:after="0" w:afterAutospacing="0"/>
              <w:ind w:firstLine="420"/>
              <w:jc w:val="center"/>
              <w:rPr>
                <w:rFonts w:hint="eastAsia"/>
                <w:kern w:val="2"/>
                <w:sz w:val="21"/>
                <w:szCs w:val="21"/>
              </w:rPr>
            </w:pPr>
            <w:r>
              <w:rPr>
                <w:rFonts w:hint="eastAsia"/>
                <w:kern w:val="2"/>
                <w:sz w:val="21"/>
                <w:szCs w:val="21"/>
              </w:rPr>
              <w:t>统一社会信用代码</w:t>
            </w:r>
          </w:p>
        </w:tc>
        <w:tc>
          <w:tcPr>
            <w:tcW w:w="5266" w:type="dxa"/>
            <w:gridSpan w:val="3"/>
            <w:vAlign w:val="center"/>
          </w:tcPr>
          <w:p>
            <w:pPr>
              <w:pStyle w:val="13"/>
              <w:widowControl w:val="0"/>
              <w:adjustRightInd w:val="0"/>
              <w:snapToGrid w:val="0"/>
              <w:spacing w:before="0" w:beforeAutospacing="0" w:after="0" w:afterAutospacing="0"/>
              <w:ind w:firstLine="420"/>
              <w:jc w:val="both"/>
              <w:rPr>
                <w:rFonts w:hint="eastAsia"/>
                <w:kern w:val="2"/>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569" w:type="dxa"/>
            <w:gridSpan w:val="2"/>
            <w:vAlign w:val="center"/>
          </w:tcPr>
          <w:p>
            <w:pPr>
              <w:pStyle w:val="13"/>
              <w:widowControl w:val="0"/>
              <w:adjustRightInd w:val="0"/>
              <w:snapToGrid w:val="0"/>
              <w:spacing w:before="0" w:beforeAutospacing="0" w:after="0" w:afterAutospacing="0"/>
              <w:ind w:firstLine="420"/>
              <w:jc w:val="center"/>
              <w:rPr>
                <w:rFonts w:hint="eastAsia"/>
                <w:kern w:val="2"/>
                <w:sz w:val="21"/>
                <w:szCs w:val="21"/>
              </w:rPr>
            </w:pPr>
            <w:r>
              <w:rPr>
                <w:rFonts w:hint="eastAsia"/>
                <w:kern w:val="2"/>
                <w:sz w:val="21"/>
                <w:szCs w:val="21"/>
              </w:rPr>
              <w:t>法定代表人（签章）</w:t>
            </w:r>
          </w:p>
        </w:tc>
        <w:tc>
          <w:tcPr>
            <w:tcW w:w="5266" w:type="dxa"/>
            <w:gridSpan w:val="3"/>
            <w:vAlign w:val="center"/>
          </w:tcPr>
          <w:p>
            <w:pPr>
              <w:pStyle w:val="13"/>
              <w:widowControl w:val="0"/>
              <w:adjustRightInd w:val="0"/>
              <w:snapToGrid w:val="0"/>
              <w:spacing w:before="0" w:beforeAutospacing="0" w:after="0" w:afterAutospacing="0"/>
              <w:ind w:firstLine="420"/>
              <w:jc w:val="both"/>
              <w:rPr>
                <w:rFonts w:hint="eastAsia"/>
                <w:kern w:val="2"/>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569" w:type="dxa"/>
            <w:gridSpan w:val="2"/>
            <w:vAlign w:val="center"/>
          </w:tcPr>
          <w:p>
            <w:pPr>
              <w:pStyle w:val="13"/>
              <w:widowControl w:val="0"/>
              <w:adjustRightInd w:val="0"/>
              <w:snapToGrid w:val="0"/>
              <w:spacing w:before="0" w:beforeAutospacing="0" w:after="0" w:afterAutospacing="0"/>
              <w:ind w:firstLine="420"/>
              <w:jc w:val="center"/>
              <w:rPr>
                <w:rFonts w:hint="eastAsia"/>
                <w:kern w:val="2"/>
                <w:sz w:val="21"/>
                <w:szCs w:val="21"/>
              </w:rPr>
            </w:pPr>
            <w:r>
              <w:rPr>
                <w:rFonts w:hint="eastAsia"/>
                <w:kern w:val="2"/>
                <w:sz w:val="21"/>
                <w:szCs w:val="21"/>
              </w:rPr>
              <w:t>主要负责人（签字）</w:t>
            </w:r>
          </w:p>
        </w:tc>
        <w:tc>
          <w:tcPr>
            <w:tcW w:w="5266" w:type="dxa"/>
            <w:gridSpan w:val="3"/>
            <w:vAlign w:val="center"/>
          </w:tcPr>
          <w:p>
            <w:pPr>
              <w:pStyle w:val="13"/>
              <w:widowControl w:val="0"/>
              <w:adjustRightInd w:val="0"/>
              <w:snapToGrid w:val="0"/>
              <w:spacing w:before="0" w:beforeAutospacing="0" w:after="0" w:afterAutospacing="0"/>
              <w:ind w:firstLine="420"/>
              <w:jc w:val="both"/>
              <w:rPr>
                <w:rFonts w:hint="eastAsia"/>
                <w:kern w:val="2"/>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569" w:type="dxa"/>
            <w:gridSpan w:val="2"/>
            <w:vAlign w:val="center"/>
          </w:tcPr>
          <w:p>
            <w:pPr>
              <w:pStyle w:val="13"/>
              <w:widowControl w:val="0"/>
              <w:adjustRightInd w:val="0"/>
              <w:snapToGrid w:val="0"/>
              <w:spacing w:before="0" w:beforeAutospacing="0" w:after="0" w:afterAutospacing="0"/>
              <w:ind w:firstLine="420"/>
              <w:jc w:val="center"/>
              <w:rPr>
                <w:rFonts w:hint="eastAsia"/>
                <w:kern w:val="2"/>
                <w:sz w:val="21"/>
                <w:szCs w:val="21"/>
              </w:rPr>
            </w:pPr>
            <w:r>
              <w:rPr>
                <w:rFonts w:hint="eastAsia"/>
                <w:kern w:val="2"/>
                <w:sz w:val="21"/>
                <w:szCs w:val="21"/>
              </w:rPr>
              <w:t>直接负责的主管人员（签字）</w:t>
            </w:r>
          </w:p>
        </w:tc>
        <w:tc>
          <w:tcPr>
            <w:tcW w:w="5266" w:type="dxa"/>
            <w:gridSpan w:val="3"/>
            <w:vAlign w:val="center"/>
          </w:tcPr>
          <w:p>
            <w:pPr>
              <w:pStyle w:val="13"/>
              <w:widowControl w:val="0"/>
              <w:adjustRightInd w:val="0"/>
              <w:snapToGrid w:val="0"/>
              <w:spacing w:before="0" w:beforeAutospacing="0" w:after="0" w:afterAutospacing="0"/>
              <w:ind w:firstLine="420"/>
              <w:jc w:val="both"/>
              <w:rPr>
                <w:rFonts w:hint="eastAsia"/>
                <w:kern w:val="2"/>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8835" w:type="dxa"/>
            <w:gridSpan w:val="5"/>
            <w:vAlign w:val="center"/>
          </w:tcPr>
          <w:p>
            <w:pPr>
              <w:pStyle w:val="13"/>
              <w:widowControl w:val="0"/>
              <w:adjustRightInd w:val="0"/>
              <w:snapToGrid w:val="0"/>
              <w:spacing w:before="0" w:beforeAutospacing="0" w:after="0" w:afterAutospacing="0"/>
              <w:ind w:firstLine="420"/>
              <w:jc w:val="both"/>
              <w:rPr>
                <w:rFonts w:hint="eastAsia" w:ascii="黑体" w:hAnsi="黑体" w:eastAsia="黑体"/>
                <w:b/>
                <w:kern w:val="2"/>
                <w:sz w:val="21"/>
                <w:szCs w:val="21"/>
              </w:rPr>
            </w:pPr>
            <w:r>
              <w:rPr>
                <w:rFonts w:hint="eastAsia" w:ascii="黑体" w:hAnsi="黑体" w:eastAsia="黑体"/>
                <w:kern w:val="2"/>
                <w:sz w:val="21"/>
                <w:szCs w:val="21"/>
              </w:rPr>
              <w:t>二、编制单位情况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569" w:type="dxa"/>
            <w:gridSpan w:val="2"/>
            <w:vAlign w:val="center"/>
          </w:tcPr>
          <w:p>
            <w:pPr>
              <w:pStyle w:val="13"/>
              <w:widowControl w:val="0"/>
              <w:adjustRightInd w:val="0"/>
              <w:snapToGrid w:val="0"/>
              <w:spacing w:before="0" w:beforeAutospacing="0" w:after="0" w:afterAutospacing="0"/>
              <w:ind w:firstLine="420"/>
              <w:jc w:val="center"/>
              <w:rPr>
                <w:rFonts w:hint="eastAsia"/>
                <w:kern w:val="2"/>
                <w:sz w:val="21"/>
                <w:szCs w:val="21"/>
              </w:rPr>
            </w:pPr>
            <w:r>
              <w:rPr>
                <w:rFonts w:hint="eastAsia"/>
                <w:kern w:val="2"/>
                <w:sz w:val="21"/>
                <w:szCs w:val="21"/>
              </w:rPr>
              <w:t>单位名称（盖章）</w:t>
            </w:r>
          </w:p>
        </w:tc>
        <w:tc>
          <w:tcPr>
            <w:tcW w:w="5266" w:type="dxa"/>
            <w:gridSpan w:val="3"/>
            <w:vAlign w:val="center"/>
          </w:tcPr>
          <w:p>
            <w:pPr>
              <w:pStyle w:val="13"/>
              <w:widowControl w:val="0"/>
              <w:adjustRightInd w:val="0"/>
              <w:snapToGrid w:val="0"/>
              <w:spacing w:before="0" w:beforeAutospacing="0" w:after="0" w:afterAutospacing="0"/>
              <w:ind w:firstLine="420"/>
              <w:jc w:val="center"/>
              <w:rPr>
                <w:rFonts w:hint="eastAsia"/>
                <w:kern w:val="2"/>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569" w:type="dxa"/>
            <w:gridSpan w:val="2"/>
            <w:vAlign w:val="center"/>
          </w:tcPr>
          <w:p>
            <w:pPr>
              <w:pStyle w:val="13"/>
              <w:widowControl w:val="0"/>
              <w:adjustRightInd w:val="0"/>
              <w:snapToGrid w:val="0"/>
              <w:spacing w:before="0" w:beforeAutospacing="0" w:after="0" w:afterAutospacing="0"/>
              <w:ind w:firstLine="420"/>
              <w:jc w:val="center"/>
              <w:rPr>
                <w:rFonts w:hint="eastAsia"/>
                <w:kern w:val="2"/>
                <w:sz w:val="21"/>
                <w:szCs w:val="21"/>
              </w:rPr>
            </w:pPr>
            <w:r>
              <w:rPr>
                <w:rFonts w:hint="eastAsia"/>
                <w:kern w:val="2"/>
                <w:sz w:val="21"/>
                <w:szCs w:val="21"/>
              </w:rPr>
              <w:t>统一社会信用代码</w:t>
            </w:r>
          </w:p>
        </w:tc>
        <w:tc>
          <w:tcPr>
            <w:tcW w:w="5266" w:type="dxa"/>
            <w:gridSpan w:val="3"/>
            <w:vAlign w:val="center"/>
          </w:tcPr>
          <w:p>
            <w:pPr>
              <w:pStyle w:val="13"/>
              <w:widowControl w:val="0"/>
              <w:adjustRightInd w:val="0"/>
              <w:snapToGrid w:val="0"/>
              <w:spacing w:before="0" w:beforeAutospacing="0" w:after="0" w:afterAutospacing="0"/>
              <w:ind w:firstLine="420"/>
              <w:jc w:val="center"/>
              <w:rPr>
                <w:rFonts w:hint="eastAsia"/>
                <w:kern w:val="2"/>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8835" w:type="dxa"/>
            <w:gridSpan w:val="5"/>
            <w:vAlign w:val="center"/>
          </w:tcPr>
          <w:p>
            <w:pPr>
              <w:pStyle w:val="13"/>
              <w:widowControl w:val="0"/>
              <w:adjustRightInd w:val="0"/>
              <w:snapToGrid w:val="0"/>
              <w:spacing w:before="0" w:beforeAutospacing="0" w:after="0" w:afterAutospacing="0"/>
              <w:ind w:firstLine="420"/>
              <w:rPr>
                <w:rFonts w:hint="eastAsia" w:ascii="黑体" w:hAnsi="黑体" w:eastAsia="黑体"/>
                <w:kern w:val="2"/>
                <w:sz w:val="21"/>
                <w:szCs w:val="21"/>
              </w:rPr>
            </w:pPr>
            <w:r>
              <w:rPr>
                <w:rFonts w:hint="eastAsia" w:ascii="黑体" w:hAnsi="黑体" w:eastAsia="黑体"/>
                <w:kern w:val="2"/>
                <w:sz w:val="21"/>
                <w:szCs w:val="21"/>
              </w:rPr>
              <w:t>三、编制人员情况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8835" w:type="dxa"/>
            <w:gridSpan w:val="5"/>
            <w:vAlign w:val="center"/>
          </w:tcPr>
          <w:p>
            <w:pPr>
              <w:pStyle w:val="13"/>
              <w:widowControl w:val="0"/>
              <w:adjustRightInd w:val="0"/>
              <w:snapToGrid w:val="0"/>
              <w:spacing w:before="0" w:beforeAutospacing="0" w:after="0" w:afterAutospacing="0"/>
              <w:ind w:firstLine="420"/>
              <w:rPr>
                <w:rFonts w:hint="eastAsia"/>
                <w:kern w:val="2"/>
                <w:sz w:val="21"/>
                <w:szCs w:val="21"/>
              </w:rPr>
            </w:pPr>
            <w:r>
              <w:rPr>
                <w:kern w:val="2"/>
                <w:sz w:val="21"/>
                <w:szCs w:val="21"/>
              </w:rPr>
              <w:t>1.</w:t>
            </w:r>
            <w:r>
              <w:rPr>
                <w:rFonts w:hint="eastAsia"/>
                <w:kern w:val="2"/>
                <w:sz w:val="21"/>
                <w:szCs w:val="21"/>
              </w:rPr>
              <w:t>编制主持人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301" w:type="dxa"/>
            <w:vAlign w:val="center"/>
          </w:tcPr>
          <w:p>
            <w:pPr>
              <w:pStyle w:val="13"/>
              <w:widowControl w:val="0"/>
              <w:adjustRightInd w:val="0"/>
              <w:snapToGrid w:val="0"/>
              <w:spacing w:before="0" w:beforeAutospacing="0" w:after="0" w:afterAutospacing="0"/>
              <w:ind w:firstLine="420"/>
              <w:jc w:val="center"/>
              <w:rPr>
                <w:rFonts w:hint="eastAsia"/>
                <w:kern w:val="2"/>
                <w:sz w:val="21"/>
                <w:szCs w:val="21"/>
              </w:rPr>
            </w:pPr>
            <w:r>
              <w:rPr>
                <w:rFonts w:hint="eastAsia"/>
                <w:kern w:val="2"/>
                <w:sz w:val="21"/>
                <w:szCs w:val="21"/>
              </w:rPr>
              <w:t>姓名</w:t>
            </w:r>
          </w:p>
        </w:tc>
        <w:tc>
          <w:tcPr>
            <w:tcW w:w="4082" w:type="dxa"/>
            <w:gridSpan w:val="2"/>
            <w:vAlign w:val="center"/>
          </w:tcPr>
          <w:p>
            <w:pPr>
              <w:pStyle w:val="13"/>
              <w:widowControl w:val="0"/>
              <w:adjustRightInd w:val="0"/>
              <w:snapToGrid w:val="0"/>
              <w:spacing w:before="0" w:beforeAutospacing="0" w:after="0" w:afterAutospacing="0"/>
              <w:ind w:firstLine="420"/>
              <w:jc w:val="center"/>
              <w:rPr>
                <w:rFonts w:hint="eastAsia"/>
                <w:kern w:val="2"/>
                <w:sz w:val="21"/>
                <w:szCs w:val="21"/>
              </w:rPr>
            </w:pPr>
            <w:r>
              <w:rPr>
                <w:rFonts w:hint="eastAsia"/>
                <w:kern w:val="2"/>
                <w:sz w:val="21"/>
                <w:szCs w:val="21"/>
              </w:rPr>
              <w:t>职业资格证书管理号</w:t>
            </w:r>
          </w:p>
        </w:tc>
        <w:tc>
          <w:tcPr>
            <w:tcW w:w="2126" w:type="dxa"/>
            <w:vAlign w:val="center"/>
          </w:tcPr>
          <w:p>
            <w:pPr>
              <w:pStyle w:val="13"/>
              <w:widowControl w:val="0"/>
              <w:adjustRightInd w:val="0"/>
              <w:snapToGrid w:val="0"/>
              <w:spacing w:before="0" w:beforeAutospacing="0" w:after="0" w:afterAutospacing="0"/>
              <w:ind w:firstLine="420"/>
              <w:jc w:val="center"/>
              <w:rPr>
                <w:rFonts w:hint="eastAsia"/>
                <w:kern w:val="2"/>
                <w:sz w:val="21"/>
                <w:szCs w:val="21"/>
              </w:rPr>
            </w:pPr>
            <w:r>
              <w:rPr>
                <w:rFonts w:hint="eastAsia"/>
                <w:kern w:val="2"/>
                <w:sz w:val="21"/>
                <w:szCs w:val="21"/>
              </w:rPr>
              <w:t>信用编号</w:t>
            </w:r>
          </w:p>
        </w:tc>
        <w:tc>
          <w:tcPr>
            <w:tcW w:w="1326" w:type="dxa"/>
            <w:vAlign w:val="center"/>
          </w:tcPr>
          <w:p>
            <w:pPr>
              <w:pStyle w:val="13"/>
              <w:widowControl w:val="0"/>
              <w:adjustRightInd w:val="0"/>
              <w:snapToGrid w:val="0"/>
              <w:spacing w:before="0" w:beforeAutospacing="0" w:after="0" w:afterAutospacing="0"/>
              <w:ind w:firstLine="420"/>
              <w:jc w:val="center"/>
              <w:rPr>
                <w:rFonts w:hint="eastAsia"/>
                <w:kern w:val="2"/>
                <w:sz w:val="21"/>
                <w:szCs w:val="21"/>
              </w:rPr>
            </w:pPr>
            <w:r>
              <w:rPr>
                <w:rFonts w:hint="eastAsia"/>
                <w:kern w:val="2"/>
                <w:sz w:val="21"/>
                <w:szCs w:val="21"/>
              </w:rPr>
              <w:t>签字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301" w:type="dxa"/>
            <w:vAlign w:val="center"/>
          </w:tcPr>
          <w:p>
            <w:pPr>
              <w:pStyle w:val="13"/>
              <w:widowControl w:val="0"/>
              <w:adjustRightInd w:val="0"/>
              <w:snapToGrid w:val="0"/>
              <w:spacing w:before="0" w:beforeAutospacing="0" w:after="0" w:afterAutospacing="0"/>
              <w:ind w:firstLine="420"/>
              <w:jc w:val="center"/>
              <w:rPr>
                <w:rFonts w:hint="eastAsia"/>
                <w:kern w:val="2"/>
                <w:sz w:val="21"/>
                <w:szCs w:val="21"/>
              </w:rPr>
            </w:pPr>
          </w:p>
        </w:tc>
        <w:tc>
          <w:tcPr>
            <w:tcW w:w="4082" w:type="dxa"/>
            <w:gridSpan w:val="2"/>
            <w:vAlign w:val="center"/>
          </w:tcPr>
          <w:p>
            <w:pPr>
              <w:pStyle w:val="13"/>
              <w:widowControl w:val="0"/>
              <w:adjustRightInd w:val="0"/>
              <w:snapToGrid w:val="0"/>
              <w:spacing w:before="0" w:beforeAutospacing="0" w:after="0" w:afterAutospacing="0"/>
              <w:ind w:firstLine="420"/>
              <w:jc w:val="center"/>
              <w:rPr>
                <w:rFonts w:hint="eastAsia"/>
                <w:kern w:val="2"/>
                <w:sz w:val="21"/>
                <w:szCs w:val="21"/>
              </w:rPr>
            </w:pPr>
          </w:p>
        </w:tc>
        <w:tc>
          <w:tcPr>
            <w:tcW w:w="2126" w:type="dxa"/>
            <w:vAlign w:val="center"/>
          </w:tcPr>
          <w:p>
            <w:pPr>
              <w:pStyle w:val="13"/>
              <w:widowControl w:val="0"/>
              <w:adjustRightInd w:val="0"/>
              <w:snapToGrid w:val="0"/>
              <w:spacing w:before="0" w:beforeAutospacing="0" w:after="0" w:afterAutospacing="0"/>
              <w:ind w:firstLine="420"/>
              <w:jc w:val="center"/>
              <w:rPr>
                <w:rFonts w:hint="eastAsia"/>
                <w:kern w:val="2"/>
                <w:sz w:val="21"/>
                <w:szCs w:val="21"/>
              </w:rPr>
            </w:pPr>
          </w:p>
        </w:tc>
        <w:tc>
          <w:tcPr>
            <w:tcW w:w="1326" w:type="dxa"/>
            <w:vAlign w:val="center"/>
          </w:tcPr>
          <w:p>
            <w:pPr>
              <w:pStyle w:val="13"/>
              <w:widowControl w:val="0"/>
              <w:adjustRightInd w:val="0"/>
              <w:snapToGrid w:val="0"/>
              <w:spacing w:before="0" w:beforeAutospacing="0" w:after="0" w:afterAutospacing="0"/>
              <w:ind w:firstLine="420"/>
              <w:jc w:val="center"/>
              <w:rPr>
                <w:rFonts w:hint="eastAsia"/>
                <w:kern w:val="2"/>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8835" w:type="dxa"/>
            <w:gridSpan w:val="5"/>
            <w:vAlign w:val="center"/>
          </w:tcPr>
          <w:p>
            <w:pPr>
              <w:pStyle w:val="13"/>
              <w:widowControl w:val="0"/>
              <w:adjustRightInd w:val="0"/>
              <w:snapToGrid w:val="0"/>
              <w:spacing w:before="0" w:beforeAutospacing="0" w:after="0" w:afterAutospacing="0"/>
              <w:ind w:firstLine="420"/>
              <w:rPr>
                <w:rFonts w:hint="eastAsia"/>
                <w:kern w:val="2"/>
                <w:sz w:val="21"/>
                <w:szCs w:val="21"/>
              </w:rPr>
            </w:pPr>
            <w:r>
              <w:rPr>
                <w:kern w:val="2"/>
                <w:sz w:val="21"/>
                <w:szCs w:val="21"/>
              </w:rPr>
              <w:t>2.</w:t>
            </w:r>
            <w:r>
              <w:rPr>
                <w:rFonts w:hint="eastAsia"/>
                <w:kern w:val="2"/>
                <w:sz w:val="21"/>
                <w:szCs w:val="21"/>
              </w:rPr>
              <w:t>主要编制人员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301" w:type="dxa"/>
            <w:vAlign w:val="center"/>
          </w:tcPr>
          <w:p>
            <w:pPr>
              <w:pStyle w:val="13"/>
              <w:widowControl w:val="0"/>
              <w:adjustRightInd w:val="0"/>
              <w:snapToGrid w:val="0"/>
              <w:spacing w:before="0" w:beforeAutospacing="0" w:after="0" w:afterAutospacing="0"/>
              <w:ind w:firstLine="420"/>
              <w:jc w:val="center"/>
              <w:rPr>
                <w:rFonts w:hint="eastAsia"/>
                <w:kern w:val="2"/>
                <w:sz w:val="21"/>
                <w:szCs w:val="21"/>
              </w:rPr>
            </w:pPr>
            <w:r>
              <w:rPr>
                <w:rFonts w:hint="eastAsia"/>
                <w:kern w:val="2"/>
                <w:sz w:val="21"/>
                <w:szCs w:val="21"/>
              </w:rPr>
              <w:t>姓名</w:t>
            </w:r>
          </w:p>
        </w:tc>
        <w:tc>
          <w:tcPr>
            <w:tcW w:w="4082" w:type="dxa"/>
            <w:gridSpan w:val="2"/>
            <w:vAlign w:val="center"/>
          </w:tcPr>
          <w:p>
            <w:pPr>
              <w:pStyle w:val="13"/>
              <w:widowControl w:val="0"/>
              <w:adjustRightInd w:val="0"/>
              <w:snapToGrid w:val="0"/>
              <w:spacing w:before="0" w:beforeAutospacing="0" w:after="0" w:afterAutospacing="0"/>
              <w:ind w:firstLine="420"/>
              <w:jc w:val="center"/>
              <w:rPr>
                <w:rFonts w:hint="eastAsia"/>
                <w:kern w:val="2"/>
                <w:sz w:val="21"/>
                <w:szCs w:val="21"/>
              </w:rPr>
            </w:pPr>
            <w:r>
              <w:rPr>
                <w:rFonts w:hint="eastAsia"/>
                <w:kern w:val="2"/>
                <w:sz w:val="21"/>
                <w:szCs w:val="21"/>
              </w:rPr>
              <w:t>主要编写内容</w:t>
            </w:r>
          </w:p>
        </w:tc>
        <w:tc>
          <w:tcPr>
            <w:tcW w:w="2126" w:type="dxa"/>
            <w:vAlign w:val="center"/>
          </w:tcPr>
          <w:p>
            <w:pPr>
              <w:pStyle w:val="13"/>
              <w:widowControl w:val="0"/>
              <w:adjustRightInd w:val="0"/>
              <w:snapToGrid w:val="0"/>
              <w:spacing w:before="0" w:beforeAutospacing="0" w:after="0" w:afterAutospacing="0"/>
              <w:ind w:firstLine="420"/>
              <w:jc w:val="center"/>
              <w:rPr>
                <w:rFonts w:hint="eastAsia"/>
                <w:kern w:val="2"/>
                <w:sz w:val="21"/>
                <w:szCs w:val="21"/>
              </w:rPr>
            </w:pPr>
            <w:r>
              <w:rPr>
                <w:rFonts w:hint="eastAsia"/>
                <w:kern w:val="2"/>
                <w:sz w:val="21"/>
                <w:szCs w:val="21"/>
              </w:rPr>
              <w:t>信用编号</w:t>
            </w:r>
          </w:p>
        </w:tc>
        <w:tc>
          <w:tcPr>
            <w:tcW w:w="1326" w:type="dxa"/>
            <w:vAlign w:val="center"/>
          </w:tcPr>
          <w:p>
            <w:pPr>
              <w:pStyle w:val="13"/>
              <w:widowControl w:val="0"/>
              <w:adjustRightInd w:val="0"/>
              <w:snapToGrid w:val="0"/>
              <w:spacing w:before="0" w:beforeAutospacing="0" w:after="0" w:afterAutospacing="0"/>
              <w:ind w:firstLine="420"/>
              <w:jc w:val="center"/>
              <w:rPr>
                <w:rFonts w:hint="eastAsia"/>
                <w:kern w:val="2"/>
                <w:sz w:val="21"/>
                <w:szCs w:val="21"/>
              </w:rPr>
            </w:pPr>
            <w:r>
              <w:rPr>
                <w:rFonts w:hint="eastAsia"/>
                <w:kern w:val="2"/>
                <w:sz w:val="21"/>
                <w:szCs w:val="21"/>
              </w:rPr>
              <w:t>签字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301" w:type="dxa"/>
            <w:vAlign w:val="center"/>
          </w:tcPr>
          <w:p>
            <w:pPr>
              <w:pStyle w:val="13"/>
              <w:widowControl w:val="0"/>
              <w:adjustRightInd w:val="0"/>
              <w:snapToGrid w:val="0"/>
              <w:spacing w:before="0" w:beforeAutospacing="0" w:after="0" w:afterAutospacing="0"/>
              <w:ind w:firstLine="420"/>
              <w:jc w:val="center"/>
              <w:rPr>
                <w:rFonts w:hint="eastAsia"/>
                <w:kern w:val="2"/>
                <w:sz w:val="21"/>
                <w:szCs w:val="21"/>
              </w:rPr>
            </w:pPr>
          </w:p>
        </w:tc>
        <w:tc>
          <w:tcPr>
            <w:tcW w:w="4082" w:type="dxa"/>
            <w:gridSpan w:val="2"/>
            <w:vAlign w:val="center"/>
          </w:tcPr>
          <w:p>
            <w:pPr>
              <w:pStyle w:val="13"/>
              <w:widowControl w:val="0"/>
              <w:adjustRightInd w:val="0"/>
              <w:snapToGrid w:val="0"/>
              <w:spacing w:before="0" w:beforeAutospacing="0" w:after="0" w:afterAutospacing="0"/>
              <w:ind w:firstLine="420"/>
              <w:jc w:val="center"/>
              <w:rPr>
                <w:rFonts w:hint="eastAsia"/>
                <w:kern w:val="2"/>
                <w:sz w:val="21"/>
                <w:szCs w:val="21"/>
              </w:rPr>
            </w:pPr>
          </w:p>
        </w:tc>
        <w:tc>
          <w:tcPr>
            <w:tcW w:w="2126" w:type="dxa"/>
            <w:vAlign w:val="center"/>
          </w:tcPr>
          <w:p>
            <w:pPr>
              <w:pStyle w:val="13"/>
              <w:widowControl w:val="0"/>
              <w:adjustRightInd w:val="0"/>
              <w:snapToGrid w:val="0"/>
              <w:spacing w:before="0" w:beforeAutospacing="0" w:after="0" w:afterAutospacing="0"/>
              <w:ind w:firstLine="420"/>
              <w:jc w:val="center"/>
              <w:rPr>
                <w:rFonts w:hint="eastAsia"/>
                <w:kern w:val="2"/>
                <w:sz w:val="21"/>
                <w:szCs w:val="21"/>
              </w:rPr>
            </w:pPr>
          </w:p>
        </w:tc>
        <w:tc>
          <w:tcPr>
            <w:tcW w:w="1326" w:type="dxa"/>
            <w:vAlign w:val="center"/>
          </w:tcPr>
          <w:p>
            <w:pPr>
              <w:pStyle w:val="13"/>
              <w:widowControl w:val="0"/>
              <w:adjustRightInd w:val="0"/>
              <w:snapToGrid w:val="0"/>
              <w:spacing w:before="0" w:beforeAutospacing="0" w:after="0" w:afterAutospacing="0"/>
              <w:ind w:firstLine="420"/>
              <w:jc w:val="center"/>
              <w:rPr>
                <w:rFonts w:hint="eastAsia"/>
                <w:kern w:val="2"/>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301" w:type="dxa"/>
            <w:vAlign w:val="center"/>
          </w:tcPr>
          <w:p>
            <w:pPr>
              <w:pStyle w:val="13"/>
              <w:widowControl w:val="0"/>
              <w:adjustRightInd w:val="0"/>
              <w:snapToGrid w:val="0"/>
              <w:spacing w:before="0" w:beforeAutospacing="0" w:after="0" w:afterAutospacing="0"/>
              <w:ind w:firstLine="420"/>
              <w:jc w:val="center"/>
              <w:rPr>
                <w:rFonts w:hint="eastAsia"/>
                <w:kern w:val="2"/>
                <w:sz w:val="21"/>
                <w:szCs w:val="21"/>
              </w:rPr>
            </w:pPr>
          </w:p>
        </w:tc>
        <w:tc>
          <w:tcPr>
            <w:tcW w:w="4082" w:type="dxa"/>
            <w:gridSpan w:val="2"/>
            <w:vAlign w:val="center"/>
          </w:tcPr>
          <w:p>
            <w:pPr>
              <w:pStyle w:val="13"/>
              <w:widowControl w:val="0"/>
              <w:adjustRightInd w:val="0"/>
              <w:snapToGrid w:val="0"/>
              <w:spacing w:before="0" w:beforeAutospacing="0" w:after="0" w:afterAutospacing="0"/>
              <w:ind w:firstLine="420"/>
              <w:jc w:val="center"/>
              <w:rPr>
                <w:rFonts w:hint="eastAsia"/>
                <w:kern w:val="2"/>
                <w:sz w:val="21"/>
                <w:szCs w:val="21"/>
              </w:rPr>
            </w:pPr>
          </w:p>
        </w:tc>
        <w:tc>
          <w:tcPr>
            <w:tcW w:w="2126" w:type="dxa"/>
            <w:vAlign w:val="center"/>
          </w:tcPr>
          <w:p>
            <w:pPr>
              <w:pStyle w:val="13"/>
              <w:widowControl w:val="0"/>
              <w:adjustRightInd w:val="0"/>
              <w:snapToGrid w:val="0"/>
              <w:spacing w:before="0" w:beforeAutospacing="0" w:after="0" w:afterAutospacing="0"/>
              <w:ind w:firstLine="420"/>
              <w:jc w:val="center"/>
              <w:rPr>
                <w:rFonts w:hint="eastAsia"/>
                <w:kern w:val="2"/>
                <w:sz w:val="21"/>
                <w:szCs w:val="21"/>
              </w:rPr>
            </w:pPr>
          </w:p>
        </w:tc>
        <w:tc>
          <w:tcPr>
            <w:tcW w:w="1326" w:type="dxa"/>
            <w:vAlign w:val="center"/>
          </w:tcPr>
          <w:p>
            <w:pPr>
              <w:pStyle w:val="13"/>
              <w:widowControl w:val="0"/>
              <w:adjustRightInd w:val="0"/>
              <w:snapToGrid w:val="0"/>
              <w:spacing w:before="0" w:beforeAutospacing="0" w:after="0" w:afterAutospacing="0"/>
              <w:ind w:firstLine="420"/>
              <w:jc w:val="center"/>
              <w:rPr>
                <w:rFonts w:hint="eastAsia"/>
                <w:kern w:val="2"/>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71" w:hRule="atLeast"/>
          <w:jc w:val="center"/>
        </w:trPr>
        <w:tc>
          <w:tcPr>
            <w:tcW w:w="1301" w:type="dxa"/>
            <w:vAlign w:val="center"/>
          </w:tcPr>
          <w:p>
            <w:pPr>
              <w:pStyle w:val="13"/>
              <w:widowControl w:val="0"/>
              <w:adjustRightInd w:val="0"/>
              <w:snapToGrid w:val="0"/>
              <w:spacing w:before="0" w:beforeAutospacing="0" w:after="0" w:afterAutospacing="0"/>
              <w:ind w:firstLine="420"/>
              <w:jc w:val="center"/>
              <w:rPr>
                <w:rFonts w:hint="eastAsia"/>
                <w:kern w:val="2"/>
                <w:sz w:val="21"/>
                <w:szCs w:val="21"/>
              </w:rPr>
            </w:pPr>
          </w:p>
        </w:tc>
        <w:tc>
          <w:tcPr>
            <w:tcW w:w="4082" w:type="dxa"/>
            <w:gridSpan w:val="2"/>
            <w:vAlign w:val="center"/>
          </w:tcPr>
          <w:p>
            <w:pPr>
              <w:pStyle w:val="13"/>
              <w:widowControl w:val="0"/>
              <w:adjustRightInd w:val="0"/>
              <w:snapToGrid w:val="0"/>
              <w:spacing w:before="0" w:beforeAutospacing="0" w:after="0" w:afterAutospacing="0"/>
              <w:ind w:firstLine="420"/>
              <w:jc w:val="center"/>
              <w:rPr>
                <w:rFonts w:hint="eastAsia"/>
                <w:kern w:val="2"/>
                <w:sz w:val="21"/>
                <w:szCs w:val="21"/>
              </w:rPr>
            </w:pPr>
          </w:p>
        </w:tc>
        <w:tc>
          <w:tcPr>
            <w:tcW w:w="2126" w:type="dxa"/>
            <w:vAlign w:val="center"/>
          </w:tcPr>
          <w:p>
            <w:pPr>
              <w:pStyle w:val="13"/>
              <w:widowControl w:val="0"/>
              <w:adjustRightInd w:val="0"/>
              <w:snapToGrid w:val="0"/>
              <w:spacing w:before="0" w:beforeAutospacing="0" w:after="0" w:afterAutospacing="0"/>
              <w:ind w:firstLine="420"/>
              <w:jc w:val="center"/>
              <w:rPr>
                <w:rFonts w:hint="eastAsia"/>
                <w:kern w:val="2"/>
                <w:sz w:val="21"/>
                <w:szCs w:val="21"/>
              </w:rPr>
            </w:pPr>
          </w:p>
        </w:tc>
        <w:tc>
          <w:tcPr>
            <w:tcW w:w="1326" w:type="dxa"/>
            <w:vAlign w:val="center"/>
          </w:tcPr>
          <w:p>
            <w:pPr>
              <w:pStyle w:val="13"/>
              <w:widowControl w:val="0"/>
              <w:adjustRightInd w:val="0"/>
              <w:snapToGrid w:val="0"/>
              <w:spacing w:before="0" w:beforeAutospacing="0" w:after="0" w:afterAutospacing="0"/>
              <w:ind w:firstLine="420"/>
              <w:jc w:val="center"/>
              <w:rPr>
                <w:rFonts w:hint="eastAsia"/>
                <w:kern w:val="2"/>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jc w:val="center"/>
        </w:trPr>
        <w:tc>
          <w:tcPr>
            <w:tcW w:w="1301" w:type="dxa"/>
            <w:vAlign w:val="center"/>
          </w:tcPr>
          <w:p>
            <w:pPr>
              <w:pStyle w:val="13"/>
              <w:widowControl w:val="0"/>
              <w:adjustRightInd w:val="0"/>
              <w:snapToGrid w:val="0"/>
              <w:spacing w:before="0" w:beforeAutospacing="0" w:after="0" w:afterAutospacing="0"/>
              <w:ind w:firstLine="420"/>
              <w:jc w:val="center"/>
              <w:rPr>
                <w:rFonts w:hint="eastAsia"/>
                <w:kern w:val="2"/>
                <w:sz w:val="21"/>
                <w:szCs w:val="21"/>
              </w:rPr>
            </w:pPr>
          </w:p>
        </w:tc>
        <w:tc>
          <w:tcPr>
            <w:tcW w:w="4082" w:type="dxa"/>
            <w:gridSpan w:val="2"/>
            <w:vAlign w:val="center"/>
          </w:tcPr>
          <w:p>
            <w:pPr>
              <w:pStyle w:val="13"/>
              <w:widowControl w:val="0"/>
              <w:adjustRightInd w:val="0"/>
              <w:snapToGrid w:val="0"/>
              <w:spacing w:before="0" w:beforeAutospacing="0" w:after="0" w:afterAutospacing="0"/>
              <w:ind w:firstLine="420"/>
              <w:jc w:val="center"/>
              <w:rPr>
                <w:rFonts w:hint="eastAsia"/>
                <w:kern w:val="2"/>
                <w:sz w:val="21"/>
                <w:szCs w:val="21"/>
              </w:rPr>
            </w:pPr>
          </w:p>
        </w:tc>
        <w:tc>
          <w:tcPr>
            <w:tcW w:w="2126" w:type="dxa"/>
            <w:vAlign w:val="center"/>
          </w:tcPr>
          <w:p>
            <w:pPr>
              <w:pStyle w:val="13"/>
              <w:widowControl w:val="0"/>
              <w:adjustRightInd w:val="0"/>
              <w:snapToGrid w:val="0"/>
              <w:spacing w:before="0" w:beforeAutospacing="0" w:after="0" w:afterAutospacing="0"/>
              <w:ind w:firstLine="420"/>
              <w:jc w:val="center"/>
              <w:rPr>
                <w:rFonts w:hint="eastAsia"/>
                <w:kern w:val="2"/>
                <w:sz w:val="21"/>
                <w:szCs w:val="21"/>
              </w:rPr>
            </w:pPr>
          </w:p>
        </w:tc>
        <w:tc>
          <w:tcPr>
            <w:tcW w:w="1326" w:type="dxa"/>
            <w:vAlign w:val="center"/>
          </w:tcPr>
          <w:p>
            <w:pPr>
              <w:pStyle w:val="13"/>
              <w:widowControl w:val="0"/>
              <w:adjustRightInd w:val="0"/>
              <w:snapToGrid w:val="0"/>
              <w:spacing w:before="0" w:beforeAutospacing="0" w:after="0" w:afterAutospacing="0"/>
              <w:ind w:firstLine="420"/>
              <w:jc w:val="center"/>
              <w:rPr>
                <w:rFonts w:hint="eastAsia"/>
                <w:kern w:val="2"/>
                <w:sz w:val="21"/>
                <w:szCs w:val="21"/>
              </w:rPr>
            </w:pPr>
          </w:p>
        </w:tc>
      </w:tr>
    </w:tbl>
    <w:p>
      <w:pPr>
        <w:adjustRightInd w:val="0"/>
        <w:snapToGrid w:val="0"/>
        <w:spacing w:before="192" w:beforeLines="80"/>
        <w:ind w:firstLine="480"/>
        <w:rPr>
          <w:rFonts w:hint="eastAsia"/>
          <w:szCs w:val="21"/>
        </w:rPr>
      </w:pPr>
      <w:r>
        <w:rPr>
          <w:rFonts w:hint="eastAsia"/>
          <w:szCs w:val="21"/>
        </w:rPr>
        <w:t>注：该表由环境影响评价信用平台自动生成</w:t>
      </w:r>
    </w:p>
    <w:p>
      <w:pPr>
        <w:adjustRightInd w:val="0"/>
        <w:snapToGrid w:val="0"/>
        <w:spacing w:before="192" w:beforeLines="80"/>
        <w:ind w:firstLine="480"/>
        <w:rPr>
          <w:rFonts w:hint="eastAsia"/>
        </w:rPr>
      </w:pPr>
    </w:p>
    <w:sectPr>
      <w:pgSz w:w="11906" w:h="16838"/>
      <w:pgMar w:top="1440" w:right="1800" w:bottom="1440" w:left="1800" w:header="851" w:footer="1077"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小标宋_GBK">
    <w:altName w:val="微软雅黑"/>
    <w:panose1 w:val="02000000000000000000"/>
    <w:charset w:val="86"/>
    <w:family w:val="script"/>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华文仿宋">
    <w:altName w:val="仿宋"/>
    <w:panose1 w:val="02010600040101010101"/>
    <w:charset w:val="86"/>
    <w:family w:val="auto"/>
    <w:pitch w:val="default"/>
    <w:sig w:usb0="00000000" w:usb1="00000000" w:usb2="00000010" w:usb3="00000000" w:csb0="0004009F" w:csb1="00000000"/>
  </w:font>
  <w:font w:name="Segoe UI Symbol">
    <w:panose1 w:val="020B0502040204020203"/>
    <w:charset w:val="00"/>
    <w:family w:val="swiss"/>
    <w:pitch w:val="default"/>
    <w:sig w:usb0="800001E3" w:usb1="1200FFEF" w:usb2="00040000" w:usb3="04000000" w:csb0="00000001" w:csb1="4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Cambria Math">
    <w:panose1 w:val="02040503050406030204"/>
    <w:charset w:val="00"/>
    <w:family w:val="roman"/>
    <w:pitch w:val="default"/>
    <w:sig w:usb0="E00006FF" w:usb1="420024FF" w:usb2="02000000" w:usb3="00000000" w:csb0="2000019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360" w:firstLine="36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outside" w:y="1"/>
      <w:ind w:firstLine="360"/>
      <w:rPr>
        <w:rStyle w:val="18"/>
        <w:rFonts w:hint="eastAsia"/>
      </w:rPr>
    </w:pPr>
    <w:r>
      <w:rPr>
        <w:rStyle w:val="18"/>
      </w:rPr>
      <w:fldChar w:fldCharType="begin"/>
    </w:r>
    <w:r>
      <w:rPr>
        <w:rStyle w:val="18"/>
      </w:rPr>
      <w:instrText xml:space="preserve">PAGE  </w:instrText>
    </w:r>
    <w:r>
      <w:rPr>
        <w:rStyle w:val="18"/>
      </w:rPr>
      <w:fldChar w:fldCharType="end"/>
    </w:r>
  </w:p>
  <w:p>
    <w:pPr>
      <w:pStyle w:val="11"/>
      <w:ind w:right="360" w:firstLine="360"/>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outside" w:y="1"/>
      <w:ind w:firstLine="560"/>
      <w:rPr>
        <w:rStyle w:val="18"/>
        <w:rFonts w:hint="eastAsia"/>
        <w:sz w:val="28"/>
        <w:szCs w:val="28"/>
      </w:rPr>
    </w:pPr>
    <w:r>
      <w:rPr>
        <w:rStyle w:val="18"/>
        <w:rFonts w:hint="eastAsia"/>
        <w:sz w:val="28"/>
        <w:szCs w:val="28"/>
      </w:rPr>
      <w:t>—</w:t>
    </w:r>
    <w:r>
      <w:rPr>
        <w:rStyle w:val="18"/>
        <w:rFonts w:hint="eastAsia"/>
        <w:sz w:val="20"/>
        <w:szCs w:val="20"/>
      </w:rPr>
      <w:t xml:space="preserve">  </w:t>
    </w:r>
    <w:r>
      <w:rPr>
        <w:rStyle w:val="18"/>
        <w:sz w:val="26"/>
        <w:szCs w:val="26"/>
      </w:rPr>
      <w:fldChar w:fldCharType="begin"/>
    </w:r>
    <w:r>
      <w:rPr>
        <w:rStyle w:val="18"/>
        <w:sz w:val="26"/>
        <w:szCs w:val="26"/>
      </w:rPr>
      <w:instrText xml:space="preserve">PAGE  </w:instrText>
    </w:r>
    <w:r>
      <w:rPr>
        <w:rStyle w:val="18"/>
        <w:sz w:val="26"/>
        <w:szCs w:val="26"/>
      </w:rPr>
      <w:fldChar w:fldCharType="separate"/>
    </w:r>
    <w:r>
      <w:rPr>
        <w:rStyle w:val="18"/>
        <w:sz w:val="26"/>
        <w:szCs w:val="26"/>
      </w:rPr>
      <w:t>22</w:t>
    </w:r>
    <w:r>
      <w:rPr>
        <w:rStyle w:val="18"/>
        <w:sz w:val="26"/>
        <w:szCs w:val="26"/>
      </w:rPr>
      <w:fldChar w:fldCharType="end"/>
    </w:r>
    <w:r>
      <w:rPr>
        <w:rStyle w:val="18"/>
        <w:rFonts w:hint="eastAsia"/>
        <w:sz w:val="20"/>
        <w:szCs w:val="20"/>
      </w:rPr>
      <w:t xml:space="preserve">  </w:t>
    </w:r>
    <w:r>
      <w:rPr>
        <w:rStyle w:val="18"/>
        <w:rFonts w:hint="eastAsia"/>
        <w:sz w:val="28"/>
        <w:szCs w:val="28"/>
      </w:rPr>
      <w:t>—</w:t>
    </w:r>
  </w:p>
  <w:p>
    <w:pPr>
      <w:pStyle w:val="11"/>
      <w:ind w:right="360" w:firstLine="360"/>
      <w:jc w:val="center"/>
      <w:rPr>
        <w:rFonts w:hint="eastAsia"/>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0C49A4"/>
    <w:multiLevelType w:val="multilevel"/>
    <w:tmpl w:val="120C49A4"/>
    <w:lvl w:ilvl="0" w:tentative="0">
      <w:start w:val="1"/>
      <w:numFmt w:val="chineseCounting"/>
      <w:suff w:val="nothing"/>
      <w:lvlText w:val="（%1）"/>
      <w:lvlJc w:val="left"/>
      <w:pPr>
        <w:ind w:left="0" w:firstLine="420"/>
      </w:pPr>
      <w:rPr>
        <w:rFonts w:hint="default"/>
      </w:rPr>
    </w:lvl>
    <w:lvl w:ilvl="1" w:tentative="0">
      <w:start w:val="1"/>
      <w:numFmt w:val="decimal"/>
      <w:pStyle w:val="55"/>
      <w:lvlText w:val=""/>
      <w:lvlJc w:val="left"/>
      <w:rPr>
        <w:rFonts w:hint="default"/>
      </w:rPr>
    </w:lvl>
    <w:lvl w:ilvl="2" w:tentative="0">
      <w:start w:val="1"/>
      <w:numFmt w:val="decimal"/>
      <w:lvlText w:val=""/>
      <w:lvlJc w:val="left"/>
      <w:rPr>
        <w:rFonts w:hint="default"/>
      </w:rPr>
    </w:lvl>
    <w:lvl w:ilvl="3" w:tentative="0">
      <w:start w:val="1"/>
      <w:numFmt w:val="decimal"/>
      <w:lvlText w:val=""/>
      <w:lvlJc w:val="left"/>
      <w:rPr>
        <w:rFonts w:hint="default"/>
      </w:rPr>
    </w:lvl>
    <w:lvl w:ilvl="4" w:tentative="0">
      <w:start w:val="1"/>
      <w:numFmt w:val="decimal"/>
      <w:lvlText w:val=""/>
      <w:lvlJc w:val="left"/>
      <w:rPr>
        <w:rFonts w:hint="default"/>
      </w:rPr>
    </w:lvl>
    <w:lvl w:ilvl="5" w:tentative="0">
      <w:start w:val="1"/>
      <w:numFmt w:val="decimal"/>
      <w:lvlText w:val=""/>
      <w:lvlJc w:val="left"/>
      <w:rPr>
        <w:rFonts w:hint="default"/>
      </w:rPr>
    </w:lvl>
    <w:lvl w:ilvl="6" w:tentative="0">
      <w:start w:val="1"/>
      <w:numFmt w:val="decimal"/>
      <w:lvlText w:val=""/>
      <w:lvlJc w:val="left"/>
      <w:rPr>
        <w:rFonts w:hint="default"/>
      </w:rPr>
    </w:lvl>
    <w:lvl w:ilvl="7" w:tentative="0">
      <w:start w:val="1"/>
      <w:numFmt w:val="decimal"/>
      <w:lvlText w:val=""/>
      <w:lvlJc w:val="left"/>
      <w:rPr>
        <w:rFonts w:hint="default"/>
      </w:rPr>
    </w:lvl>
    <w:lvl w:ilvl="8" w:tentative="0">
      <w:start w:val="1"/>
      <w:numFmt w:val="decimal"/>
      <w:lvlText w:val=""/>
      <w:lvlJc w:val="left"/>
      <w:rPr>
        <w:rFonts w:hint="default"/>
      </w:rPr>
    </w:lvl>
  </w:abstractNum>
  <w:abstractNum w:abstractNumId="1">
    <w:nsid w:val="6EB86A00"/>
    <w:multiLevelType w:val="multilevel"/>
    <w:tmpl w:val="6EB86A00"/>
    <w:lvl w:ilvl="0" w:tentative="0">
      <w:start w:val="1"/>
      <w:numFmt w:val="decimal"/>
      <w:suff w:val="space"/>
      <w:lvlText w:val="表1-%1"/>
      <w:lvlJc w:val="left"/>
      <w:pPr>
        <w:ind w:left="0" w:firstLine="0"/>
      </w:pPr>
      <w:rPr>
        <w:rFonts w:hint="default" w:ascii="Times New Roman" w:hAnsi="Times New Roman" w:eastAsia="宋体"/>
        <w:b/>
        <w:i w:val="0"/>
        <w:spacing w:val="0"/>
        <w:sz w:val="21"/>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HorizontalSpacing w:val="105"/>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4947"/>
    <w:rsid w:val="00001CED"/>
    <w:rsid w:val="00001E67"/>
    <w:rsid w:val="000039B2"/>
    <w:rsid w:val="00003CD8"/>
    <w:rsid w:val="00014965"/>
    <w:rsid w:val="0001523A"/>
    <w:rsid w:val="00016ECB"/>
    <w:rsid w:val="00020061"/>
    <w:rsid w:val="000269F6"/>
    <w:rsid w:val="00031939"/>
    <w:rsid w:val="000325DE"/>
    <w:rsid w:val="00032D25"/>
    <w:rsid w:val="00033562"/>
    <w:rsid w:val="0005219D"/>
    <w:rsid w:val="0005568F"/>
    <w:rsid w:val="0006153D"/>
    <w:rsid w:val="00061B1F"/>
    <w:rsid w:val="000664DB"/>
    <w:rsid w:val="0007127D"/>
    <w:rsid w:val="00071AE5"/>
    <w:rsid w:val="00074783"/>
    <w:rsid w:val="000776B3"/>
    <w:rsid w:val="000801E0"/>
    <w:rsid w:val="00082A29"/>
    <w:rsid w:val="0008331D"/>
    <w:rsid w:val="00083C18"/>
    <w:rsid w:val="00083E3E"/>
    <w:rsid w:val="00092899"/>
    <w:rsid w:val="00094DDD"/>
    <w:rsid w:val="000A0BC0"/>
    <w:rsid w:val="000A178E"/>
    <w:rsid w:val="000A557E"/>
    <w:rsid w:val="000A7E15"/>
    <w:rsid w:val="000B058F"/>
    <w:rsid w:val="000B3626"/>
    <w:rsid w:val="000B693F"/>
    <w:rsid w:val="000C09AC"/>
    <w:rsid w:val="000C0A63"/>
    <w:rsid w:val="000C437E"/>
    <w:rsid w:val="000C4ABC"/>
    <w:rsid w:val="000E5F16"/>
    <w:rsid w:val="000F4452"/>
    <w:rsid w:val="000F6DA1"/>
    <w:rsid w:val="000F701B"/>
    <w:rsid w:val="001056A0"/>
    <w:rsid w:val="00115279"/>
    <w:rsid w:val="00117459"/>
    <w:rsid w:val="0011749A"/>
    <w:rsid w:val="00127A68"/>
    <w:rsid w:val="00133FF8"/>
    <w:rsid w:val="00140B13"/>
    <w:rsid w:val="00141B68"/>
    <w:rsid w:val="001466DA"/>
    <w:rsid w:val="00154DE1"/>
    <w:rsid w:val="00155B40"/>
    <w:rsid w:val="00156C13"/>
    <w:rsid w:val="00157435"/>
    <w:rsid w:val="00163EEA"/>
    <w:rsid w:val="00164DE2"/>
    <w:rsid w:val="00167A07"/>
    <w:rsid w:val="0017046A"/>
    <w:rsid w:val="001704A3"/>
    <w:rsid w:val="00170CE7"/>
    <w:rsid w:val="0017504D"/>
    <w:rsid w:val="00177422"/>
    <w:rsid w:val="00180F16"/>
    <w:rsid w:val="00184F10"/>
    <w:rsid w:val="00185546"/>
    <w:rsid w:val="0019146B"/>
    <w:rsid w:val="00194398"/>
    <w:rsid w:val="001A7D2A"/>
    <w:rsid w:val="001B574C"/>
    <w:rsid w:val="001B7586"/>
    <w:rsid w:val="001C0AF9"/>
    <w:rsid w:val="001C155A"/>
    <w:rsid w:val="001C48C0"/>
    <w:rsid w:val="001D6726"/>
    <w:rsid w:val="001E1937"/>
    <w:rsid w:val="001E2208"/>
    <w:rsid w:val="001F3347"/>
    <w:rsid w:val="001F4440"/>
    <w:rsid w:val="001F5F2B"/>
    <w:rsid w:val="001F69E4"/>
    <w:rsid w:val="00201964"/>
    <w:rsid w:val="00206A65"/>
    <w:rsid w:val="00212D31"/>
    <w:rsid w:val="002130C7"/>
    <w:rsid w:val="0021678E"/>
    <w:rsid w:val="002218A8"/>
    <w:rsid w:val="0022306D"/>
    <w:rsid w:val="00226574"/>
    <w:rsid w:val="002278EC"/>
    <w:rsid w:val="002357C7"/>
    <w:rsid w:val="00236269"/>
    <w:rsid w:val="002367C4"/>
    <w:rsid w:val="0025679E"/>
    <w:rsid w:val="00260C68"/>
    <w:rsid w:val="002648B0"/>
    <w:rsid w:val="00275271"/>
    <w:rsid w:val="0027535E"/>
    <w:rsid w:val="00275AA6"/>
    <w:rsid w:val="002778AE"/>
    <w:rsid w:val="002807D5"/>
    <w:rsid w:val="00282CCD"/>
    <w:rsid w:val="002A168C"/>
    <w:rsid w:val="002A2C48"/>
    <w:rsid w:val="002A3EED"/>
    <w:rsid w:val="002A4A39"/>
    <w:rsid w:val="002A5A17"/>
    <w:rsid w:val="002A6425"/>
    <w:rsid w:val="002B49E2"/>
    <w:rsid w:val="002B7B00"/>
    <w:rsid w:val="002B7C44"/>
    <w:rsid w:val="002C1388"/>
    <w:rsid w:val="002C3C6A"/>
    <w:rsid w:val="002C51D8"/>
    <w:rsid w:val="002D42DB"/>
    <w:rsid w:val="002E1F3A"/>
    <w:rsid w:val="002E298A"/>
    <w:rsid w:val="002F02A4"/>
    <w:rsid w:val="002F272B"/>
    <w:rsid w:val="002F7C6D"/>
    <w:rsid w:val="003027E4"/>
    <w:rsid w:val="0030332C"/>
    <w:rsid w:val="00312296"/>
    <w:rsid w:val="0031340E"/>
    <w:rsid w:val="00316464"/>
    <w:rsid w:val="0032073A"/>
    <w:rsid w:val="00321D8E"/>
    <w:rsid w:val="0032615A"/>
    <w:rsid w:val="00334996"/>
    <w:rsid w:val="00336969"/>
    <w:rsid w:val="00336C52"/>
    <w:rsid w:val="00341B3E"/>
    <w:rsid w:val="00341B42"/>
    <w:rsid w:val="00345154"/>
    <w:rsid w:val="0034560E"/>
    <w:rsid w:val="00350523"/>
    <w:rsid w:val="00350DE5"/>
    <w:rsid w:val="00352975"/>
    <w:rsid w:val="00356868"/>
    <w:rsid w:val="0036485B"/>
    <w:rsid w:val="003674A5"/>
    <w:rsid w:val="00373B0D"/>
    <w:rsid w:val="00376988"/>
    <w:rsid w:val="00381A72"/>
    <w:rsid w:val="00386219"/>
    <w:rsid w:val="00392926"/>
    <w:rsid w:val="003A1948"/>
    <w:rsid w:val="003B152A"/>
    <w:rsid w:val="003B545B"/>
    <w:rsid w:val="003C49FC"/>
    <w:rsid w:val="003D34C5"/>
    <w:rsid w:val="003D3EE9"/>
    <w:rsid w:val="003D4101"/>
    <w:rsid w:val="003E6775"/>
    <w:rsid w:val="003E7681"/>
    <w:rsid w:val="003F0809"/>
    <w:rsid w:val="003F611C"/>
    <w:rsid w:val="003F755C"/>
    <w:rsid w:val="00406F01"/>
    <w:rsid w:val="00411B36"/>
    <w:rsid w:val="004121D7"/>
    <w:rsid w:val="0041469D"/>
    <w:rsid w:val="00415FAD"/>
    <w:rsid w:val="00416D50"/>
    <w:rsid w:val="00417772"/>
    <w:rsid w:val="00420E6A"/>
    <w:rsid w:val="00433CA9"/>
    <w:rsid w:val="0043521D"/>
    <w:rsid w:val="004355B2"/>
    <w:rsid w:val="00442024"/>
    <w:rsid w:val="0044254C"/>
    <w:rsid w:val="00443F6A"/>
    <w:rsid w:val="00450A17"/>
    <w:rsid w:val="004622E1"/>
    <w:rsid w:val="00463FF6"/>
    <w:rsid w:val="00465BB3"/>
    <w:rsid w:val="00466321"/>
    <w:rsid w:val="004672AF"/>
    <w:rsid w:val="00471639"/>
    <w:rsid w:val="004727B0"/>
    <w:rsid w:val="00476E9F"/>
    <w:rsid w:val="00480247"/>
    <w:rsid w:val="0048081D"/>
    <w:rsid w:val="0048117E"/>
    <w:rsid w:val="004855F6"/>
    <w:rsid w:val="00486F0C"/>
    <w:rsid w:val="00487DD4"/>
    <w:rsid w:val="0049034C"/>
    <w:rsid w:val="0049379F"/>
    <w:rsid w:val="00494670"/>
    <w:rsid w:val="004A0EB4"/>
    <w:rsid w:val="004A3823"/>
    <w:rsid w:val="004A59BB"/>
    <w:rsid w:val="004B3BC7"/>
    <w:rsid w:val="004B43A3"/>
    <w:rsid w:val="004B4C49"/>
    <w:rsid w:val="004B58A5"/>
    <w:rsid w:val="004B63D9"/>
    <w:rsid w:val="004C0882"/>
    <w:rsid w:val="004C2018"/>
    <w:rsid w:val="004C55BE"/>
    <w:rsid w:val="004E5B30"/>
    <w:rsid w:val="004F0779"/>
    <w:rsid w:val="004F1230"/>
    <w:rsid w:val="004F173F"/>
    <w:rsid w:val="004F177C"/>
    <w:rsid w:val="004F2DCE"/>
    <w:rsid w:val="005039CB"/>
    <w:rsid w:val="0050558F"/>
    <w:rsid w:val="005057E0"/>
    <w:rsid w:val="00506286"/>
    <w:rsid w:val="00510813"/>
    <w:rsid w:val="00511DE0"/>
    <w:rsid w:val="00517F02"/>
    <w:rsid w:val="00524547"/>
    <w:rsid w:val="005258A2"/>
    <w:rsid w:val="00530F7C"/>
    <w:rsid w:val="00534567"/>
    <w:rsid w:val="00534F43"/>
    <w:rsid w:val="00535A84"/>
    <w:rsid w:val="00536889"/>
    <w:rsid w:val="00542E07"/>
    <w:rsid w:val="00554A7B"/>
    <w:rsid w:val="00554EB6"/>
    <w:rsid w:val="0055572C"/>
    <w:rsid w:val="0056064F"/>
    <w:rsid w:val="00561B84"/>
    <w:rsid w:val="00571D98"/>
    <w:rsid w:val="005720AE"/>
    <w:rsid w:val="00573EDA"/>
    <w:rsid w:val="0058030D"/>
    <w:rsid w:val="00582045"/>
    <w:rsid w:val="00590AE3"/>
    <w:rsid w:val="005918F1"/>
    <w:rsid w:val="005A06B7"/>
    <w:rsid w:val="005A1759"/>
    <w:rsid w:val="005A70CC"/>
    <w:rsid w:val="005C47D9"/>
    <w:rsid w:val="005C5CA6"/>
    <w:rsid w:val="005D0101"/>
    <w:rsid w:val="005D0369"/>
    <w:rsid w:val="005D53FE"/>
    <w:rsid w:val="005D7A0F"/>
    <w:rsid w:val="005E016A"/>
    <w:rsid w:val="005E0438"/>
    <w:rsid w:val="005E1791"/>
    <w:rsid w:val="005E2399"/>
    <w:rsid w:val="005E2CE6"/>
    <w:rsid w:val="005E55D1"/>
    <w:rsid w:val="005E6324"/>
    <w:rsid w:val="005F228B"/>
    <w:rsid w:val="005F29CD"/>
    <w:rsid w:val="005F4DFB"/>
    <w:rsid w:val="005F6CC0"/>
    <w:rsid w:val="005F7A5E"/>
    <w:rsid w:val="00600AC9"/>
    <w:rsid w:val="006015A6"/>
    <w:rsid w:val="00603E5B"/>
    <w:rsid w:val="00604BC8"/>
    <w:rsid w:val="00615B4C"/>
    <w:rsid w:val="00615B5D"/>
    <w:rsid w:val="006176FC"/>
    <w:rsid w:val="0062146F"/>
    <w:rsid w:val="00627313"/>
    <w:rsid w:val="0063001B"/>
    <w:rsid w:val="006343AF"/>
    <w:rsid w:val="0063634A"/>
    <w:rsid w:val="0064250D"/>
    <w:rsid w:val="00651612"/>
    <w:rsid w:val="00651E35"/>
    <w:rsid w:val="006535EB"/>
    <w:rsid w:val="006621C8"/>
    <w:rsid w:val="00663016"/>
    <w:rsid w:val="006673BD"/>
    <w:rsid w:val="00674605"/>
    <w:rsid w:val="006748B8"/>
    <w:rsid w:val="00681F8F"/>
    <w:rsid w:val="00684A17"/>
    <w:rsid w:val="0068535B"/>
    <w:rsid w:val="0068736E"/>
    <w:rsid w:val="0069290A"/>
    <w:rsid w:val="00697032"/>
    <w:rsid w:val="006975AC"/>
    <w:rsid w:val="006A15FB"/>
    <w:rsid w:val="006A19B3"/>
    <w:rsid w:val="006A72BF"/>
    <w:rsid w:val="006B332A"/>
    <w:rsid w:val="006B33BD"/>
    <w:rsid w:val="006B6AC2"/>
    <w:rsid w:val="006C1E1B"/>
    <w:rsid w:val="006C3F75"/>
    <w:rsid w:val="006D170E"/>
    <w:rsid w:val="006D52A0"/>
    <w:rsid w:val="006D665F"/>
    <w:rsid w:val="006E06AF"/>
    <w:rsid w:val="006E58F3"/>
    <w:rsid w:val="006F1789"/>
    <w:rsid w:val="00702A71"/>
    <w:rsid w:val="00706C5D"/>
    <w:rsid w:val="007118E6"/>
    <w:rsid w:val="007225C9"/>
    <w:rsid w:val="00735CD7"/>
    <w:rsid w:val="00741B28"/>
    <w:rsid w:val="00754034"/>
    <w:rsid w:val="00754BF1"/>
    <w:rsid w:val="00755A30"/>
    <w:rsid w:val="00755E1C"/>
    <w:rsid w:val="00756556"/>
    <w:rsid w:val="0076132B"/>
    <w:rsid w:val="007623AE"/>
    <w:rsid w:val="00770B19"/>
    <w:rsid w:val="00774FA0"/>
    <w:rsid w:val="00776620"/>
    <w:rsid w:val="00777B6D"/>
    <w:rsid w:val="007829E5"/>
    <w:rsid w:val="00784855"/>
    <w:rsid w:val="00784F39"/>
    <w:rsid w:val="0078545C"/>
    <w:rsid w:val="00785838"/>
    <w:rsid w:val="007906C4"/>
    <w:rsid w:val="00790F55"/>
    <w:rsid w:val="007940EA"/>
    <w:rsid w:val="007967E8"/>
    <w:rsid w:val="007A2C73"/>
    <w:rsid w:val="007A63F2"/>
    <w:rsid w:val="007B68DE"/>
    <w:rsid w:val="007C14C4"/>
    <w:rsid w:val="007C1857"/>
    <w:rsid w:val="007C514F"/>
    <w:rsid w:val="007D0F95"/>
    <w:rsid w:val="007D7ECB"/>
    <w:rsid w:val="007E25A1"/>
    <w:rsid w:val="007E4BD2"/>
    <w:rsid w:val="007E5F5E"/>
    <w:rsid w:val="007E7145"/>
    <w:rsid w:val="007F3916"/>
    <w:rsid w:val="00801179"/>
    <w:rsid w:val="00802479"/>
    <w:rsid w:val="00805372"/>
    <w:rsid w:val="00805B7B"/>
    <w:rsid w:val="0081293E"/>
    <w:rsid w:val="00814FFB"/>
    <w:rsid w:val="00817AB0"/>
    <w:rsid w:val="00820568"/>
    <w:rsid w:val="00831A80"/>
    <w:rsid w:val="008332C8"/>
    <w:rsid w:val="00833743"/>
    <w:rsid w:val="008340A4"/>
    <w:rsid w:val="00836799"/>
    <w:rsid w:val="00837028"/>
    <w:rsid w:val="00837131"/>
    <w:rsid w:val="00845F57"/>
    <w:rsid w:val="008521E0"/>
    <w:rsid w:val="008525B0"/>
    <w:rsid w:val="00853B93"/>
    <w:rsid w:val="00855270"/>
    <w:rsid w:val="00863132"/>
    <w:rsid w:val="00863FC1"/>
    <w:rsid w:val="00867CBC"/>
    <w:rsid w:val="00873077"/>
    <w:rsid w:val="00876C30"/>
    <w:rsid w:val="00877017"/>
    <w:rsid w:val="008773C0"/>
    <w:rsid w:val="00880364"/>
    <w:rsid w:val="00886C4C"/>
    <w:rsid w:val="0088711C"/>
    <w:rsid w:val="00892ECF"/>
    <w:rsid w:val="00892F06"/>
    <w:rsid w:val="00894285"/>
    <w:rsid w:val="00895E09"/>
    <w:rsid w:val="008A169F"/>
    <w:rsid w:val="008A2030"/>
    <w:rsid w:val="008A40AE"/>
    <w:rsid w:val="008A4E19"/>
    <w:rsid w:val="008A67C5"/>
    <w:rsid w:val="008B22E1"/>
    <w:rsid w:val="008B3C78"/>
    <w:rsid w:val="008B4AE9"/>
    <w:rsid w:val="008C1332"/>
    <w:rsid w:val="008C1C40"/>
    <w:rsid w:val="008C30AD"/>
    <w:rsid w:val="008C71C9"/>
    <w:rsid w:val="008D068E"/>
    <w:rsid w:val="008D0F7A"/>
    <w:rsid w:val="008D63BE"/>
    <w:rsid w:val="008E0CFF"/>
    <w:rsid w:val="008E5D0F"/>
    <w:rsid w:val="008E5D6B"/>
    <w:rsid w:val="008E689B"/>
    <w:rsid w:val="008E76F0"/>
    <w:rsid w:val="008F15FE"/>
    <w:rsid w:val="008F2A94"/>
    <w:rsid w:val="008F5187"/>
    <w:rsid w:val="008F709C"/>
    <w:rsid w:val="009000CB"/>
    <w:rsid w:val="0090312B"/>
    <w:rsid w:val="00904961"/>
    <w:rsid w:val="0091736D"/>
    <w:rsid w:val="009253C9"/>
    <w:rsid w:val="009253DB"/>
    <w:rsid w:val="00931001"/>
    <w:rsid w:val="00931863"/>
    <w:rsid w:val="00933524"/>
    <w:rsid w:val="00933FB3"/>
    <w:rsid w:val="0094278D"/>
    <w:rsid w:val="00945741"/>
    <w:rsid w:val="00952253"/>
    <w:rsid w:val="0095308A"/>
    <w:rsid w:val="00955AEE"/>
    <w:rsid w:val="00956F14"/>
    <w:rsid w:val="009620FD"/>
    <w:rsid w:val="0096247A"/>
    <w:rsid w:val="00965F4B"/>
    <w:rsid w:val="00970F8A"/>
    <w:rsid w:val="00971FB5"/>
    <w:rsid w:val="00972D2A"/>
    <w:rsid w:val="00975CC5"/>
    <w:rsid w:val="00976328"/>
    <w:rsid w:val="00976B4E"/>
    <w:rsid w:val="0097779E"/>
    <w:rsid w:val="00981D8D"/>
    <w:rsid w:val="00983A6A"/>
    <w:rsid w:val="00984458"/>
    <w:rsid w:val="00985283"/>
    <w:rsid w:val="00987322"/>
    <w:rsid w:val="009A0F3B"/>
    <w:rsid w:val="009A72C7"/>
    <w:rsid w:val="009B0897"/>
    <w:rsid w:val="009B0B68"/>
    <w:rsid w:val="009B613D"/>
    <w:rsid w:val="009D0852"/>
    <w:rsid w:val="009D1AE8"/>
    <w:rsid w:val="009D1FBF"/>
    <w:rsid w:val="009D42EE"/>
    <w:rsid w:val="009E399C"/>
    <w:rsid w:val="009E43C1"/>
    <w:rsid w:val="009E7E95"/>
    <w:rsid w:val="009F116F"/>
    <w:rsid w:val="009F329E"/>
    <w:rsid w:val="009F7ED3"/>
    <w:rsid w:val="00A018A3"/>
    <w:rsid w:val="00A03607"/>
    <w:rsid w:val="00A047FF"/>
    <w:rsid w:val="00A04FEF"/>
    <w:rsid w:val="00A122CD"/>
    <w:rsid w:val="00A12A32"/>
    <w:rsid w:val="00A14248"/>
    <w:rsid w:val="00A1465C"/>
    <w:rsid w:val="00A14947"/>
    <w:rsid w:val="00A21726"/>
    <w:rsid w:val="00A23DC5"/>
    <w:rsid w:val="00A34028"/>
    <w:rsid w:val="00A35568"/>
    <w:rsid w:val="00A37056"/>
    <w:rsid w:val="00A4358F"/>
    <w:rsid w:val="00A46F67"/>
    <w:rsid w:val="00A520A1"/>
    <w:rsid w:val="00A54AA1"/>
    <w:rsid w:val="00A568FF"/>
    <w:rsid w:val="00A61496"/>
    <w:rsid w:val="00A61833"/>
    <w:rsid w:val="00A624C6"/>
    <w:rsid w:val="00A63CEC"/>
    <w:rsid w:val="00A7031E"/>
    <w:rsid w:val="00A728B1"/>
    <w:rsid w:val="00A763DE"/>
    <w:rsid w:val="00A77FE0"/>
    <w:rsid w:val="00A803D6"/>
    <w:rsid w:val="00A81282"/>
    <w:rsid w:val="00A8713F"/>
    <w:rsid w:val="00A91167"/>
    <w:rsid w:val="00A9171C"/>
    <w:rsid w:val="00A92FFD"/>
    <w:rsid w:val="00A95975"/>
    <w:rsid w:val="00A9708D"/>
    <w:rsid w:val="00AA2C17"/>
    <w:rsid w:val="00AA4172"/>
    <w:rsid w:val="00AB1914"/>
    <w:rsid w:val="00AB5330"/>
    <w:rsid w:val="00AB7747"/>
    <w:rsid w:val="00AC0EF4"/>
    <w:rsid w:val="00AC177A"/>
    <w:rsid w:val="00AC2532"/>
    <w:rsid w:val="00AC60C1"/>
    <w:rsid w:val="00AD1507"/>
    <w:rsid w:val="00AD3ED2"/>
    <w:rsid w:val="00AD5A70"/>
    <w:rsid w:val="00AD738B"/>
    <w:rsid w:val="00AE1BF4"/>
    <w:rsid w:val="00AE5D97"/>
    <w:rsid w:val="00AE6794"/>
    <w:rsid w:val="00AF32C2"/>
    <w:rsid w:val="00B01110"/>
    <w:rsid w:val="00B02262"/>
    <w:rsid w:val="00B03CEC"/>
    <w:rsid w:val="00B1209F"/>
    <w:rsid w:val="00B12AD0"/>
    <w:rsid w:val="00B24F30"/>
    <w:rsid w:val="00B31ABF"/>
    <w:rsid w:val="00B335AE"/>
    <w:rsid w:val="00B37CE1"/>
    <w:rsid w:val="00B40ACF"/>
    <w:rsid w:val="00B46BAA"/>
    <w:rsid w:val="00B50B5F"/>
    <w:rsid w:val="00B513F7"/>
    <w:rsid w:val="00B54128"/>
    <w:rsid w:val="00B55826"/>
    <w:rsid w:val="00B56E31"/>
    <w:rsid w:val="00B60426"/>
    <w:rsid w:val="00B622DD"/>
    <w:rsid w:val="00B63522"/>
    <w:rsid w:val="00B76F1D"/>
    <w:rsid w:val="00B92A19"/>
    <w:rsid w:val="00B941DF"/>
    <w:rsid w:val="00B942E0"/>
    <w:rsid w:val="00B9544C"/>
    <w:rsid w:val="00B9553C"/>
    <w:rsid w:val="00BA29E9"/>
    <w:rsid w:val="00BA63CD"/>
    <w:rsid w:val="00BB3618"/>
    <w:rsid w:val="00BB512B"/>
    <w:rsid w:val="00BC0C9E"/>
    <w:rsid w:val="00BC32DC"/>
    <w:rsid w:val="00BD1B51"/>
    <w:rsid w:val="00BD47F6"/>
    <w:rsid w:val="00BE312D"/>
    <w:rsid w:val="00BE3FCA"/>
    <w:rsid w:val="00BF3D9E"/>
    <w:rsid w:val="00BF67C7"/>
    <w:rsid w:val="00C01F05"/>
    <w:rsid w:val="00C05719"/>
    <w:rsid w:val="00C10578"/>
    <w:rsid w:val="00C17D62"/>
    <w:rsid w:val="00C21FDC"/>
    <w:rsid w:val="00C24EE7"/>
    <w:rsid w:val="00C2596A"/>
    <w:rsid w:val="00C271BE"/>
    <w:rsid w:val="00C27425"/>
    <w:rsid w:val="00C328FE"/>
    <w:rsid w:val="00C33A05"/>
    <w:rsid w:val="00C42500"/>
    <w:rsid w:val="00C4409D"/>
    <w:rsid w:val="00C455BE"/>
    <w:rsid w:val="00C503D3"/>
    <w:rsid w:val="00C51E5F"/>
    <w:rsid w:val="00C57CDF"/>
    <w:rsid w:val="00C61AE3"/>
    <w:rsid w:val="00C61E4B"/>
    <w:rsid w:val="00C62E3A"/>
    <w:rsid w:val="00C64503"/>
    <w:rsid w:val="00C64A1F"/>
    <w:rsid w:val="00C64BFF"/>
    <w:rsid w:val="00C763C9"/>
    <w:rsid w:val="00C76DF0"/>
    <w:rsid w:val="00C80057"/>
    <w:rsid w:val="00C82C79"/>
    <w:rsid w:val="00C832A1"/>
    <w:rsid w:val="00C84753"/>
    <w:rsid w:val="00C9125F"/>
    <w:rsid w:val="00C91611"/>
    <w:rsid w:val="00CA3585"/>
    <w:rsid w:val="00CA3D5A"/>
    <w:rsid w:val="00CA4C7C"/>
    <w:rsid w:val="00CA4EC9"/>
    <w:rsid w:val="00CB0183"/>
    <w:rsid w:val="00CB1EA3"/>
    <w:rsid w:val="00CB552C"/>
    <w:rsid w:val="00CB6A9E"/>
    <w:rsid w:val="00CC0DE1"/>
    <w:rsid w:val="00CC6181"/>
    <w:rsid w:val="00CD2BCD"/>
    <w:rsid w:val="00CD36AA"/>
    <w:rsid w:val="00CD3791"/>
    <w:rsid w:val="00CD65B0"/>
    <w:rsid w:val="00CE02CD"/>
    <w:rsid w:val="00CE10E9"/>
    <w:rsid w:val="00CF1E3C"/>
    <w:rsid w:val="00D0072E"/>
    <w:rsid w:val="00D15727"/>
    <w:rsid w:val="00D16332"/>
    <w:rsid w:val="00D24972"/>
    <w:rsid w:val="00D2515E"/>
    <w:rsid w:val="00D308ED"/>
    <w:rsid w:val="00D4332A"/>
    <w:rsid w:val="00D44B30"/>
    <w:rsid w:val="00D52E9F"/>
    <w:rsid w:val="00D56178"/>
    <w:rsid w:val="00D56CF0"/>
    <w:rsid w:val="00D56F5C"/>
    <w:rsid w:val="00D615F6"/>
    <w:rsid w:val="00D63B7F"/>
    <w:rsid w:val="00D672AB"/>
    <w:rsid w:val="00D704B1"/>
    <w:rsid w:val="00D70B63"/>
    <w:rsid w:val="00D72B92"/>
    <w:rsid w:val="00D72ED4"/>
    <w:rsid w:val="00D73F61"/>
    <w:rsid w:val="00D754C0"/>
    <w:rsid w:val="00D776A2"/>
    <w:rsid w:val="00D801C4"/>
    <w:rsid w:val="00D84F9F"/>
    <w:rsid w:val="00D90836"/>
    <w:rsid w:val="00D95896"/>
    <w:rsid w:val="00D95CC6"/>
    <w:rsid w:val="00DA2DA3"/>
    <w:rsid w:val="00DA6615"/>
    <w:rsid w:val="00DA76AE"/>
    <w:rsid w:val="00DB181E"/>
    <w:rsid w:val="00DB1C7A"/>
    <w:rsid w:val="00DB2983"/>
    <w:rsid w:val="00DB343D"/>
    <w:rsid w:val="00DB5579"/>
    <w:rsid w:val="00DB5CFE"/>
    <w:rsid w:val="00DC2E1F"/>
    <w:rsid w:val="00DC72A6"/>
    <w:rsid w:val="00DD2113"/>
    <w:rsid w:val="00DD265E"/>
    <w:rsid w:val="00DF1930"/>
    <w:rsid w:val="00DF514A"/>
    <w:rsid w:val="00DF7F6E"/>
    <w:rsid w:val="00E0358D"/>
    <w:rsid w:val="00E06327"/>
    <w:rsid w:val="00E15769"/>
    <w:rsid w:val="00E2064B"/>
    <w:rsid w:val="00E25239"/>
    <w:rsid w:val="00E265B1"/>
    <w:rsid w:val="00E275B0"/>
    <w:rsid w:val="00E412D0"/>
    <w:rsid w:val="00E47CDB"/>
    <w:rsid w:val="00E566BC"/>
    <w:rsid w:val="00E60982"/>
    <w:rsid w:val="00E60C8D"/>
    <w:rsid w:val="00E6162F"/>
    <w:rsid w:val="00E6311B"/>
    <w:rsid w:val="00E65D97"/>
    <w:rsid w:val="00E67EFD"/>
    <w:rsid w:val="00E702DC"/>
    <w:rsid w:val="00E71FFB"/>
    <w:rsid w:val="00E76D1D"/>
    <w:rsid w:val="00E806F8"/>
    <w:rsid w:val="00E87752"/>
    <w:rsid w:val="00E8793B"/>
    <w:rsid w:val="00E90F81"/>
    <w:rsid w:val="00E91A6D"/>
    <w:rsid w:val="00E9242D"/>
    <w:rsid w:val="00EB041C"/>
    <w:rsid w:val="00EC11D8"/>
    <w:rsid w:val="00EC3592"/>
    <w:rsid w:val="00EC5874"/>
    <w:rsid w:val="00EC7260"/>
    <w:rsid w:val="00ED192D"/>
    <w:rsid w:val="00ED30B4"/>
    <w:rsid w:val="00ED31F5"/>
    <w:rsid w:val="00EF0D76"/>
    <w:rsid w:val="00EF2759"/>
    <w:rsid w:val="00EF4115"/>
    <w:rsid w:val="00EF45EB"/>
    <w:rsid w:val="00EF5099"/>
    <w:rsid w:val="00EF5E33"/>
    <w:rsid w:val="00F00075"/>
    <w:rsid w:val="00F07822"/>
    <w:rsid w:val="00F15C95"/>
    <w:rsid w:val="00F22985"/>
    <w:rsid w:val="00F241AB"/>
    <w:rsid w:val="00F269F2"/>
    <w:rsid w:val="00F31382"/>
    <w:rsid w:val="00F35829"/>
    <w:rsid w:val="00F37B3D"/>
    <w:rsid w:val="00F42868"/>
    <w:rsid w:val="00F465A7"/>
    <w:rsid w:val="00F50B7C"/>
    <w:rsid w:val="00F5202D"/>
    <w:rsid w:val="00F52CF6"/>
    <w:rsid w:val="00F54496"/>
    <w:rsid w:val="00F61097"/>
    <w:rsid w:val="00F74345"/>
    <w:rsid w:val="00F74441"/>
    <w:rsid w:val="00F77F30"/>
    <w:rsid w:val="00F82589"/>
    <w:rsid w:val="00F82B19"/>
    <w:rsid w:val="00F90AA7"/>
    <w:rsid w:val="00F9212D"/>
    <w:rsid w:val="00FA301A"/>
    <w:rsid w:val="00FA406A"/>
    <w:rsid w:val="00FA5CB6"/>
    <w:rsid w:val="00FB03DB"/>
    <w:rsid w:val="00FB1750"/>
    <w:rsid w:val="00FB1C8A"/>
    <w:rsid w:val="00FC66AC"/>
    <w:rsid w:val="00FD18F4"/>
    <w:rsid w:val="00FD49D2"/>
    <w:rsid w:val="00FD74B4"/>
    <w:rsid w:val="00FE7788"/>
    <w:rsid w:val="00FF040E"/>
    <w:rsid w:val="00FF13EB"/>
    <w:rsid w:val="00FF6FCE"/>
    <w:rsid w:val="00FF7518"/>
    <w:rsid w:val="00FF7FD8"/>
    <w:rsid w:val="05742AC8"/>
    <w:rsid w:val="06352F05"/>
    <w:rsid w:val="063E7D85"/>
    <w:rsid w:val="070875E0"/>
    <w:rsid w:val="07293586"/>
    <w:rsid w:val="07295285"/>
    <w:rsid w:val="07770C56"/>
    <w:rsid w:val="092217DD"/>
    <w:rsid w:val="093A7294"/>
    <w:rsid w:val="0BD27BF6"/>
    <w:rsid w:val="0E110D06"/>
    <w:rsid w:val="0F13775A"/>
    <w:rsid w:val="0F9A112B"/>
    <w:rsid w:val="106D2F64"/>
    <w:rsid w:val="10B63710"/>
    <w:rsid w:val="111C2F7A"/>
    <w:rsid w:val="113013DE"/>
    <w:rsid w:val="122B06C2"/>
    <w:rsid w:val="13951726"/>
    <w:rsid w:val="14396509"/>
    <w:rsid w:val="1447165C"/>
    <w:rsid w:val="17735226"/>
    <w:rsid w:val="1A1C66C0"/>
    <w:rsid w:val="1A42393B"/>
    <w:rsid w:val="1B046F80"/>
    <w:rsid w:val="1B3267B5"/>
    <w:rsid w:val="1BC25DC8"/>
    <w:rsid w:val="1C5E7925"/>
    <w:rsid w:val="1C887FC8"/>
    <w:rsid w:val="1D5F6196"/>
    <w:rsid w:val="1D6132A5"/>
    <w:rsid w:val="1D824FF1"/>
    <w:rsid w:val="1D8E56D5"/>
    <w:rsid w:val="1E7A43DA"/>
    <w:rsid w:val="1EB277FE"/>
    <w:rsid w:val="1FE7539E"/>
    <w:rsid w:val="20963CB8"/>
    <w:rsid w:val="209670AB"/>
    <w:rsid w:val="20B07FB6"/>
    <w:rsid w:val="213B74B1"/>
    <w:rsid w:val="215A2310"/>
    <w:rsid w:val="21DE318A"/>
    <w:rsid w:val="21EF5B80"/>
    <w:rsid w:val="22576990"/>
    <w:rsid w:val="229C4EAB"/>
    <w:rsid w:val="252D53FE"/>
    <w:rsid w:val="25EC2D81"/>
    <w:rsid w:val="264528BD"/>
    <w:rsid w:val="27D15DD1"/>
    <w:rsid w:val="28A76295"/>
    <w:rsid w:val="29206EB8"/>
    <w:rsid w:val="29E325E0"/>
    <w:rsid w:val="2A452503"/>
    <w:rsid w:val="2BA936A8"/>
    <w:rsid w:val="2C315A5A"/>
    <w:rsid w:val="2D9E56F5"/>
    <w:rsid w:val="2E667F96"/>
    <w:rsid w:val="2E8226AB"/>
    <w:rsid w:val="2F832C79"/>
    <w:rsid w:val="2FEF2D58"/>
    <w:rsid w:val="30580BC9"/>
    <w:rsid w:val="311E2ED7"/>
    <w:rsid w:val="315C449C"/>
    <w:rsid w:val="31B82709"/>
    <w:rsid w:val="32400B34"/>
    <w:rsid w:val="329E6876"/>
    <w:rsid w:val="33D934D4"/>
    <w:rsid w:val="33FE2F6A"/>
    <w:rsid w:val="36074A7F"/>
    <w:rsid w:val="36923549"/>
    <w:rsid w:val="36B75FBF"/>
    <w:rsid w:val="36FB4891"/>
    <w:rsid w:val="38227486"/>
    <w:rsid w:val="38F12CD3"/>
    <w:rsid w:val="38F94775"/>
    <w:rsid w:val="392971ED"/>
    <w:rsid w:val="3B3763D1"/>
    <w:rsid w:val="3CDA245A"/>
    <w:rsid w:val="3CEE0A37"/>
    <w:rsid w:val="3F660E74"/>
    <w:rsid w:val="407A6407"/>
    <w:rsid w:val="423A3BCC"/>
    <w:rsid w:val="433A6FE6"/>
    <w:rsid w:val="4350713C"/>
    <w:rsid w:val="436653E0"/>
    <w:rsid w:val="44CD14E0"/>
    <w:rsid w:val="458946E9"/>
    <w:rsid w:val="46D955A7"/>
    <w:rsid w:val="47133957"/>
    <w:rsid w:val="4779329E"/>
    <w:rsid w:val="47A07E0C"/>
    <w:rsid w:val="4870272E"/>
    <w:rsid w:val="49DC7715"/>
    <w:rsid w:val="4A023139"/>
    <w:rsid w:val="4A7B576F"/>
    <w:rsid w:val="4C4A0649"/>
    <w:rsid w:val="4CE470D3"/>
    <w:rsid w:val="4DEC4FB0"/>
    <w:rsid w:val="4E075D8A"/>
    <w:rsid w:val="4FC62A8C"/>
    <w:rsid w:val="4FE20F0D"/>
    <w:rsid w:val="50504C4B"/>
    <w:rsid w:val="509C6E7C"/>
    <w:rsid w:val="5162104E"/>
    <w:rsid w:val="53A039CC"/>
    <w:rsid w:val="53A1505A"/>
    <w:rsid w:val="54063E08"/>
    <w:rsid w:val="543437E8"/>
    <w:rsid w:val="559B174B"/>
    <w:rsid w:val="55CE0CF4"/>
    <w:rsid w:val="56B22A9C"/>
    <w:rsid w:val="57B72A76"/>
    <w:rsid w:val="5A3C747D"/>
    <w:rsid w:val="5ABE2233"/>
    <w:rsid w:val="5B276D18"/>
    <w:rsid w:val="5BDF5D95"/>
    <w:rsid w:val="5DF87A0F"/>
    <w:rsid w:val="5F1A2B43"/>
    <w:rsid w:val="5FB837BB"/>
    <w:rsid w:val="60B77FA4"/>
    <w:rsid w:val="62364782"/>
    <w:rsid w:val="63D40BE9"/>
    <w:rsid w:val="63E0211F"/>
    <w:rsid w:val="65373578"/>
    <w:rsid w:val="673F2C7A"/>
    <w:rsid w:val="681F6961"/>
    <w:rsid w:val="68610A2F"/>
    <w:rsid w:val="68805514"/>
    <w:rsid w:val="694E2071"/>
    <w:rsid w:val="697A3B33"/>
    <w:rsid w:val="699E2456"/>
    <w:rsid w:val="6B322639"/>
    <w:rsid w:val="6C636C38"/>
    <w:rsid w:val="6DB34098"/>
    <w:rsid w:val="6DB545B6"/>
    <w:rsid w:val="6E4375A0"/>
    <w:rsid w:val="6E514CED"/>
    <w:rsid w:val="6E79491A"/>
    <w:rsid w:val="6EB563D5"/>
    <w:rsid w:val="6F225983"/>
    <w:rsid w:val="6FFC5590"/>
    <w:rsid w:val="70301DA3"/>
    <w:rsid w:val="703E4FC9"/>
    <w:rsid w:val="706D1DD0"/>
    <w:rsid w:val="70856B87"/>
    <w:rsid w:val="70D527EE"/>
    <w:rsid w:val="715B5300"/>
    <w:rsid w:val="715F4BD7"/>
    <w:rsid w:val="71D27F8A"/>
    <w:rsid w:val="71F744C6"/>
    <w:rsid w:val="71F960CF"/>
    <w:rsid w:val="731F5D5E"/>
    <w:rsid w:val="74176C61"/>
    <w:rsid w:val="741E793C"/>
    <w:rsid w:val="747F18C3"/>
    <w:rsid w:val="758D75E2"/>
    <w:rsid w:val="77762421"/>
    <w:rsid w:val="780F09F4"/>
    <w:rsid w:val="789C4F47"/>
    <w:rsid w:val="78A90480"/>
    <w:rsid w:val="79811327"/>
    <w:rsid w:val="7A364017"/>
    <w:rsid w:val="7A8265E1"/>
    <w:rsid w:val="7B686D42"/>
    <w:rsid w:val="7B841746"/>
    <w:rsid w:val="7D0239FF"/>
    <w:rsid w:val="7D5E40CD"/>
    <w:rsid w:val="7D693BED"/>
    <w:rsid w:val="7FE47E50"/>
    <w:rsid w:val="DECD11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ocked="1"/>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ocked="1"/>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ocked="1"/>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unhideWhenUsed="0" w:uiPriority="0" w:semiHidden="0" w:name="Strong" w:locked="1"/>
    <w:lsdException w:unhideWhenUsed="0" w:uiPriority="0" w:semiHidden="0" w:name="Emphasis" w:locked="1"/>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48"/>
    <w:semiHidden/>
    <w:unhideWhenUsed/>
    <w:qFormat/>
    <w:locked/>
    <w:uiPriority w:val="0"/>
    <w:pPr>
      <w:keepNext/>
      <w:keepLines/>
      <w:spacing w:before="260" w:after="260" w:line="416" w:lineRule="auto"/>
      <w:outlineLvl w:val="1"/>
    </w:pPr>
    <w:rPr>
      <w:rFonts w:ascii="等线 Light" w:hAnsi="等线 Light" w:eastAsia="等线 Light" w:cs="Times New Roman"/>
      <w:b/>
      <w:bCs/>
      <w:sz w:val="32"/>
      <w:szCs w:val="32"/>
    </w:rPr>
  </w:style>
  <w:style w:type="paragraph" w:styleId="4">
    <w:name w:val="heading 3"/>
    <w:basedOn w:val="1"/>
    <w:next w:val="1"/>
    <w:link w:val="54"/>
    <w:semiHidden/>
    <w:unhideWhenUsed/>
    <w:qFormat/>
    <w:locked/>
    <w:uiPriority w:val="0"/>
    <w:pPr>
      <w:keepNext/>
      <w:keepLines/>
      <w:spacing w:before="260" w:after="260" w:line="416" w:lineRule="auto"/>
      <w:outlineLvl w:val="2"/>
    </w:pPr>
    <w:rPr>
      <w:b/>
      <w:bCs/>
      <w:sz w:val="32"/>
      <w:szCs w:val="32"/>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Layout w:type="fixed"/>
      <w:tblCellMar>
        <w:top w:w="0" w:type="dxa"/>
        <w:left w:w="108" w:type="dxa"/>
        <w:bottom w:w="0" w:type="dxa"/>
        <w:right w:w="108" w:type="dxa"/>
      </w:tblCellMar>
    </w:tblPr>
  </w:style>
  <w:style w:type="paragraph" w:styleId="5">
    <w:name w:val="annotation text"/>
    <w:basedOn w:val="1"/>
    <w:link w:val="20"/>
    <w:semiHidden/>
    <w:qFormat/>
    <w:uiPriority w:val="0"/>
    <w:rPr>
      <w:sz w:val="20"/>
    </w:rPr>
  </w:style>
  <w:style w:type="paragraph" w:styleId="6">
    <w:name w:val="Body Text"/>
    <w:basedOn w:val="1"/>
    <w:link w:val="21"/>
    <w:qFormat/>
    <w:uiPriority w:val="0"/>
    <w:pPr>
      <w:snapToGrid w:val="0"/>
      <w:spacing w:before="60" w:after="160" w:line="259" w:lineRule="auto"/>
      <w:ind w:right="113"/>
    </w:pPr>
    <w:rPr>
      <w:sz w:val="18"/>
      <w:szCs w:val="18"/>
    </w:rPr>
  </w:style>
  <w:style w:type="paragraph" w:styleId="7">
    <w:name w:val="Body Text Indent"/>
    <w:basedOn w:val="1"/>
    <w:link w:val="22"/>
    <w:semiHidden/>
    <w:qFormat/>
    <w:uiPriority w:val="0"/>
    <w:pPr>
      <w:spacing w:after="120"/>
      <w:ind w:left="420" w:leftChars="200"/>
    </w:pPr>
  </w:style>
  <w:style w:type="paragraph" w:styleId="8">
    <w:name w:val="Date"/>
    <w:basedOn w:val="1"/>
    <w:next w:val="1"/>
    <w:link w:val="23"/>
    <w:qFormat/>
    <w:uiPriority w:val="0"/>
    <w:pPr>
      <w:ind w:left="100" w:leftChars="2500"/>
    </w:pPr>
    <w:rPr>
      <w:sz w:val="20"/>
    </w:rPr>
  </w:style>
  <w:style w:type="paragraph" w:styleId="9">
    <w:name w:val="Body Text Indent 2"/>
    <w:basedOn w:val="1"/>
    <w:link w:val="57"/>
    <w:qFormat/>
    <w:uiPriority w:val="0"/>
    <w:pPr>
      <w:spacing w:after="120" w:line="480" w:lineRule="auto"/>
      <w:ind w:left="420" w:leftChars="200"/>
    </w:pPr>
  </w:style>
  <w:style w:type="paragraph" w:styleId="10">
    <w:name w:val="Balloon Text"/>
    <w:basedOn w:val="1"/>
    <w:link w:val="24"/>
    <w:semiHidden/>
    <w:qFormat/>
    <w:uiPriority w:val="0"/>
    <w:rPr>
      <w:sz w:val="18"/>
      <w:szCs w:val="18"/>
    </w:rPr>
  </w:style>
  <w:style w:type="paragraph" w:styleId="11">
    <w:name w:val="footer"/>
    <w:basedOn w:val="1"/>
    <w:link w:val="25"/>
    <w:qFormat/>
    <w:uiPriority w:val="0"/>
    <w:pPr>
      <w:tabs>
        <w:tab w:val="center" w:pos="4153"/>
        <w:tab w:val="right" w:pos="8306"/>
      </w:tabs>
      <w:snapToGrid w:val="0"/>
    </w:pPr>
    <w:rPr>
      <w:sz w:val="18"/>
      <w:szCs w:val="18"/>
    </w:rPr>
  </w:style>
  <w:style w:type="paragraph" w:styleId="12">
    <w:name w:val="header"/>
    <w:basedOn w:val="1"/>
    <w:link w:val="26"/>
    <w:qFormat/>
    <w:uiPriority w:val="0"/>
    <w:pPr>
      <w:pBdr>
        <w:bottom w:val="single" w:color="auto" w:sz="6" w:space="1"/>
      </w:pBdr>
      <w:tabs>
        <w:tab w:val="center" w:pos="4153"/>
        <w:tab w:val="right" w:pos="8306"/>
      </w:tabs>
      <w:snapToGrid w:val="0"/>
      <w:jc w:val="center"/>
    </w:pPr>
    <w:rPr>
      <w:sz w:val="18"/>
      <w:szCs w:val="18"/>
    </w:rPr>
  </w:style>
  <w:style w:type="paragraph" w:styleId="13">
    <w:name w:val="Normal (Web)"/>
    <w:basedOn w:val="1"/>
    <w:link w:val="27"/>
    <w:qFormat/>
    <w:uiPriority w:val="0"/>
    <w:pPr>
      <w:spacing w:before="100" w:beforeAutospacing="1" w:after="100" w:afterAutospacing="1"/>
    </w:pPr>
  </w:style>
  <w:style w:type="paragraph" w:styleId="14">
    <w:name w:val="annotation subject"/>
    <w:basedOn w:val="5"/>
    <w:next w:val="5"/>
    <w:link w:val="28"/>
    <w:semiHidden/>
    <w:qFormat/>
    <w:uiPriority w:val="0"/>
    <w:rPr>
      <w:b/>
      <w:bCs/>
    </w:rPr>
  </w:style>
  <w:style w:type="table" w:styleId="16">
    <w:name w:val="Table Grid"/>
    <w:basedOn w:val="1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8">
    <w:name w:val="page number"/>
    <w:qFormat/>
    <w:uiPriority w:val="0"/>
  </w:style>
  <w:style w:type="character" w:styleId="19">
    <w:name w:val="annotation reference"/>
    <w:semiHidden/>
    <w:qFormat/>
    <w:uiPriority w:val="0"/>
    <w:rPr>
      <w:sz w:val="21"/>
    </w:rPr>
  </w:style>
  <w:style w:type="character" w:customStyle="1" w:styleId="20">
    <w:name w:val="批注文字 字符"/>
    <w:link w:val="5"/>
    <w:qFormat/>
    <w:locked/>
    <w:uiPriority w:val="0"/>
    <w:rPr>
      <w:rFonts w:ascii="Times New Roman" w:hAnsi="Times New Roman" w:eastAsia="宋体"/>
      <w:sz w:val="24"/>
    </w:rPr>
  </w:style>
  <w:style w:type="character" w:customStyle="1" w:styleId="21">
    <w:name w:val="正文文本 字符"/>
    <w:link w:val="6"/>
    <w:qFormat/>
    <w:locked/>
    <w:uiPriority w:val="0"/>
    <w:rPr>
      <w:sz w:val="18"/>
    </w:rPr>
  </w:style>
  <w:style w:type="character" w:customStyle="1" w:styleId="22">
    <w:name w:val="正文文本缩进 字符"/>
    <w:link w:val="7"/>
    <w:semiHidden/>
    <w:qFormat/>
    <w:locked/>
    <w:uiPriority w:val="0"/>
    <w:rPr>
      <w:rFonts w:ascii="Times New Roman" w:hAnsi="Times New Roman" w:eastAsia="宋体" w:cs="Times New Roman"/>
      <w:sz w:val="24"/>
      <w:szCs w:val="24"/>
    </w:rPr>
  </w:style>
  <w:style w:type="character" w:customStyle="1" w:styleId="23">
    <w:name w:val="日期 字符1"/>
    <w:link w:val="8"/>
    <w:qFormat/>
    <w:locked/>
    <w:uiPriority w:val="0"/>
    <w:rPr>
      <w:rFonts w:ascii="Times New Roman" w:hAnsi="Times New Roman" w:eastAsia="宋体"/>
      <w:sz w:val="24"/>
    </w:rPr>
  </w:style>
  <w:style w:type="character" w:customStyle="1" w:styleId="24">
    <w:name w:val="批注框文本 字符"/>
    <w:link w:val="10"/>
    <w:semiHidden/>
    <w:qFormat/>
    <w:locked/>
    <w:uiPriority w:val="0"/>
    <w:rPr>
      <w:rFonts w:ascii="Times New Roman" w:hAnsi="Times New Roman" w:eastAsia="宋体" w:cs="Times New Roman"/>
      <w:sz w:val="18"/>
      <w:szCs w:val="18"/>
    </w:rPr>
  </w:style>
  <w:style w:type="character" w:customStyle="1" w:styleId="25">
    <w:name w:val="页脚 字符"/>
    <w:link w:val="11"/>
    <w:qFormat/>
    <w:locked/>
    <w:uiPriority w:val="0"/>
    <w:rPr>
      <w:rFonts w:cs="Times New Roman"/>
      <w:sz w:val="18"/>
      <w:szCs w:val="18"/>
    </w:rPr>
  </w:style>
  <w:style w:type="character" w:customStyle="1" w:styleId="26">
    <w:name w:val="页眉 字符"/>
    <w:link w:val="12"/>
    <w:qFormat/>
    <w:locked/>
    <w:uiPriority w:val="0"/>
    <w:rPr>
      <w:rFonts w:cs="Times New Roman"/>
      <w:sz w:val="18"/>
      <w:szCs w:val="18"/>
    </w:rPr>
  </w:style>
  <w:style w:type="character" w:customStyle="1" w:styleId="27">
    <w:name w:val="普通(网站) 字符"/>
    <w:link w:val="13"/>
    <w:qFormat/>
    <w:locked/>
    <w:uiPriority w:val="0"/>
    <w:rPr>
      <w:rFonts w:ascii="宋体" w:hAnsi="宋体" w:eastAsia="宋体"/>
      <w:sz w:val="24"/>
    </w:rPr>
  </w:style>
  <w:style w:type="character" w:customStyle="1" w:styleId="28">
    <w:name w:val="批注主题 字符"/>
    <w:link w:val="14"/>
    <w:semiHidden/>
    <w:qFormat/>
    <w:locked/>
    <w:uiPriority w:val="0"/>
    <w:rPr>
      <w:rFonts w:cs="Times New Roman"/>
      <w:b/>
      <w:bCs/>
      <w:kern w:val="2"/>
      <w:szCs w:val="24"/>
    </w:rPr>
  </w:style>
  <w:style w:type="character" w:customStyle="1" w:styleId="29">
    <w:name w:val="日期 字符"/>
    <w:semiHidden/>
    <w:qFormat/>
    <w:uiPriority w:val="0"/>
    <w:rPr>
      <w:rFonts w:ascii="Times New Roman" w:hAnsi="Times New Roman" w:eastAsia="宋体" w:cs="Times New Roman"/>
      <w:sz w:val="24"/>
      <w:szCs w:val="24"/>
    </w:rPr>
  </w:style>
  <w:style w:type="character" w:customStyle="1" w:styleId="30">
    <w:name w:val="正文文本 字符1"/>
    <w:semiHidden/>
    <w:qFormat/>
    <w:uiPriority w:val="0"/>
    <w:rPr>
      <w:rFonts w:ascii="Times New Roman" w:hAnsi="Times New Roman" w:eastAsia="宋体" w:cs="Times New Roman"/>
      <w:sz w:val="24"/>
      <w:szCs w:val="24"/>
    </w:rPr>
  </w:style>
  <w:style w:type="paragraph" w:customStyle="1" w:styleId="31">
    <w:name w:val="普通(网站)2"/>
    <w:basedOn w:val="1"/>
    <w:qFormat/>
    <w:uiPriority w:val="0"/>
    <w:pPr>
      <w:spacing w:before="100" w:beforeAutospacing="1" w:after="100" w:afterAutospacing="1"/>
    </w:pPr>
    <w:rPr>
      <w:szCs w:val="20"/>
    </w:rPr>
  </w:style>
  <w:style w:type="character" w:customStyle="1" w:styleId="32">
    <w:name w:val="表格 Char"/>
    <w:link w:val="33"/>
    <w:qFormat/>
    <w:locked/>
    <w:uiPriority w:val="0"/>
    <w:rPr>
      <w:rFonts w:ascii="宋体"/>
      <w:sz w:val="21"/>
    </w:rPr>
  </w:style>
  <w:style w:type="paragraph" w:customStyle="1" w:styleId="33">
    <w:name w:val="表格"/>
    <w:basedOn w:val="1"/>
    <w:next w:val="1"/>
    <w:link w:val="32"/>
    <w:qFormat/>
    <w:uiPriority w:val="0"/>
    <w:pPr>
      <w:adjustRightInd w:val="0"/>
      <w:snapToGrid w:val="0"/>
      <w:spacing w:beforeLines="10" w:afterLines="10" w:line="259" w:lineRule="auto"/>
      <w:jc w:val="center"/>
    </w:pPr>
    <w:rPr>
      <w:sz w:val="20"/>
      <w:szCs w:val="21"/>
    </w:rPr>
  </w:style>
  <w:style w:type="character" w:customStyle="1" w:styleId="34">
    <w:name w:val="批注文字 字符1"/>
    <w:semiHidden/>
    <w:qFormat/>
    <w:uiPriority w:val="0"/>
    <w:rPr>
      <w:rFonts w:ascii="Times New Roman" w:hAnsi="Times New Roman" w:eastAsia="宋体" w:cs="Times New Roman"/>
      <w:sz w:val="24"/>
      <w:szCs w:val="24"/>
    </w:rPr>
  </w:style>
  <w:style w:type="character" w:customStyle="1" w:styleId="35">
    <w:name w:val="普通(网站) Char"/>
    <w:qFormat/>
    <w:locked/>
    <w:uiPriority w:val="0"/>
    <w:rPr>
      <w:rFonts w:ascii="宋体" w:hAnsi="宋体" w:eastAsia="宋体"/>
      <w:sz w:val="24"/>
    </w:rPr>
  </w:style>
  <w:style w:type="paragraph" w:customStyle="1" w:styleId="36">
    <w:name w:val="表格表格"/>
    <w:basedOn w:val="1"/>
    <w:link w:val="37"/>
    <w:qFormat/>
    <w:uiPriority w:val="0"/>
    <w:pPr>
      <w:adjustRightInd w:val="0"/>
      <w:snapToGrid w:val="0"/>
      <w:jc w:val="center"/>
    </w:pPr>
    <w:rPr>
      <w:rFonts w:ascii="Times New Roman" w:hAnsi="Times New Roman"/>
      <w:sz w:val="21"/>
    </w:rPr>
  </w:style>
  <w:style w:type="character" w:customStyle="1" w:styleId="37">
    <w:name w:val="表格表格 字符"/>
    <w:link w:val="36"/>
    <w:qFormat/>
    <w:uiPriority w:val="0"/>
    <w:rPr>
      <w:rFonts w:cs="宋体"/>
      <w:sz w:val="21"/>
      <w:szCs w:val="24"/>
    </w:rPr>
  </w:style>
  <w:style w:type="paragraph" w:customStyle="1" w:styleId="38">
    <w:name w:val="表格标题"/>
    <w:basedOn w:val="1"/>
    <w:link w:val="39"/>
    <w:qFormat/>
    <w:uiPriority w:val="0"/>
    <w:pPr>
      <w:adjustRightInd w:val="0"/>
      <w:snapToGrid w:val="0"/>
      <w:spacing w:line="360" w:lineRule="auto"/>
      <w:jc w:val="center"/>
    </w:pPr>
    <w:rPr>
      <w:rFonts w:ascii="Times New Roman" w:hAnsi="Times New Roman"/>
      <w:b/>
      <w:sz w:val="21"/>
    </w:rPr>
  </w:style>
  <w:style w:type="character" w:customStyle="1" w:styleId="39">
    <w:name w:val="表格标题 字符"/>
    <w:link w:val="38"/>
    <w:qFormat/>
    <w:uiPriority w:val="0"/>
    <w:rPr>
      <w:rFonts w:cs="宋体"/>
      <w:b/>
      <w:sz w:val="21"/>
      <w:szCs w:val="24"/>
    </w:rPr>
  </w:style>
  <w:style w:type="paragraph" w:customStyle="1" w:styleId="40">
    <w:name w:val="正文标题"/>
    <w:basedOn w:val="1"/>
    <w:link w:val="41"/>
    <w:qFormat/>
    <w:uiPriority w:val="0"/>
    <w:pPr>
      <w:adjustRightInd w:val="0"/>
      <w:snapToGrid w:val="0"/>
      <w:spacing w:line="360" w:lineRule="auto"/>
      <w:ind w:firstLine="200" w:firstLineChars="200"/>
      <w:jc w:val="both"/>
    </w:pPr>
    <w:rPr>
      <w:rFonts w:ascii="Times New Roman" w:hAnsi="Times New Roman"/>
      <w:b/>
    </w:rPr>
  </w:style>
  <w:style w:type="character" w:customStyle="1" w:styleId="41">
    <w:name w:val="正文标题 字符"/>
    <w:link w:val="40"/>
    <w:qFormat/>
    <w:uiPriority w:val="0"/>
    <w:rPr>
      <w:rFonts w:cs="宋体"/>
      <w:b/>
      <w:sz w:val="24"/>
      <w:szCs w:val="24"/>
    </w:rPr>
  </w:style>
  <w:style w:type="paragraph" w:customStyle="1" w:styleId="42">
    <w:name w:val="正文正文"/>
    <w:basedOn w:val="40"/>
    <w:link w:val="43"/>
    <w:qFormat/>
    <w:uiPriority w:val="0"/>
    <w:rPr>
      <w:b w:val="0"/>
    </w:rPr>
  </w:style>
  <w:style w:type="character" w:customStyle="1" w:styleId="43">
    <w:name w:val="正文正文 字符"/>
    <w:link w:val="42"/>
    <w:qFormat/>
    <w:uiPriority w:val="0"/>
    <w:rPr>
      <w:rFonts w:cs="宋体"/>
      <w:kern w:val="2"/>
      <w:sz w:val="24"/>
      <w:szCs w:val="24"/>
    </w:rPr>
  </w:style>
  <w:style w:type="paragraph" w:customStyle="1" w:styleId="44">
    <w:name w:val="报告表文本"/>
    <w:basedOn w:val="1"/>
    <w:qFormat/>
    <w:uiPriority w:val="0"/>
    <w:pPr>
      <w:spacing w:line="360" w:lineRule="auto"/>
      <w:ind w:firstLine="200" w:firstLineChars="200"/>
    </w:pPr>
  </w:style>
  <w:style w:type="paragraph" w:customStyle="1" w:styleId="45">
    <w:name w:val="表名"/>
    <w:next w:val="1"/>
    <w:link w:val="46"/>
    <w:qFormat/>
    <w:uiPriority w:val="0"/>
    <w:pPr>
      <w:keepNext/>
      <w:tabs>
        <w:tab w:val="center" w:pos="4140"/>
      </w:tabs>
      <w:jc w:val="center"/>
    </w:pPr>
    <w:rPr>
      <w:rFonts w:ascii="Times New Roman" w:hAnsi="Times New Roman" w:eastAsia="宋体" w:cs="Times New Roman"/>
      <w:b/>
      <w:kern w:val="2"/>
      <w:sz w:val="21"/>
      <w:szCs w:val="21"/>
      <w:lang w:val="en-US" w:eastAsia="zh-CN" w:bidi="ar-SA"/>
    </w:rPr>
  </w:style>
  <w:style w:type="character" w:customStyle="1" w:styleId="46">
    <w:name w:val="表名 字符"/>
    <w:link w:val="45"/>
    <w:qFormat/>
    <w:uiPriority w:val="0"/>
    <w:rPr>
      <w:b/>
      <w:kern w:val="2"/>
      <w:sz w:val="21"/>
      <w:szCs w:val="21"/>
    </w:rPr>
  </w:style>
  <w:style w:type="table" w:customStyle="1" w:styleId="47">
    <w:name w:val="Table Normal"/>
    <w:semiHidden/>
    <w:unhideWhenUsed/>
    <w:qFormat/>
    <w:uiPriority w:val="2"/>
    <w:pPr>
      <w:widowControl w:val="0"/>
      <w:autoSpaceDE w:val="0"/>
      <w:autoSpaceDN w:val="0"/>
    </w:pPr>
    <w:rPr>
      <w:rFonts w:ascii="Calibri" w:hAnsi="Calibri"/>
      <w:sz w:val="22"/>
      <w:szCs w:val="22"/>
      <w:lang w:eastAsia="en-US"/>
    </w:rPr>
    <w:tblPr>
      <w:tblLayout w:type="fixed"/>
      <w:tblCellMar>
        <w:top w:w="0" w:type="dxa"/>
        <w:left w:w="0" w:type="dxa"/>
        <w:bottom w:w="0" w:type="dxa"/>
        <w:right w:w="0" w:type="dxa"/>
      </w:tblCellMar>
    </w:tblPr>
  </w:style>
  <w:style w:type="character" w:customStyle="1" w:styleId="48">
    <w:name w:val="标题 2 字符"/>
    <w:link w:val="3"/>
    <w:semiHidden/>
    <w:qFormat/>
    <w:uiPriority w:val="0"/>
    <w:rPr>
      <w:rFonts w:ascii="等线 Light" w:hAnsi="等线 Light" w:eastAsia="等线 Light" w:cs="Times New Roman"/>
      <w:b/>
      <w:bCs/>
      <w:kern w:val="2"/>
      <w:sz w:val="32"/>
      <w:szCs w:val="32"/>
    </w:rPr>
  </w:style>
  <w:style w:type="paragraph" w:customStyle="1" w:styleId="49">
    <w:name w:val="Table Paragraph"/>
    <w:basedOn w:val="1"/>
    <w:qFormat/>
    <w:uiPriority w:val="1"/>
    <w:pPr>
      <w:autoSpaceDE w:val="0"/>
      <w:autoSpaceDN w:val="0"/>
    </w:pPr>
    <w:rPr>
      <w:sz w:val="22"/>
      <w:szCs w:val="22"/>
    </w:rPr>
  </w:style>
  <w:style w:type="paragraph" w:customStyle="1" w:styleId="50">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51">
    <w:name w:val="图表正文"/>
    <w:basedOn w:val="1"/>
    <w:link w:val="52"/>
    <w:qFormat/>
    <w:uiPriority w:val="0"/>
    <w:rPr>
      <w:szCs w:val="21"/>
    </w:rPr>
  </w:style>
  <w:style w:type="character" w:customStyle="1" w:styleId="52">
    <w:name w:val="图表正文 字符"/>
    <w:link w:val="51"/>
    <w:qFormat/>
    <w:uiPriority w:val="0"/>
    <w:rPr>
      <w:rFonts w:ascii="宋体" w:hAnsi="宋体"/>
      <w:kern w:val="2"/>
      <w:sz w:val="21"/>
      <w:szCs w:val="21"/>
    </w:rPr>
  </w:style>
  <w:style w:type="character" w:customStyle="1" w:styleId="53">
    <w:name w:val="15"/>
    <w:qFormat/>
    <w:uiPriority w:val="0"/>
    <w:rPr>
      <w:rFonts w:hint="default" w:ascii="Times New Roman" w:hAnsi="Times New Roman" w:cs="Times New Roman"/>
      <w:sz w:val="24"/>
      <w:szCs w:val="24"/>
    </w:rPr>
  </w:style>
  <w:style w:type="character" w:customStyle="1" w:styleId="54">
    <w:name w:val="标题 3 字符"/>
    <w:link w:val="4"/>
    <w:semiHidden/>
    <w:qFormat/>
    <w:uiPriority w:val="0"/>
    <w:rPr>
      <w:b/>
      <w:bCs/>
      <w:kern w:val="2"/>
      <w:sz w:val="32"/>
      <w:szCs w:val="32"/>
    </w:rPr>
  </w:style>
  <w:style w:type="paragraph" w:customStyle="1" w:styleId="55">
    <w:name w:val="表格文字"/>
    <w:basedOn w:val="3"/>
    <w:link w:val="56"/>
    <w:qFormat/>
    <w:uiPriority w:val="0"/>
    <w:pPr>
      <w:keepNext w:val="0"/>
      <w:keepLines w:val="0"/>
      <w:numPr>
        <w:ilvl w:val="1"/>
        <w:numId w:val="1"/>
      </w:numPr>
      <w:tabs>
        <w:tab w:val="left" w:pos="0"/>
      </w:tabs>
      <w:spacing w:before="0" w:after="0" w:line="240" w:lineRule="auto"/>
      <w:jc w:val="center"/>
      <w:outlineLvl w:val="9"/>
    </w:pPr>
    <w:rPr>
      <w:rFonts w:ascii="Times New Roman" w:hAnsi="Times New Roman" w:eastAsia="宋体"/>
      <w:b w:val="0"/>
      <w:sz w:val="21"/>
      <w:szCs w:val="24"/>
    </w:rPr>
  </w:style>
  <w:style w:type="character" w:customStyle="1" w:styleId="56">
    <w:name w:val="表格文字 字符"/>
    <w:link w:val="55"/>
    <w:qFormat/>
    <w:uiPriority w:val="0"/>
    <w:rPr>
      <w:bCs/>
      <w:kern w:val="2"/>
      <w:sz w:val="21"/>
      <w:szCs w:val="24"/>
    </w:rPr>
  </w:style>
  <w:style w:type="character" w:customStyle="1" w:styleId="57">
    <w:name w:val="正文文本缩进 2 字符"/>
    <w:link w:val="9"/>
    <w:qFormat/>
    <w:uiPriority w:val="0"/>
    <w:rPr>
      <w:kern w:val="2"/>
      <w:sz w:val="21"/>
      <w:szCs w:val="24"/>
    </w:rPr>
  </w:style>
  <w:style w:type="paragraph" w:customStyle="1" w:styleId="58">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table" w:customStyle="1" w:styleId="59">
    <w:name w:val="Table Normal1"/>
    <w:semiHidden/>
    <w:unhideWhenUsed/>
    <w:qFormat/>
    <w:uiPriority w:val="2"/>
    <w:pPr>
      <w:widowControl w:val="0"/>
      <w:autoSpaceDE w:val="0"/>
      <w:autoSpaceDN w:val="0"/>
    </w:pPr>
    <w:rPr>
      <w:rFonts w:ascii="Calibri" w:hAnsi="Calibri"/>
      <w:sz w:val="22"/>
      <w:szCs w:val="22"/>
      <w:lang w:eastAsia="en-US"/>
    </w:rPr>
    <w:tblPr>
      <w:tblLayout w:type="fixed"/>
      <w:tblCellMar>
        <w:top w:w="0" w:type="dxa"/>
        <w:left w:w="0" w:type="dxa"/>
        <w:bottom w:w="0" w:type="dxa"/>
        <w:right w:w="0" w:type="dxa"/>
      </w:tblCellMar>
    </w:tblPr>
  </w:style>
  <w:style w:type="paragraph" w:customStyle="1" w:styleId="60">
    <w:name w:val="图表标题"/>
    <w:basedOn w:val="50"/>
    <w:link w:val="61"/>
    <w:qFormat/>
    <w:uiPriority w:val="0"/>
    <w:pPr>
      <w:spacing w:before="50" w:beforeLines="50" w:after="50" w:afterLines="50"/>
      <w:jc w:val="center"/>
    </w:pPr>
    <w:rPr>
      <w:rFonts w:ascii="Arial" w:hAnsi="Arial" w:eastAsia="宋体" w:cs="Arial"/>
      <w:b/>
      <w:sz w:val="21"/>
    </w:rPr>
  </w:style>
  <w:style w:type="character" w:customStyle="1" w:styleId="61">
    <w:name w:val="图表标题 字符"/>
    <w:link w:val="60"/>
    <w:qFormat/>
    <w:uiPriority w:val="0"/>
    <w:rPr>
      <w:rFonts w:ascii="Arial" w:hAnsi="Arial" w:cs="Arial"/>
      <w:b/>
      <w:color w:val="000000"/>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1.wmf"/><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90</Pages>
  <Words>9247</Words>
  <Characters>52708</Characters>
  <Lines>439</Lines>
  <Paragraphs>123</Paragraphs>
  <TotalTime>21</TotalTime>
  <ScaleCrop>false</ScaleCrop>
  <LinksUpToDate>false</LinksUpToDate>
  <CharactersWithSpaces>61832</CharactersWithSpaces>
  <Application>WPS Office_11.8.2.8696_F1E327BC-269C-435d-A152-05C5408002CA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2025-03-27T17:14:00Z</dcterms:created>
  <dc:creator>lhj</dc:creator>
  <cp:lastModifiedBy>Administrator</cp:lastModifiedBy>
  <cp:lastPrinted>2025-03-27T17:12:00Z</cp:lastPrinted>
  <dcterms:modified xsi:type="dcterms:W3CDTF">2025-04-07T08:06:49Z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y fmtid="{D5CDD505-2E9C-101B-9397-08002B2CF9AE}" pid="3" name="ICV">
    <vt:lpwstr>A5DBBD5B92CB0998D47FF367A9DC0B2A</vt:lpwstr>
  </property>
</Properties>
</file>